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Mini-Especificação de Caso de Uso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28"/>
          <w:highlight w:val="white"/>
        </w:rPr>
      </w:pPr>
      <w:r>
        <w:rPr>
          <w:rFonts w:eastAsia="Cambria" w:cs="Cambria" w:ascii="Cambria" w:hAnsi="Cambria"/>
          <w:sz w:val="28"/>
          <w:highlight w:val="white"/>
        </w:rPr>
        <w:t>Consultar</w:t>
      </w:r>
      <w:r>
        <w:rPr>
          <w:rFonts w:eastAsia="Cambria" w:cs="Cambria" w:ascii="Cambria" w:hAnsi="Cambria"/>
          <w:color w:val="00000A"/>
          <w:sz w:val="28"/>
          <w:highlight w:val="white"/>
        </w:rPr>
        <w:t xml:space="preserve"> Equipamento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Objetivo: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Este caso de uso tem o objetivo de permitir ao ator Usuário buscar informações do equipamento pelo serial.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Pré-condição: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Equipamento estar cadastrado no sistema.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 Principal: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P1. O sistema apresenta a tela com as opções iniciais.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P2. O ator Usuário seleciona a opção de consulta de equipamento.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P3. O sistema apresenta a tela de consulta de equipamento.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P4. O ator Usuário informa o serial do equipamento e solicita a consulta.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P5. O sistema valida se há equipamento para aquele serial. (E1)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P6. O sistema mostra na tela as informações do equipamento.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Fluxos Alternativos: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697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>Não existem fluxos alternativos.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Fluxos de Exceção: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E1. Existe erro quando o Usuário digita um número de serial inválido.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E1.1. O sistema apresenta mensagem de erro.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E1.2. O sistema volta ao passo P3.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Pontos de Extensão: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Não existem pontos de extensão.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  <w:u w:val="single"/>
        </w:rPr>
      </w:pPr>
      <w:r>
        <w:rPr>
          <w:rFonts w:eastAsia="Cambria" w:cs="Cambria" w:ascii="Cambria" w:hAnsi="Cambria"/>
          <w:color w:val="00000A"/>
          <w:sz w:val="24"/>
          <w:highlight w:val="white"/>
          <w:u w:val="single"/>
        </w:rPr>
        <w:t>Pós-Condições: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ab/>
        <w:t>Não existem pós condições.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Regras de Negócio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Cambria" w:cs="Cambria" w:ascii="Cambria" w:hAnsi="Cambria"/>
          <w:color w:val="00000A"/>
          <w:sz w:val="24"/>
          <w:highlight w:val="white"/>
        </w:rPr>
      </w:pPr>
      <w:r>
        <w:rPr>
          <w:rFonts w:eastAsia="Cambria" w:cs="Cambria" w:ascii="Cambria" w:hAnsi="Cambria"/>
          <w:color w:val="00000A"/>
          <w:sz w:val="24"/>
          <w:highlight w:val="white"/>
        </w:rPr>
        <w:t>R1. Serial Obrigatório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Telas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eastAsia="Cambria" w:cs="Cambria" w:ascii="Cambria" w:hAnsi="Cambria"/>
          <w:color w:val="00000A"/>
          <w:sz w:val="32"/>
          <w:highlight w:val="white"/>
        </w:rPr>
      </w:pPr>
      <w:r>
        <w:rPr>
          <w:rFonts w:eastAsia="Cambria" w:cs="Cambria" w:ascii="Cambria" w:hAnsi="Cambria"/>
          <w:color w:val="00000A"/>
          <w:sz w:val="32"/>
          <w:highlight w:val="white"/>
        </w:rPr>
        <w:t>Tela Consulta de Equipamento: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inline distT="114300" distB="114300" distL="114300" distR="114300">
            <wp:extent cx="3371850" cy="4914900"/>
            <wp:effectExtent l="0" t="0" r="0" b="0"/>
            <wp:docPr id="0" name="Picture" descr="Consultar 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sultar Equipament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drawing>
          <wp:inline distT="114300" distB="114300" distL="114300" distR="114300">
            <wp:extent cx="3295650" cy="4848225"/>
            <wp:effectExtent l="0" t="0" r="0" b="0"/>
            <wp:docPr id="1" name="Picture" descr="Tela com dados do 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ela com dados do equipament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A"/>
        <w:sz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0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Consultar Equipamento.docx.docx</dc:title>
</cp:coreProperties>
</file>