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САНКТ-ПЕТЕРБУРГСКИЙ ГОСУДАРСТВЕННЫЙ УНИВЕРСИТЕТ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5"/>
        <w:gridCol w:w="7560"/>
        <w:tblGridChange w:id="0">
          <w:tblGrid>
            <w:gridCol w:w="1785"/>
            <w:gridCol w:w="7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Направление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Математика и механика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Искусственный интеллект и наука о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1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1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10" w:line="360" w:lineRule="auto"/>
        <w:ind w:left="418" w:firstLine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Отчёт по практическому заданию</w:t>
      </w:r>
    </w:p>
    <w:p w:rsidR="00000000" w:rsidDel="00000000" w:rsidP="00000000" w:rsidRDefault="00000000" w:rsidRPr="00000000" w14:paraId="00000010">
      <w:pPr>
        <w:shd w:fill="ffffff" w:val="clear"/>
        <w:spacing w:before="1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«Реализация байесовской сети доверия»</w:t>
      </w:r>
    </w:p>
    <w:p w:rsidR="00000000" w:rsidDel="00000000" w:rsidP="00000000" w:rsidRDefault="00000000" w:rsidRPr="00000000" w14:paraId="00000011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10" w:line="240" w:lineRule="auto"/>
        <w:ind w:left="418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0" w:line="240" w:lineRule="auto"/>
        <w:ind w:left="418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10" w:line="360" w:lineRule="auto"/>
        <w:ind w:left="41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24.М81-мм, 1 курс</w:t>
      </w:r>
    </w:p>
    <w:p w:rsidR="00000000" w:rsidDel="00000000" w:rsidP="00000000" w:rsidRDefault="00000000" w:rsidRPr="00000000" w14:paraId="00000019">
      <w:pPr>
        <w:shd w:fill="ffffff" w:val="clear"/>
        <w:spacing w:before="10" w:line="360" w:lineRule="auto"/>
        <w:ind w:left="41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Егоров Ян Игоревич</w:t>
      </w:r>
    </w:p>
    <w:p w:rsidR="00000000" w:rsidDel="00000000" w:rsidP="00000000" w:rsidRDefault="00000000" w:rsidRPr="00000000" w14:paraId="0000001A">
      <w:pPr>
        <w:shd w:fill="ffffff" w:val="clear"/>
        <w:spacing w:before="5" w:line="360" w:lineRule="auto"/>
        <w:ind w:left="396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Столярова Валерия Фуатовна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3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3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39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by6eem70x18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ldv3bqsyj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Формулировка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gly5eniu5dl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 и методы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6cypc2zhm68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18eb8tn71y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jky9j7rxnoz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6fvgvqf7yi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b w:val="1"/>
          <w:sz w:val="28"/>
          <w:szCs w:val="28"/>
        </w:rPr>
      </w:pPr>
      <w:bookmarkStart w:colFirst="0" w:colLast="0" w:name="_4wldv3bqsyjr" w:id="2"/>
      <w:bookmarkEnd w:id="2"/>
      <w:r w:rsidDel="00000000" w:rsidR="00000000" w:rsidRPr="00000000">
        <w:rPr>
          <w:rtl w:val="0"/>
        </w:rPr>
        <w:t xml:space="preserve">Формулировка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Основная цель</w:t>
      </w:r>
      <w:r w:rsidDel="00000000" w:rsidR="00000000" w:rsidRPr="00000000">
        <w:rPr>
          <w:rtl w:val="0"/>
        </w:rPr>
        <w:t xml:space="preserve">- предсказывать наличие сердечных заболеваний, по ряду признаков. </w:t>
      </w:r>
    </w:p>
    <w:p w:rsidR="00000000" w:rsidDel="00000000" w:rsidP="00000000" w:rsidRDefault="00000000" w:rsidRPr="00000000" w14:paraId="00000043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Предметная область</w:t>
      </w:r>
      <w:r w:rsidDel="00000000" w:rsidR="00000000" w:rsidRPr="00000000">
        <w:rPr>
          <w:rtl w:val="0"/>
        </w:rPr>
        <w:t xml:space="preserve">- медицина. </w:t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датасета:</w:t>
      </w:r>
    </w:p>
    <w:p w:rsidR="00000000" w:rsidDel="00000000" w:rsidP="00000000" w:rsidRDefault="00000000" w:rsidRPr="00000000" w14:paraId="0000004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Сам по себе датасет представляет собой ряд различных признаков, напрямую связанных с рассматриваемым человеком.</w:t>
      </w:r>
    </w:p>
    <w:p w:rsidR="00000000" w:rsidDel="00000000" w:rsidP="00000000" w:rsidRDefault="00000000" w:rsidRPr="00000000" w14:paraId="00000046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Ссылка на датасет-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ml-course/data/heart_disease/heart.csv at main · rustam-azimov/ml-course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Признаки: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age - возраст в годах </w:t>
      </w:r>
    </w:p>
    <w:p w:rsidR="00000000" w:rsidDel="00000000" w:rsidP="00000000" w:rsidRDefault="00000000" w:rsidRPr="00000000" w14:paraId="0000004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sex - пол (1 = мужчина; 0 = женщина)</w:t>
      </w:r>
    </w:p>
    <w:p w:rsidR="00000000" w:rsidDel="00000000" w:rsidP="00000000" w:rsidRDefault="00000000" w:rsidRPr="00000000" w14:paraId="0000004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cp - тип боли груди</w:t>
      </w:r>
    </w:p>
    <w:p w:rsidR="00000000" w:rsidDel="00000000" w:rsidP="00000000" w:rsidRDefault="00000000" w:rsidRPr="00000000" w14:paraId="0000004B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1: типичная стенокардия</w:t>
      </w:r>
    </w:p>
    <w:p w:rsidR="00000000" w:rsidDel="00000000" w:rsidP="00000000" w:rsidRDefault="00000000" w:rsidRPr="00000000" w14:paraId="0000004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2: атипичная стенокардия</w:t>
      </w:r>
    </w:p>
    <w:p w:rsidR="00000000" w:rsidDel="00000000" w:rsidP="00000000" w:rsidRDefault="00000000" w:rsidRPr="00000000" w14:paraId="0000004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3: неангинальная боль</w:t>
      </w:r>
    </w:p>
    <w:p w:rsidR="00000000" w:rsidDel="00000000" w:rsidP="00000000" w:rsidRDefault="00000000" w:rsidRPr="00000000" w14:paraId="0000004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4: бессимптомное течение</w:t>
      </w:r>
    </w:p>
    <w:p w:rsidR="00000000" w:rsidDel="00000000" w:rsidP="00000000" w:rsidRDefault="00000000" w:rsidRPr="00000000" w14:paraId="0000004F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trestbps -артериальное давление в состоянии покоя (в мм рт.ст. при поступлении в больницу)</w:t>
      </w:r>
    </w:p>
    <w:p w:rsidR="00000000" w:rsidDel="00000000" w:rsidP="00000000" w:rsidRDefault="00000000" w:rsidRPr="00000000" w14:paraId="00000050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chol -(уровень сахара в крови натощак &gt; 120 мг/дл) (1 = true; 0 = false)</w:t>
      </w:r>
    </w:p>
    <w:p w:rsidR="00000000" w:rsidDel="00000000" w:rsidP="00000000" w:rsidRDefault="00000000" w:rsidRPr="00000000" w14:paraId="00000051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fbs - (fasting blood sugar &gt; 120 mg/dl) (1 = true; 0 = false)</w:t>
      </w:r>
    </w:p>
    <w:p w:rsidR="00000000" w:rsidDel="00000000" w:rsidP="00000000" w:rsidRDefault="00000000" w:rsidRPr="00000000" w14:paraId="00000052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restecg - результаты электрокардиографии в покое</w:t>
      </w:r>
    </w:p>
    <w:p w:rsidR="00000000" w:rsidDel="00000000" w:rsidP="00000000" w:rsidRDefault="00000000" w:rsidRPr="00000000" w14:paraId="00000053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0: нормальное</w:t>
      </w:r>
    </w:p>
    <w:p w:rsidR="00000000" w:rsidDel="00000000" w:rsidP="00000000" w:rsidRDefault="00000000" w:rsidRPr="00000000" w14:paraId="00000054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1: наличие аномалии ST-T </w:t>
      </w:r>
    </w:p>
    <w:p w:rsidR="00000000" w:rsidDel="00000000" w:rsidP="00000000" w:rsidRDefault="00000000" w:rsidRPr="00000000" w14:paraId="0000005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2: показывает гипертрофию левого желудочка </w:t>
      </w:r>
    </w:p>
    <w:p w:rsidR="00000000" w:rsidDel="00000000" w:rsidP="00000000" w:rsidRDefault="00000000" w:rsidRPr="00000000" w14:paraId="00000056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thalach - максимальная частота сердечных сокращений</w:t>
      </w:r>
    </w:p>
    <w:p w:rsidR="00000000" w:rsidDel="00000000" w:rsidP="00000000" w:rsidRDefault="00000000" w:rsidRPr="00000000" w14:paraId="0000005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exang - cтенокардия, вызванная физической нагрузкой (1 = true; 0 = false)</w:t>
      </w:r>
    </w:p>
    <w:p w:rsidR="00000000" w:rsidDel="00000000" w:rsidP="00000000" w:rsidRDefault="00000000" w:rsidRPr="00000000" w14:paraId="0000005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oldpeak - Депрессия ST, вызванная физическими упражнениями, по сравнению с отдыхом</w:t>
      </w:r>
    </w:p>
    <w:p w:rsidR="00000000" w:rsidDel="00000000" w:rsidP="00000000" w:rsidRDefault="00000000" w:rsidRPr="00000000" w14:paraId="0000005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slope - наклон пикового сегмента ST при нагрузке</w:t>
      </w:r>
    </w:p>
    <w:p w:rsidR="00000000" w:rsidDel="00000000" w:rsidP="00000000" w:rsidRDefault="00000000" w:rsidRPr="00000000" w14:paraId="0000005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ca - количество расширенных сосудов (0-3) </w:t>
      </w:r>
    </w:p>
    <w:p w:rsidR="00000000" w:rsidDel="00000000" w:rsidP="00000000" w:rsidRDefault="00000000" w:rsidRPr="00000000" w14:paraId="0000005B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thal - тип дефекта</w:t>
      </w:r>
    </w:p>
    <w:p w:rsidR="00000000" w:rsidDel="00000000" w:rsidP="00000000" w:rsidRDefault="00000000" w:rsidRPr="00000000" w14:paraId="0000005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1: нормальный</w:t>
      </w:r>
    </w:p>
    <w:p w:rsidR="00000000" w:rsidDel="00000000" w:rsidP="00000000" w:rsidRDefault="00000000" w:rsidRPr="00000000" w14:paraId="0000005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2: фиксированный дефект</w:t>
      </w:r>
    </w:p>
    <w:p w:rsidR="00000000" w:rsidDel="00000000" w:rsidP="00000000" w:rsidRDefault="00000000" w:rsidRPr="00000000" w14:paraId="0000005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3: обратимый дефект</w:t>
      </w:r>
    </w:p>
    <w:p w:rsidR="00000000" w:rsidDel="00000000" w:rsidP="00000000" w:rsidRDefault="00000000" w:rsidRPr="00000000" w14:paraId="0000005F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target - наличие сердечного приступа (1=да, 0=нет).</w:t>
      </w:r>
    </w:p>
    <w:p w:rsidR="00000000" w:rsidDel="00000000" w:rsidP="00000000" w:rsidRDefault="00000000" w:rsidRPr="00000000" w14:paraId="00000060">
      <w:pPr>
        <w:pStyle w:val="Heading2"/>
        <w:jc w:val="left"/>
        <w:rPr/>
      </w:pPr>
      <w:bookmarkStart w:colFirst="0" w:colLast="0" w:name="_gly5eniu5dl0" w:id="3"/>
      <w:bookmarkEnd w:id="3"/>
      <w:r w:rsidDel="00000000" w:rsidR="00000000" w:rsidRPr="00000000">
        <w:rPr>
          <w:rtl w:val="0"/>
        </w:rPr>
        <w:t xml:space="preserve">Материалы и методы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Непосредственный язык написания программы-Python. Мной были использованы следующие библиотеки: pandas, numpy, pgmpy, matplotlib, seaborn,networkx.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pandas- данная библиотека использовалась для загрузки таблицы и обработки данных внутри нее, работы со столбцами.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numpy- данная библиотека была необходима для использования и применения математических функций.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pgmpy- была использована для построения байесовской сети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pgmpy.models.BayesianModel служит для определения модели (структуры сети).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pgmpy.models.BayesianNetwork- методы для работы с вероятностными распределениями.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pgmpy.estimators.HillClimbSearch является алгоритмом для поиска структуры байесовской сети. Он использует жадный подход для оптимизации структуры сети, пробуя различные ребра и выбирая те, которые улучшают оценку по критерию BIC.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pgmpy.estimators.BicScore — это функция, использующаяся для оценки соответствия между данными и моделью на основе байесовского информационного критерия (BIC).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matplotlib- библиотека использовалась для построения графиков и визуализации данных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seaborn- визуализация данных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networkx- использовалась для построения графов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6a7ddpug1q9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4e400g8vuoa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8ucmb8g3m13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6cypc2zhm68j" w:id="7"/>
      <w:bookmarkEnd w:id="7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Для начала было необходимо провести разведочный анализ.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Пропущенные значения отсутствовали в выборке.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Для начала была построена гистограмма для целевого признака.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229994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299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После чего была построена диаграмма для зависимости наличия заболевания от возраста.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319463" cy="253079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530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Можно увидеть что с увеличением возраста количество заболеваний увеличивается, в то время как их отсутствие снижается.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 данной выборке присутствуют категориальные признаки: chest pain type (cp), thal и slope. Для них были построены диаграммы, для того чтобы понять есть ли какая-то однозначная связь с целевым признаком в зависимости от изменения числа внутри этих признаков.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Мы можем увидеть, что однозначная связь отсутствует, поэтому было принято решение перевести данные признаки в дамми.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Также мной была построена корреляционная матрица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4175230" cy="396716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230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Сильная корреляция, &gt;0,7 отсутствует, ее можно увидеть только у бинарных переменных, которые были добавлены для описания одного признака.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После чего также была сделана f статистика для переменных. Были получены следующие результаты: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1166813" cy="229964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229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Не значимы оказались признаки thal_0 и fbs, они были исключены из дальнейшего анализа.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После чего было произведено обучение структуры байесовской сети при помощи метода HillClimbSearch.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Для непосредсвенной оценки использовался критерий BIC (Bayesian Information Criterion, BIC), который рассчитывается по следующей формуле:</w:t>
      </w:r>
    </w:p>
    <w:p w:rsidR="00000000" w:rsidDel="00000000" w:rsidP="00000000" w:rsidRDefault="00000000" w:rsidRPr="00000000" w14:paraId="00000084">
      <w:pPr>
        <w:rPr/>
      </w:pPr>
      <m:oMath>
        <m:r>
          <w:rPr/>
          <m:t xml:space="preserve">BIC=k*ln(n)-2*ln(L)</m:t>
        </m:r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максимальное значение функции правдоподобия наблюдаемой выборки с известным числом параметров,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 - число параметров модели,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- объем обучающей выборки.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После чего байесовская сеть была построена графически при помощи класса BayesianNetwork. Как итог был получен следующий граф для Байесовской сети.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Как мы можем видеть переменные age, trestbps, chol, thalach были исключены.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Для измерения эффективности модели я буду использовать следующие метрики: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accuracy, recall, precision, f1, roc-auc. Итоговые метрики для всего датасета можно увидеть ниже.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962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 целом, исходя из полученных метрик, модель обладает довольно неплохим качеством предсказания.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a18eb8tn71yl" w:id="8"/>
      <w:bookmarkEnd w:id="8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Основной результат данной работы- обучение байесовской сети доверия, которая способна классифицировать наличие сердечных заболеваний.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Для достижения поставленных результатов был проведен разведочный анализ, feature engineering, после чего была создана модель наивной байесовской сети.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Ссылка на GitHub-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BGH612/Bayesian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yfqvvvgsy2z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qej8au7pssd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rygjmpix15v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f1fwr7hfqte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8knpp119j30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ou0i9qp55q8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rp2fv9wch7o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jky9j7rxnoz5" w:id="16"/>
      <w:bookmarkEnd w:id="16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// pypi.org URL: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https://pypi.org/project/pandas/</w:t>
        </w:r>
      </w:hyperlink>
      <w:r w:rsidDel="00000000" w:rsidR="00000000" w:rsidRPr="00000000">
        <w:rPr>
          <w:rtl w:val="0"/>
        </w:rPr>
        <w:t xml:space="preserve"> (дата обращения: 30.11.2024)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// Numpy.org 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tl w:val="0"/>
        </w:rPr>
        <w:t xml:space="preserve"> (дата обращения: 30.11.2024)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Pgmpy// pgmpy.org URL: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https://pgmpy.readthedocs.io/en/latest/</w:t>
        </w:r>
      </w:hyperlink>
      <w:r w:rsidDel="00000000" w:rsidR="00000000" w:rsidRPr="00000000">
        <w:rPr>
          <w:rtl w:val="0"/>
        </w:rPr>
        <w:t xml:space="preserve"> (дата обращения: 30.11.2024)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Matplotlib// matplotlib.org URL: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  <w:t xml:space="preserve"> (дата обращения: 30.11.2024)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Seaborn// seaborn.pydata.org URL: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</w:t>
        </w:r>
      </w:hyperlink>
      <w:r w:rsidDel="00000000" w:rsidR="00000000" w:rsidRPr="00000000">
        <w:rPr>
          <w:rtl w:val="0"/>
        </w:rPr>
        <w:t xml:space="preserve"> (дата обращения: 30.11.2024)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Networkx// networkx.org URL: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https://networkx.org/</w:t>
        </w:r>
      </w:hyperlink>
      <w:r w:rsidDel="00000000" w:rsidR="00000000" w:rsidRPr="00000000">
        <w:rPr>
          <w:rtl w:val="0"/>
        </w:rPr>
        <w:t xml:space="preserve"> (дата обращения: 30.11.2024)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tplotlib.org/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networkx.org/" TargetMode="External"/><Relationship Id="rId10" Type="http://schemas.openxmlformats.org/officeDocument/2006/relationships/image" Target="media/image9.png"/><Relationship Id="rId21" Type="http://schemas.openxmlformats.org/officeDocument/2006/relationships/hyperlink" Target="https://seaborn.pydata.org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yperlink" Target="https://pypi.org/project/pandas/" TargetMode="External"/><Relationship Id="rId16" Type="http://schemas.openxmlformats.org/officeDocument/2006/relationships/hyperlink" Target="https://github.com/BGH612/Bayesian" TargetMode="External"/><Relationship Id="rId5" Type="http://schemas.openxmlformats.org/officeDocument/2006/relationships/styles" Target="styles.xml"/><Relationship Id="rId19" Type="http://schemas.openxmlformats.org/officeDocument/2006/relationships/hyperlink" Target="https://pgmpy.readthedocs.io/en/latest/" TargetMode="External"/><Relationship Id="rId6" Type="http://schemas.openxmlformats.org/officeDocument/2006/relationships/hyperlink" Target="https://github.com/rustam-azimov/ml-course/blob/main/data/heart_disease/heart.csv" TargetMode="External"/><Relationship Id="rId18" Type="http://schemas.openxmlformats.org/officeDocument/2006/relationships/hyperlink" Target="https://numpy.or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