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rial" w:cs="Arial" w:eastAsia="Arial" w:hAnsi="Arial"/>
          <w:b/>
          <w:bCs/>
          <w:color w:val="1F4E79"/>
          <w:sz w:val="30"/>
          <w:szCs w:val="30"/>
        </w:rPr>
        <w:t xml:space="preserve">Análisis comparativo de modelos preentrenados para clasificar claims de etiquetado</w:t>
      </w:r>
    </w:p>
    <w:p>
      <w:pPr>
        <w:spacing w:after="20"/>
      </w:pPr>
      <w:r>
        <w:rPr>
          <w:rFonts w:ascii="Arial" w:cs="Arial" w:eastAsia="Arial" w:hAnsi="Arial"/>
          <w:color w:val="404040"/>
          <w:sz w:val="17"/>
          <w:szCs w:val="17"/>
        </w:rPr>
        <w:t xml:space="preserve">Actividad 4 · Gestión de Proyectos de Inteligencia Artificial · Módulo 2 · Maestría en Inteligencia Artificial, Universidad Tecmilenio</w:t>
      </w:r>
    </w:p>
    <w:p>
      <w:pPr>
        <w:spacing w:after="150"/>
      </w:pPr>
      <w:r>
        <w:rPr>
          <w:rFonts w:ascii="Arial" w:cs="Arial" w:eastAsia="Arial" w:hAnsi="Arial"/>
          <w:color w:val="404040"/>
          <w:sz w:val="17"/>
          <w:szCs w:val="17"/>
        </w:rPr>
        <w:t xml:space="preserve">Brandon Gilberto Imanol Retana Fuentes · AL07175444 · octubre de 2026</w:t>
      </w:r>
    </w:p>
    <w:p>
      <w:pPr>
        <w:keepNext/>
        <w:pBdr>
          <w:bottom w:val="single" w:color="BFBFBF" w:sz="6" w:space="2"/>
        </w:pBdr>
        <w:spacing w:after="85" w:before="190"/>
      </w:pPr>
      <w:r>
        <w:rPr>
          <w:rFonts w:ascii="Arial" w:cs="Arial" w:eastAsia="Arial" w:hAnsi="Arial"/>
          <w:b/>
          <w:bCs/>
          <w:color w:val="1F4E79"/>
          <w:sz w:val="23"/>
          <w:szCs w:val="23"/>
        </w:rPr>
        <w:t xml:space="preserve">1. Descripción del caso de uso</w:t>
      </w:r>
    </w:p>
    <w:p>
      <w:pPr>
        <w:spacing w:after="90" w:before="0" w:line="256"/>
        <w:jc w:val="both"/>
      </w:pPr>
      <w:r>
        <w:rPr>
          <w:rFonts w:ascii="Arial" w:cs="Arial" w:eastAsia="Arial" w:hAnsi="Arial"/>
          <w:sz w:val="19"/>
          <w:szCs w:val="19"/>
        </w:rPr>
        <w:t xml:space="preserve">CertiBajío, S.C. (organismo certificador ficticio) revisa unas 10,800 etiquetas de alimentos al año, cada una con alrededor de ocho claims. ClaimCheck IA, el proyecto planteado en la Fase 1, busca reducir el tiempo de revisión. Su primer paso es este módulo de procesamiento de lenguaje natural: clasificar cada claim por tipo para enviarlo al checklist que le corresponde, porque cada tipo se verifica contra reglas distintas. El modelo propone la clase y el revisor técnico decide.</w:t>
      </w:r>
    </w:p>
    <w:tbl>
      <w:tblPr>
        <w:tblW w:type="dxa" w:w="9580"/>
        <w:tblBorders>
          <w:top w:val="single" w:color="BFBFBF" w:sz="4"/>
          <w:left w:val="single" w:color="BFBFBF" w:sz="4"/>
          <w:bottom w:val="single" w:color="BFBFBF" w:sz="4"/>
          <w:right w:val="single" w:color="BFBFBF" w:sz="4"/>
          <w:insideH w:val="single" w:color="BFBFBF" w:sz="4"/>
          <w:insideV w:val="single" w:color="BFBFBF" w:sz="4"/>
        </w:tblBorders>
        <w:tblLayout w:type="fixed"/>
      </w:tblPr>
      <w:tblGrid>
        <w:gridCol w:w="1500"/>
        <w:gridCol w:w="3700"/>
        <w:gridCol w:w="4380"/>
      </w:tblGrid>
      <w:tr>
        <w:trPr>
          <w:tblHeader/>
        </w:trPr>
        <w:tc>
          <w:tcPr>
            <w:tcW w:type="dxa" w:w="1500"/>
            <w:shd w:fill="1F4E79" w:color="auto" w:val="clear"/>
            <w:tcMar>
              <w:top w:type="dxa" w:w="40"/>
              <w:left w:type="dxa" w:w="80"/>
              <w:bottom w:type="dxa" w:w="40"/>
              <w:right w:type="dxa" w:w="80"/>
            </w:tcMar>
          </w:tcPr>
          <w:p>
            <w:pPr>
              <w:spacing w:after="0" w:line="235"/>
              <w:jc w:val="left"/>
            </w:pPr>
            <w:r>
              <w:rPr>
                <w:rFonts w:ascii="Arial" w:cs="Arial" w:eastAsia="Arial" w:hAnsi="Arial"/>
                <w:b/>
                <w:bCs/>
                <w:color w:val="FFFFFF"/>
                <w:sz w:val="16"/>
                <w:szCs w:val="16"/>
              </w:rPr>
              <w:t xml:space="preserve">Clase</w:t>
            </w:r>
          </w:p>
        </w:tc>
        <w:tc>
          <w:tcPr>
            <w:tcW w:type="dxa" w:w="3700"/>
            <w:shd w:fill="1F4E79" w:color="auto" w:val="clear"/>
            <w:tcMar>
              <w:top w:type="dxa" w:w="40"/>
              <w:left w:type="dxa" w:w="80"/>
              <w:bottom w:type="dxa" w:w="40"/>
              <w:right w:type="dxa" w:w="80"/>
            </w:tcMar>
          </w:tcPr>
          <w:p>
            <w:pPr>
              <w:spacing w:after="0" w:line="235"/>
              <w:jc w:val="left"/>
            </w:pPr>
            <w:r>
              <w:rPr>
                <w:rFonts w:ascii="Arial" w:cs="Arial" w:eastAsia="Arial" w:hAnsi="Arial"/>
                <w:b/>
                <w:bCs/>
                <w:color w:val="FFFFFF"/>
                <w:sz w:val="16"/>
                <w:szCs w:val="16"/>
              </w:rPr>
              <w:t xml:space="preserve">Qué declara (ejemplo)</w:t>
            </w:r>
          </w:p>
        </w:tc>
        <w:tc>
          <w:tcPr>
            <w:tcW w:type="dxa" w:w="4380"/>
            <w:shd w:fill="1F4E79" w:color="auto" w:val="clear"/>
            <w:tcMar>
              <w:top w:type="dxa" w:w="40"/>
              <w:left w:type="dxa" w:w="80"/>
              <w:bottom w:type="dxa" w:w="40"/>
              <w:right w:type="dxa" w:w="80"/>
            </w:tcMar>
          </w:tcPr>
          <w:p>
            <w:pPr>
              <w:spacing w:after="0" w:line="235"/>
              <w:jc w:val="left"/>
            </w:pPr>
            <w:r>
              <w:rPr>
                <w:rFonts w:ascii="Arial" w:cs="Arial" w:eastAsia="Arial" w:hAnsi="Arial"/>
                <w:b/>
                <w:bCs/>
                <w:color w:val="FFFFFF"/>
                <w:sz w:val="16"/>
                <w:szCs w:val="16"/>
              </w:rPr>
              <w:t xml:space="preserve">Checklist al que se enruta</w:t>
            </w:r>
          </w:p>
        </w:tc>
      </w:tr>
      <w:tr>
        <w:trPr>
          <w:cantSplit/>
        </w:trPr>
        <w:tc>
          <w:tcPr>
            <w:tcW w:type="dxa" w:w="1500"/>
            <w:tcMar>
              <w:top w:type="dxa" w:w="40"/>
              <w:left w:type="dxa" w:w="80"/>
              <w:bottom w:type="dxa" w:w="40"/>
              <w:right w:type="dxa" w:w="80"/>
            </w:tcMar>
          </w:tcPr>
          <w:p>
            <w:pPr>
              <w:spacing w:after="0" w:line="235"/>
              <w:jc w:val="left"/>
            </w:pPr>
            <w:r>
              <w:rPr>
                <w:rFonts w:ascii="Arial" w:cs="Arial" w:eastAsia="Arial" w:hAnsi="Arial"/>
                <w:b/>
                <w:bCs/>
                <w:sz w:val="16"/>
                <w:szCs w:val="16"/>
              </w:rPr>
              <w:t xml:space="preserve">NUTRIMENTAL</w:t>
            </w:r>
          </w:p>
        </w:tc>
        <w:tc>
          <w:tcPr>
            <w:tcW w:type="dxa" w:w="3700"/>
            <w:tcMar>
              <w:top w:type="dxa" w:w="40"/>
              <w:left w:type="dxa" w:w="80"/>
              <w:bottom w:type="dxa" w:w="40"/>
              <w:right w:type="dxa" w:w="80"/>
            </w:tcMar>
          </w:tcPr>
          <w:p>
            <w:pPr>
              <w:spacing w:after="0" w:line="235"/>
              <w:jc w:val="left"/>
            </w:pPr>
            <w:r>
              <w:rPr>
                <w:rFonts w:ascii="Arial" w:cs="Arial" w:eastAsia="Arial" w:hAnsi="Arial"/>
                <w:b w:val="false"/>
                <w:bCs w:val="false"/>
                <w:sz w:val="16"/>
                <w:szCs w:val="16"/>
              </w:rPr>
              <w:t xml:space="preserve">Cantidad, ausencia o comparación de un nutrimento (Sin azúcares añadidos)</w:t>
            </w:r>
          </w:p>
        </w:tc>
        <w:tc>
          <w:tcPr>
            <w:tcW w:type="dxa" w:w="4380"/>
            <w:tcMar>
              <w:top w:type="dxa" w:w="40"/>
              <w:left w:type="dxa" w:w="80"/>
              <w:bottom w:type="dxa" w:w="40"/>
              <w:right w:type="dxa" w:w="80"/>
            </w:tcMar>
          </w:tcPr>
          <w:p>
            <w:pPr>
              <w:spacing w:after="0" w:line="235"/>
              <w:jc w:val="left"/>
            </w:pPr>
            <w:r>
              <w:rPr>
                <w:rFonts w:ascii="Arial" w:cs="Arial" w:eastAsia="Arial" w:hAnsi="Arial"/>
                <w:b w:val="false"/>
                <w:bCs w:val="false"/>
                <w:sz w:val="16"/>
                <w:szCs w:val="16"/>
              </w:rPr>
              <w:t xml:space="preserve">Umbrales contra la tabla nutrimental, con reglas deterministas</w:t>
            </w:r>
          </w:p>
        </w:tc>
      </w:tr>
      <w:tr>
        <w:trPr>
          <w:cantSplit/>
        </w:trPr>
        <w:tc>
          <w:tcPr>
            <w:tcW w:type="dxa" w:w="1500"/>
            <w:tcMar>
              <w:top w:type="dxa" w:w="40"/>
              <w:left w:type="dxa" w:w="80"/>
              <w:bottom w:type="dxa" w:w="40"/>
              <w:right w:type="dxa" w:w="80"/>
            </w:tcMar>
          </w:tcPr>
          <w:p>
            <w:pPr>
              <w:spacing w:after="0" w:line="235"/>
              <w:jc w:val="left"/>
            </w:pPr>
            <w:r>
              <w:rPr>
                <w:rFonts w:ascii="Arial" w:cs="Arial" w:eastAsia="Arial" w:hAnsi="Arial"/>
                <w:b/>
                <w:bCs/>
                <w:sz w:val="16"/>
                <w:szCs w:val="16"/>
              </w:rPr>
              <w:t xml:space="preserve">SALUD</w:t>
            </w:r>
          </w:p>
        </w:tc>
        <w:tc>
          <w:tcPr>
            <w:tcW w:type="dxa" w:w="3700"/>
            <w:tcMar>
              <w:top w:type="dxa" w:w="40"/>
              <w:left w:type="dxa" w:w="80"/>
              <w:bottom w:type="dxa" w:w="40"/>
              <w:right w:type="dxa" w:w="80"/>
            </w:tcMar>
          </w:tcPr>
          <w:p>
            <w:pPr>
              <w:spacing w:after="0" w:line="235"/>
              <w:jc w:val="left"/>
            </w:pPr>
            <w:r>
              <w:rPr>
                <w:rFonts w:ascii="Arial" w:cs="Arial" w:eastAsia="Arial" w:hAnsi="Arial"/>
                <w:b w:val="false"/>
                <w:bCs w:val="false"/>
                <w:sz w:val="16"/>
                <w:szCs w:val="16"/>
              </w:rPr>
              <w:t xml:space="preserve">Relación entre un nutrimento y la salud (El calcio es necesario para los huesos)</w:t>
            </w:r>
          </w:p>
        </w:tc>
        <w:tc>
          <w:tcPr>
            <w:tcW w:type="dxa" w:w="4380"/>
            <w:tcMar>
              <w:top w:type="dxa" w:w="40"/>
              <w:left w:type="dxa" w:w="80"/>
              <w:bottom w:type="dxa" w:w="40"/>
              <w:right w:type="dxa" w:w="80"/>
            </w:tcMar>
          </w:tcPr>
          <w:p>
            <w:pPr>
              <w:spacing w:after="0" w:line="235"/>
              <w:jc w:val="left"/>
            </w:pPr>
            <w:r>
              <w:rPr>
                <w:rFonts w:ascii="Arial" w:cs="Arial" w:eastAsia="Arial" w:hAnsi="Arial"/>
                <w:b w:val="false"/>
                <w:bCs w:val="false"/>
                <w:sz w:val="16"/>
                <w:szCs w:val="16"/>
              </w:rPr>
              <w:t xml:space="preserve">Lista de declaraciones autorizadas y evidencia; es la de mayor riesgo regulatorio</w:t>
            </w:r>
          </w:p>
        </w:tc>
      </w:tr>
      <w:tr>
        <w:trPr>
          <w:cantSplit/>
        </w:trPr>
        <w:tc>
          <w:tcPr>
            <w:tcW w:type="dxa" w:w="1500"/>
            <w:tcMar>
              <w:top w:type="dxa" w:w="40"/>
              <w:left w:type="dxa" w:w="80"/>
              <w:bottom w:type="dxa" w:w="40"/>
              <w:right w:type="dxa" w:w="80"/>
            </w:tcMar>
          </w:tcPr>
          <w:p>
            <w:pPr>
              <w:spacing w:after="0" w:line="235"/>
              <w:jc w:val="left"/>
            </w:pPr>
            <w:r>
              <w:rPr>
                <w:rFonts w:ascii="Arial" w:cs="Arial" w:eastAsia="Arial" w:hAnsi="Arial"/>
                <w:b/>
                <w:bCs/>
                <w:sz w:val="16"/>
                <w:szCs w:val="16"/>
              </w:rPr>
              <w:t xml:space="preserve">AUSENCIA</w:t>
            </w:r>
          </w:p>
        </w:tc>
        <w:tc>
          <w:tcPr>
            <w:tcW w:type="dxa" w:w="3700"/>
            <w:tcMar>
              <w:top w:type="dxa" w:w="40"/>
              <w:left w:type="dxa" w:w="80"/>
              <w:bottom w:type="dxa" w:w="40"/>
              <w:right w:type="dxa" w:w="80"/>
            </w:tcMar>
          </w:tcPr>
          <w:p>
            <w:pPr>
              <w:spacing w:after="0" w:line="235"/>
              <w:jc w:val="left"/>
            </w:pPr>
            <w:r>
              <w:rPr>
                <w:rFonts w:ascii="Arial" w:cs="Arial" w:eastAsia="Arial" w:hAnsi="Arial"/>
                <w:b w:val="false"/>
                <w:bCs w:val="false"/>
                <w:sz w:val="16"/>
                <w:szCs w:val="16"/>
              </w:rPr>
              <w:t xml:space="preserve">Ausencia de alérgeno, aditivo o ingrediente (Sin gluten)</w:t>
            </w:r>
          </w:p>
        </w:tc>
        <w:tc>
          <w:tcPr>
            <w:tcW w:type="dxa" w:w="4380"/>
            <w:tcMar>
              <w:top w:type="dxa" w:w="40"/>
              <w:left w:type="dxa" w:w="80"/>
              <w:bottom w:type="dxa" w:w="40"/>
              <w:right w:type="dxa" w:w="80"/>
            </w:tcMar>
          </w:tcPr>
          <w:p>
            <w:pPr>
              <w:spacing w:after="0" w:line="235"/>
              <w:jc w:val="left"/>
            </w:pPr>
            <w:r>
              <w:rPr>
                <w:rFonts w:ascii="Arial" w:cs="Arial" w:eastAsia="Arial" w:hAnsi="Arial"/>
                <w:b w:val="false"/>
                <w:bCs w:val="false"/>
                <w:sz w:val="16"/>
                <w:szCs w:val="16"/>
              </w:rPr>
              <w:t xml:space="preserve">Evidencia analítica, p. ej., gluten &lt; 20 mg/kg, y control de alérgenos</w:t>
            </w:r>
          </w:p>
        </w:tc>
      </w:tr>
      <w:tr>
        <w:trPr>
          <w:cantSplit/>
        </w:trPr>
        <w:tc>
          <w:tcPr>
            <w:tcW w:type="dxa" w:w="1500"/>
            <w:tcMar>
              <w:top w:type="dxa" w:w="40"/>
              <w:left w:type="dxa" w:w="80"/>
              <w:bottom w:type="dxa" w:w="40"/>
              <w:right w:type="dxa" w:w="80"/>
            </w:tcMar>
          </w:tcPr>
          <w:p>
            <w:pPr>
              <w:spacing w:after="0" w:line="235"/>
              <w:jc w:val="left"/>
            </w:pPr>
            <w:r>
              <w:rPr>
                <w:rFonts w:ascii="Arial" w:cs="Arial" w:eastAsia="Arial" w:hAnsi="Arial"/>
                <w:b/>
                <w:bCs/>
                <w:sz w:val="16"/>
                <w:szCs w:val="16"/>
              </w:rPr>
              <w:t xml:space="preserve">MARKETING</w:t>
            </w:r>
          </w:p>
        </w:tc>
        <w:tc>
          <w:tcPr>
            <w:tcW w:type="dxa" w:w="3700"/>
            <w:tcMar>
              <w:top w:type="dxa" w:w="40"/>
              <w:left w:type="dxa" w:w="80"/>
              <w:bottom w:type="dxa" w:w="40"/>
              <w:right w:type="dxa" w:w="80"/>
            </w:tcMar>
          </w:tcPr>
          <w:p>
            <w:pPr>
              <w:spacing w:after="0" w:line="235"/>
              <w:jc w:val="left"/>
            </w:pPr>
            <w:r>
              <w:rPr>
                <w:rFonts w:ascii="Arial" w:cs="Arial" w:eastAsia="Arial" w:hAnsi="Arial"/>
                <w:b w:val="false"/>
                <w:bCs w:val="false"/>
                <w:sz w:val="16"/>
                <w:szCs w:val="16"/>
              </w:rPr>
              <w:t xml:space="preserve">Calidad, origen, proceso o sabor (Receta tradicional)</w:t>
            </w:r>
          </w:p>
        </w:tc>
        <w:tc>
          <w:tcPr>
            <w:tcW w:type="dxa" w:w="4380"/>
            <w:tcMar>
              <w:top w:type="dxa" w:w="40"/>
              <w:left w:type="dxa" w:w="80"/>
              <w:bottom w:type="dxa" w:w="40"/>
              <w:right w:type="dxa" w:w="80"/>
            </w:tcMar>
          </w:tcPr>
          <w:p>
            <w:pPr>
              <w:spacing w:after="0" w:line="235"/>
              <w:jc w:val="left"/>
            </w:pPr>
            <w:r>
              <w:rPr>
                <w:rFonts w:ascii="Arial" w:cs="Arial" w:eastAsia="Arial" w:hAnsi="Arial"/>
                <w:b w:val="false"/>
                <w:bCs w:val="false"/>
                <w:sz w:val="16"/>
                <w:szCs w:val="16"/>
              </w:rPr>
              <w:t xml:space="preserve">Veracidad y que no induzca a error</w:t>
            </w:r>
          </w:p>
        </w:tc>
      </w:tr>
    </w:tbl>
    <w:p>
      <w:pPr>
        <w:spacing w:after="90" w:before="100" w:line="256"/>
        <w:jc w:val="both"/>
      </w:pPr>
      <w:r>
        <w:rPr>
          <w:rFonts w:ascii="Arial" w:cs="Arial" w:eastAsia="Arial" w:hAnsi="Arial"/>
          <w:b/>
          <w:bCs/>
          <w:sz w:val="19"/>
          <w:szCs w:val="19"/>
        </w:rPr>
        <w:t xml:space="preserve">Dataset. </w:t>
      </w:r>
      <w:r>
        <w:rPr>
          <w:rFonts w:ascii="Arial" w:cs="Arial" w:eastAsia="Arial" w:hAnsi="Arial"/>
          <w:sz w:val="19"/>
          <w:szCs w:val="19"/>
        </w:rPr>
        <w:t xml:space="preserve">240 claims propios en español (NUTRIMENTAL 70, SALUD 60, AUSENCIA 55, MARKETING 55), redactados a partir de la estructura de los reglamentos (CE) 1924/2006, (UE) 432/2012 y 828/2014, 21 CFR 101 y NOM-051; 43 son casos frontera. No incluye etiquetas de clientes. Partición estratificada: dev (71) para elegir el ajuste y el umbral, test (169) para las métricas finales. Un script con semilla fija lo regenera idéntico.</w:t>
      </w:r>
    </w:p>
    <w:p>
      <w:pPr>
        <w:keepNext/>
        <w:pBdr>
          <w:bottom w:val="single" w:color="BFBFBF" w:sz="6" w:space="2"/>
        </w:pBdr>
        <w:spacing w:after="85" w:before="190"/>
      </w:pPr>
      <w:r>
        <w:rPr>
          <w:rFonts w:ascii="Arial" w:cs="Arial" w:eastAsia="Arial" w:hAnsi="Arial"/>
          <w:b/>
          <w:bCs/>
          <w:color w:val="1F4E79"/>
          <w:sz w:val="23"/>
          <w:szCs w:val="23"/>
        </w:rPr>
        <w:t xml:space="preserve">2. Criterios de selección</w:t>
      </w:r>
    </w:p>
    <w:p>
      <w:pPr>
        <w:spacing w:after="90" w:before="0" w:line="256"/>
        <w:jc w:val="both"/>
      </w:pPr>
      <w:r>
        <w:rPr>
          <w:rFonts w:ascii="Arial" w:cs="Arial" w:eastAsia="Arial" w:hAnsi="Arial"/>
          <w:sz w:val="19"/>
          <w:szCs w:val="19"/>
        </w:rPr>
        <w:t xml:space="preserve">Los criterios y sus umbrales se fijaron antes de ejecutar, para que la elección no dependa de la popularidad del modelo ni se acomode a los resultados.</w:t>
      </w:r>
    </w:p>
    <w:tbl>
      <w:tblPr>
        <w:tblW w:type="dxa" w:w="9580"/>
        <w:tblBorders>
          <w:top w:val="single" w:color="BFBFBF" w:sz="4"/>
          <w:left w:val="single" w:color="BFBFBF" w:sz="4"/>
          <w:bottom w:val="single" w:color="BFBFBF" w:sz="4"/>
          <w:right w:val="single" w:color="BFBFBF" w:sz="4"/>
          <w:insideH w:val="single" w:color="BFBFBF" w:sz="4"/>
          <w:insideV w:val="single" w:color="BFBFBF" w:sz="4"/>
        </w:tblBorders>
        <w:tblLayout w:type="fixed"/>
      </w:tblPr>
      <w:tblGrid>
        <w:gridCol w:w="2300"/>
        <w:gridCol w:w="1250"/>
        <w:gridCol w:w="6030"/>
      </w:tblGrid>
      <w:tr>
        <w:trPr>
          <w:tblHeader/>
        </w:trPr>
        <w:tc>
          <w:tcPr>
            <w:tcW w:type="dxa" w:w="2300"/>
            <w:shd w:fill="1F4E79" w:color="auto" w:val="clear"/>
            <w:tcMar>
              <w:top w:type="dxa" w:w="40"/>
              <w:left w:type="dxa" w:w="80"/>
              <w:bottom w:type="dxa" w:w="40"/>
              <w:right w:type="dxa" w:w="80"/>
            </w:tcMar>
          </w:tcPr>
          <w:p>
            <w:pPr>
              <w:spacing w:after="0" w:line="235"/>
              <w:jc w:val="left"/>
            </w:pPr>
            <w:r>
              <w:rPr>
                <w:rFonts w:ascii="Arial" w:cs="Arial" w:eastAsia="Arial" w:hAnsi="Arial"/>
                <w:b/>
                <w:bCs/>
                <w:color w:val="FFFFFF"/>
                <w:sz w:val="16"/>
                <w:szCs w:val="16"/>
              </w:rPr>
              <w:t xml:space="preserve">Criterio</w:t>
            </w:r>
          </w:p>
        </w:tc>
        <w:tc>
          <w:tcPr>
            <w:tcW w:type="dxa" w:w="1250"/>
            <w:shd w:fill="1F4E79" w:color="auto" w:val="clear"/>
            <w:tcMar>
              <w:top w:type="dxa" w:w="40"/>
              <w:left w:type="dxa" w:w="80"/>
              <w:bottom w:type="dxa" w:w="40"/>
              <w:right w:type="dxa" w:w="80"/>
            </w:tcMar>
          </w:tcPr>
          <w:p>
            <w:pPr>
              <w:spacing w:after="0" w:line="235"/>
              <w:jc w:val="left"/>
            </w:pPr>
            <w:r>
              <w:rPr>
                <w:rFonts w:ascii="Arial" w:cs="Arial" w:eastAsia="Arial" w:hAnsi="Arial"/>
                <w:b/>
                <w:bCs/>
                <w:color w:val="FFFFFF"/>
                <w:sz w:val="16"/>
                <w:szCs w:val="16"/>
              </w:rPr>
              <w:t xml:space="preserve">Tipo</w:t>
            </w:r>
          </w:p>
        </w:tc>
        <w:tc>
          <w:tcPr>
            <w:tcW w:type="dxa" w:w="6030"/>
            <w:shd w:fill="1F4E79" w:color="auto" w:val="clear"/>
            <w:tcMar>
              <w:top w:type="dxa" w:w="40"/>
              <w:left w:type="dxa" w:w="80"/>
              <w:bottom w:type="dxa" w:w="40"/>
              <w:right w:type="dxa" w:w="80"/>
            </w:tcMar>
          </w:tcPr>
          <w:p>
            <w:pPr>
              <w:spacing w:after="0" w:line="235"/>
              <w:jc w:val="left"/>
            </w:pPr>
            <w:r>
              <w:rPr>
                <w:rFonts w:ascii="Arial" w:cs="Arial" w:eastAsia="Arial" w:hAnsi="Arial"/>
                <w:b/>
                <w:bCs/>
                <w:color w:val="FFFFFF"/>
                <w:sz w:val="16"/>
                <w:szCs w:val="16"/>
              </w:rPr>
              <w:t xml:space="preserve">Regla y razón</w:t>
            </w:r>
          </w:p>
        </w:tc>
      </w:tr>
      <w:tr>
        <w:trPr>
          <w:cantSplit/>
        </w:trPr>
        <w:tc>
          <w:tcPr>
            <w:tcW w:type="dxa" w:w="2300"/>
            <w:tcMar>
              <w:top w:type="dxa" w:w="40"/>
              <w:left w:type="dxa" w:w="80"/>
              <w:bottom w:type="dxa" w:w="40"/>
              <w:right w:type="dxa" w:w="80"/>
            </w:tcMar>
          </w:tcPr>
          <w:p>
            <w:pPr>
              <w:spacing w:after="0" w:line="235"/>
              <w:jc w:val="left"/>
            </w:pPr>
            <w:r>
              <w:rPr>
                <w:rFonts w:ascii="Arial" w:cs="Arial" w:eastAsia="Arial" w:hAnsi="Arial"/>
                <w:b/>
                <w:bCs/>
                <w:sz w:val="16"/>
                <w:szCs w:val="16"/>
              </w:rPr>
              <w:t xml:space="preserve">Tarea y modelo NLI zero-shot</w:t>
            </w:r>
          </w:p>
        </w:tc>
        <w:tc>
          <w:tcPr>
            <w:tcW w:type="dxa" w:w="1250"/>
            <w:tcMar>
              <w:top w:type="dxa" w:w="40"/>
              <w:left w:type="dxa" w:w="80"/>
              <w:bottom w:type="dxa" w:w="40"/>
              <w:right w:type="dxa" w:w="80"/>
            </w:tcMar>
          </w:tcPr>
          <w:p>
            <w:pPr>
              <w:spacing w:after="0" w:line="235"/>
              <w:jc w:val="left"/>
            </w:pPr>
            <w:r>
              <w:rPr>
                <w:rFonts w:ascii="Arial" w:cs="Arial" w:eastAsia="Arial" w:hAnsi="Arial"/>
                <w:b w:val="false"/>
                <w:bCs w:val="false"/>
                <w:sz w:val="16"/>
                <w:szCs w:val="16"/>
              </w:rPr>
              <w:t xml:space="preserve">Técnico</w:t>
            </w:r>
          </w:p>
        </w:tc>
        <w:tc>
          <w:tcPr>
            <w:tcW w:type="dxa" w:w="6030"/>
            <w:tcMar>
              <w:top w:type="dxa" w:w="40"/>
              <w:left w:type="dxa" w:w="80"/>
              <w:bottom w:type="dxa" w:w="40"/>
              <w:right w:type="dxa" w:w="80"/>
            </w:tcMar>
          </w:tcPr>
          <w:p>
            <w:pPr>
              <w:spacing w:after="0" w:line="235"/>
              <w:jc w:val="left"/>
            </w:pPr>
            <w:r>
              <w:rPr>
                <w:rFonts w:ascii="Arial" w:cs="Arial" w:eastAsia="Arial" w:hAnsi="Arial"/>
                <w:b w:val="false"/>
                <w:bCs w:val="false"/>
                <w:sz w:val="16"/>
                <w:szCs w:val="16"/>
              </w:rPr>
              <w:t xml:space="preserve">Sin claims reales etiquetados para entrenar; las clases se definen en lenguaje natural y se editan si cambia la norma</w:t>
            </w:r>
          </w:p>
        </w:tc>
      </w:tr>
      <w:tr>
        <w:trPr>
          <w:cantSplit/>
        </w:trPr>
        <w:tc>
          <w:tcPr>
            <w:tcW w:type="dxa" w:w="2300"/>
            <w:tcMar>
              <w:top w:type="dxa" w:w="40"/>
              <w:left w:type="dxa" w:w="80"/>
              <w:bottom w:type="dxa" w:w="40"/>
              <w:right w:type="dxa" w:w="80"/>
            </w:tcMar>
          </w:tcPr>
          <w:p>
            <w:pPr>
              <w:spacing w:after="0" w:line="235"/>
              <w:jc w:val="left"/>
            </w:pPr>
            <w:r>
              <w:rPr>
                <w:rFonts w:ascii="Arial" w:cs="Arial" w:eastAsia="Arial" w:hAnsi="Arial"/>
                <w:b/>
                <w:bCs/>
                <w:sz w:val="16"/>
                <w:szCs w:val="16"/>
              </w:rPr>
              <w:t xml:space="preserve">Español</w:t>
            </w:r>
          </w:p>
        </w:tc>
        <w:tc>
          <w:tcPr>
            <w:tcW w:type="dxa" w:w="1250"/>
            <w:tcMar>
              <w:top w:type="dxa" w:w="40"/>
              <w:left w:type="dxa" w:w="80"/>
              <w:bottom w:type="dxa" w:w="40"/>
              <w:right w:type="dxa" w:w="80"/>
            </w:tcMar>
          </w:tcPr>
          <w:p>
            <w:pPr>
              <w:spacing w:after="0" w:line="235"/>
              <w:jc w:val="left"/>
            </w:pPr>
            <w:r>
              <w:rPr>
                <w:rFonts w:ascii="Arial" w:cs="Arial" w:eastAsia="Arial" w:hAnsi="Arial"/>
                <w:b w:val="false"/>
                <w:bCs w:val="false"/>
                <w:sz w:val="16"/>
                <w:szCs w:val="16"/>
              </w:rPr>
              <w:t xml:space="preserve">Técnico</w:t>
            </w:r>
          </w:p>
        </w:tc>
        <w:tc>
          <w:tcPr>
            <w:tcW w:type="dxa" w:w="6030"/>
            <w:tcMar>
              <w:top w:type="dxa" w:w="40"/>
              <w:left w:type="dxa" w:w="80"/>
              <w:bottom w:type="dxa" w:w="40"/>
              <w:right w:type="dxa" w:w="80"/>
            </w:tcMar>
          </w:tcPr>
          <w:p>
            <w:pPr>
              <w:spacing w:after="0" w:line="235"/>
              <w:jc w:val="left"/>
            </w:pPr>
            <w:r>
              <w:rPr>
                <w:rFonts w:ascii="Arial" w:cs="Arial" w:eastAsia="Arial" w:hAnsi="Arial"/>
                <w:b w:val="false"/>
                <w:bCs w:val="false"/>
                <w:sz w:val="16"/>
                <w:szCs w:val="16"/>
              </w:rPr>
              <w:t xml:space="preserve">Obligatorio: modelos entrenados con XNLI, que incluye español</w:t>
            </w:r>
          </w:p>
        </w:tc>
      </w:tr>
      <w:tr>
        <w:trPr>
          <w:cantSplit/>
        </w:trPr>
        <w:tc>
          <w:tcPr>
            <w:tcW w:type="dxa" w:w="2300"/>
            <w:tcMar>
              <w:top w:type="dxa" w:w="40"/>
              <w:left w:type="dxa" w:w="80"/>
              <w:bottom w:type="dxa" w:w="40"/>
              <w:right w:type="dxa" w:w="80"/>
            </w:tcMar>
          </w:tcPr>
          <w:p>
            <w:pPr>
              <w:spacing w:after="0" w:line="235"/>
              <w:jc w:val="left"/>
            </w:pPr>
            <w:r>
              <w:rPr>
                <w:rFonts w:ascii="Arial" w:cs="Arial" w:eastAsia="Arial" w:hAnsi="Arial"/>
                <w:b/>
                <w:bCs/>
                <w:sz w:val="16"/>
                <w:szCs w:val="16"/>
              </w:rPr>
              <w:t xml:space="preserve">macro-F1 en test</w:t>
            </w:r>
          </w:p>
        </w:tc>
        <w:tc>
          <w:tcPr>
            <w:tcW w:type="dxa" w:w="1250"/>
            <w:tcMar>
              <w:top w:type="dxa" w:w="40"/>
              <w:left w:type="dxa" w:w="80"/>
              <w:bottom w:type="dxa" w:w="40"/>
              <w:right w:type="dxa" w:w="80"/>
            </w:tcMar>
          </w:tcPr>
          <w:p>
            <w:pPr>
              <w:spacing w:after="0" w:line="235"/>
              <w:jc w:val="left"/>
            </w:pPr>
            <w:r>
              <w:rPr>
                <w:rFonts w:ascii="Arial" w:cs="Arial" w:eastAsia="Arial" w:hAnsi="Arial"/>
                <w:b w:val="false"/>
                <w:bCs w:val="false"/>
                <w:sz w:val="16"/>
                <w:szCs w:val="16"/>
              </w:rPr>
              <w:t xml:space="preserve">Técnico</w:t>
            </w:r>
          </w:p>
        </w:tc>
        <w:tc>
          <w:tcPr>
            <w:tcW w:type="dxa" w:w="6030"/>
            <w:tcMar>
              <w:top w:type="dxa" w:w="40"/>
              <w:left w:type="dxa" w:w="80"/>
              <w:bottom w:type="dxa" w:w="40"/>
              <w:right w:type="dxa" w:w="80"/>
            </w:tcMar>
          </w:tcPr>
          <w:p>
            <w:pPr>
              <w:spacing w:after="0" w:line="235"/>
              <w:jc w:val="left"/>
            </w:pPr>
            <w:r>
              <w:rPr>
                <w:rFonts w:ascii="Arial" w:cs="Arial" w:eastAsia="Arial" w:hAnsi="Arial"/>
                <w:b w:val="false"/>
                <w:bCs w:val="false"/>
                <w:sz w:val="16"/>
                <w:szCs w:val="16"/>
              </w:rPr>
              <w:t xml:space="preserve">≥ 0.80. Las cuatro clases pesan igual para el negocio aunque tengan distinto tamaño</w:t>
            </w:r>
          </w:p>
        </w:tc>
      </w:tr>
      <w:tr>
        <w:trPr>
          <w:cantSplit/>
        </w:trPr>
        <w:tc>
          <w:tcPr>
            <w:tcW w:type="dxa" w:w="2300"/>
            <w:tcMar>
              <w:top w:type="dxa" w:w="40"/>
              <w:left w:type="dxa" w:w="80"/>
              <w:bottom w:type="dxa" w:w="40"/>
              <w:right w:type="dxa" w:w="80"/>
            </w:tcMar>
          </w:tcPr>
          <w:p>
            <w:pPr>
              <w:spacing w:after="0" w:line="235"/>
              <w:jc w:val="left"/>
            </w:pPr>
            <w:r>
              <w:rPr>
                <w:rFonts w:ascii="Arial" w:cs="Arial" w:eastAsia="Arial" w:hAnsi="Arial"/>
                <w:b/>
                <w:bCs/>
                <w:sz w:val="16"/>
                <w:szCs w:val="16"/>
              </w:rPr>
              <w:t xml:space="preserve">Recall de SALUD</w:t>
            </w:r>
          </w:p>
        </w:tc>
        <w:tc>
          <w:tcPr>
            <w:tcW w:type="dxa" w:w="1250"/>
            <w:tcMar>
              <w:top w:type="dxa" w:w="40"/>
              <w:left w:type="dxa" w:w="80"/>
              <w:bottom w:type="dxa" w:w="40"/>
              <w:right w:type="dxa" w:w="80"/>
            </w:tcMar>
          </w:tcPr>
          <w:p>
            <w:pPr>
              <w:spacing w:after="0" w:line="235"/>
              <w:jc w:val="left"/>
            </w:pPr>
            <w:r>
              <w:rPr>
                <w:rFonts w:ascii="Arial" w:cs="Arial" w:eastAsia="Arial" w:hAnsi="Arial"/>
                <w:b w:val="false"/>
                <w:bCs w:val="false"/>
                <w:sz w:val="16"/>
                <w:szCs w:val="16"/>
              </w:rPr>
              <w:t xml:space="preserve">Negocio</w:t>
            </w:r>
          </w:p>
        </w:tc>
        <w:tc>
          <w:tcPr>
            <w:tcW w:type="dxa" w:w="6030"/>
            <w:tcMar>
              <w:top w:type="dxa" w:w="40"/>
              <w:left w:type="dxa" w:w="80"/>
              <w:bottom w:type="dxa" w:w="40"/>
              <w:right w:type="dxa" w:w="80"/>
            </w:tcMar>
          </w:tcPr>
          <w:p>
            <w:pPr>
              <w:spacing w:after="0" w:line="235"/>
              <w:jc w:val="left"/>
            </w:pPr>
            <w:r>
              <w:rPr>
                <w:rFonts w:ascii="Arial" w:cs="Arial" w:eastAsia="Arial" w:hAnsi="Arial"/>
                <w:b w:val="false"/>
                <w:bCs w:val="false"/>
                <w:sz w:val="16"/>
                <w:szCs w:val="16"/>
              </w:rPr>
              <w:t xml:space="preserve">≥ 0.90. Un claim de salud mal enrutado se salta la verificación de autorización</w:t>
            </w:r>
          </w:p>
        </w:tc>
      </w:tr>
      <w:tr>
        <w:trPr>
          <w:cantSplit/>
        </w:trPr>
        <w:tc>
          <w:tcPr>
            <w:tcW w:type="dxa" w:w="2300"/>
            <w:tcMar>
              <w:top w:type="dxa" w:w="40"/>
              <w:left w:type="dxa" w:w="80"/>
              <w:bottom w:type="dxa" w:w="40"/>
              <w:right w:type="dxa" w:w="80"/>
            </w:tcMar>
          </w:tcPr>
          <w:p>
            <w:pPr>
              <w:spacing w:after="0" w:line="235"/>
              <w:jc w:val="left"/>
            </w:pPr>
            <w:r>
              <w:rPr>
                <w:rFonts w:ascii="Arial" w:cs="Arial" w:eastAsia="Arial" w:hAnsi="Arial"/>
                <w:b/>
                <w:bCs/>
                <w:sz w:val="16"/>
                <w:szCs w:val="16"/>
              </w:rPr>
              <w:t xml:space="preserve">Latencia</w:t>
            </w:r>
          </w:p>
        </w:tc>
        <w:tc>
          <w:tcPr>
            <w:tcW w:type="dxa" w:w="1250"/>
            <w:tcMar>
              <w:top w:type="dxa" w:w="40"/>
              <w:left w:type="dxa" w:w="80"/>
              <w:bottom w:type="dxa" w:w="40"/>
              <w:right w:type="dxa" w:w="80"/>
            </w:tcMar>
          </w:tcPr>
          <w:p>
            <w:pPr>
              <w:spacing w:after="0" w:line="235"/>
              <w:jc w:val="left"/>
            </w:pPr>
            <w:r>
              <w:rPr>
                <w:rFonts w:ascii="Arial" w:cs="Arial" w:eastAsia="Arial" w:hAnsi="Arial"/>
                <w:b w:val="false"/>
                <w:bCs w:val="false"/>
                <w:sz w:val="16"/>
                <w:szCs w:val="16"/>
              </w:rPr>
              <w:t xml:space="preserve">Técnico</w:t>
            </w:r>
          </w:p>
        </w:tc>
        <w:tc>
          <w:tcPr>
            <w:tcW w:type="dxa" w:w="6030"/>
            <w:tcMar>
              <w:top w:type="dxa" w:w="40"/>
              <w:left w:type="dxa" w:w="80"/>
              <w:bottom w:type="dxa" w:w="40"/>
              <w:right w:type="dxa" w:w="80"/>
            </w:tcMar>
          </w:tcPr>
          <w:p>
            <w:pPr>
              <w:spacing w:after="0" w:line="235"/>
              <w:jc w:val="left"/>
            </w:pPr>
            <w:r>
              <w:rPr>
                <w:rFonts w:ascii="Arial" w:cs="Arial" w:eastAsia="Arial" w:hAnsi="Arial"/>
                <w:b w:val="false"/>
                <w:bCs w:val="false"/>
                <w:sz w:val="16"/>
                <w:szCs w:val="16"/>
              </w:rPr>
              <w:t xml:space="preserve">≤ 300 ms por claim en GPU T4; con ~8 claims, menos de 3 s por etiqueta</w:t>
            </w:r>
          </w:p>
        </w:tc>
      </w:tr>
      <w:tr>
        <w:trPr>
          <w:cantSplit/>
        </w:trPr>
        <w:tc>
          <w:tcPr>
            <w:tcW w:type="dxa" w:w="2300"/>
            <w:tcMar>
              <w:top w:type="dxa" w:w="40"/>
              <w:left w:type="dxa" w:w="80"/>
              <w:bottom w:type="dxa" w:w="40"/>
              <w:right w:type="dxa" w:w="80"/>
            </w:tcMar>
          </w:tcPr>
          <w:p>
            <w:pPr>
              <w:spacing w:after="0" w:line="235"/>
              <w:jc w:val="left"/>
            </w:pPr>
            <w:r>
              <w:rPr>
                <w:rFonts w:ascii="Arial" w:cs="Arial" w:eastAsia="Arial" w:hAnsi="Arial"/>
                <w:b/>
                <w:bCs/>
                <w:sz w:val="16"/>
                <w:szCs w:val="16"/>
              </w:rPr>
              <w:t xml:space="preserve">Costo y recursos</w:t>
            </w:r>
          </w:p>
        </w:tc>
        <w:tc>
          <w:tcPr>
            <w:tcW w:type="dxa" w:w="1250"/>
            <w:tcMar>
              <w:top w:type="dxa" w:w="40"/>
              <w:left w:type="dxa" w:w="80"/>
              <w:bottom w:type="dxa" w:w="40"/>
              <w:right w:type="dxa" w:w="80"/>
            </w:tcMar>
          </w:tcPr>
          <w:p>
            <w:pPr>
              <w:spacing w:after="0" w:line="235"/>
              <w:jc w:val="left"/>
            </w:pPr>
            <w:r>
              <w:rPr>
                <w:rFonts w:ascii="Arial" w:cs="Arial" w:eastAsia="Arial" w:hAnsi="Arial"/>
                <w:b w:val="false"/>
                <w:bCs w:val="false"/>
                <w:sz w:val="16"/>
                <w:szCs w:val="16"/>
              </w:rPr>
              <w:t xml:space="preserve">Práctico</w:t>
            </w:r>
          </w:p>
        </w:tc>
        <w:tc>
          <w:tcPr>
            <w:tcW w:type="dxa" w:w="6030"/>
            <w:tcMar>
              <w:top w:type="dxa" w:w="40"/>
              <w:left w:type="dxa" w:w="80"/>
              <w:bottom w:type="dxa" w:w="40"/>
              <w:right w:type="dxa" w:w="80"/>
            </w:tcMar>
          </w:tcPr>
          <w:p>
            <w:pPr>
              <w:spacing w:after="0" w:line="235"/>
              <w:jc w:val="left"/>
            </w:pPr>
            <w:r>
              <w:rPr>
                <w:rFonts w:ascii="Arial" w:cs="Arial" w:eastAsia="Arial" w:hAnsi="Arial"/>
                <w:b w:val="false"/>
                <w:bCs w:val="false"/>
                <w:sz w:val="16"/>
                <w:szCs w:val="16"/>
              </w:rPr>
              <w:t xml:space="preserve">Parámetros, VRAM y horas de cómputo al volumen anual; menor es mejor</w:t>
            </w:r>
          </w:p>
        </w:tc>
      </w:tr>
      <w:tr>
        <w:trPr>
          <w:cantSplit/>
        </w:trPr>
        <w:tc>
          <w:tcPr>
            <w:tcW w:type="dxa" w:w="2300"/>
            <w:tcMar>
              <w:top w:type="dxa" w:w="40"/>
              <w:left w:type="dxa" w:w="80"/>
              <w:bottom w:type="dxa" w:w="40"/>
              <w:right w:type="dxa" w:w="80"/>
            </w:tcMar>
          </w:tcPr>
          <w:p>
            <w:pPr>
              <w:spacing w:after="0" w:line="235"/>
              <w:jc w:val="left"/>
            </w:pPr>
            <w:r>
              <w:rPr>
                <w:rFonts w:ascii="Arial" w:cs="Arial" w:eastAsia="Arial" w:hAnsi="Arial"/>
                <w:b/>
                <w:bCs/>
                <w:sz w:val="16"/>
                <w:szCs w:val="16"/>
              </w:rPr>
              <w:t xml:space="preserve">Licencia y despliegue</w:t>
            </w:r>
          </w:p>
        </w:tc>
        <w:tc>
          <w:tcPr>
            <w:tcW w:type="dxa" w:w="1250"/>
            <w:tcMar>
              <w:top w:type="dxa" w:w="40"/>
              <w:left w:type="dxa" w:w="80"/>
              <w:bottom w:type="dxa" w:w="40"/>
              <w:right w:type="dxa" w:w="80"/>
            </w:tcMar>
          </w:tcPr>
          <w:p>
            <w:pPr>
              <w:spacing w:after="0" w:line="235"/>
              <w:jc w:val="left"/>
            </w:pPr>
            <w:r>
              <w:rPr>
                <w:rFonts w:ascii="Arial" w:cs="Arial" w:eastAsia="Arial" w:hAnsi="Arial"/>
                <w:b w:val="false"/>
                <w:bCs w:val="false"/>
                <w:sz w:val="16"/>
                <w:szCs w:val="16"/>
              </w:rPr>
              <w:t xml:space="preserve">Práctico</w:t>
            </w:r>
          </w:p>
        </w:tc>
        <w:tc>
          <w:tcPr>
            <w:tcW w:type="dxa" w:w="6030"/>
            <w:tcMar>
              <w:top w:type="dxa" w:w="40"/>
              <w:left w:type="dxa" w:w="80"/>
              <w:bottom w:type="dxa" w:w="40"/>
              <w:right w:type="dxa" w:w="80"/>
            </w:tcMar>
          </w:tcPr>
          <w:p>
            <w:pPr>
              <w:spacing w:after="0" w:line="235"/>
              <w:jc w:val="left"/>
            </w:pPr>
            <w:r>
              <w:rPr>
                <w:rFonts w:ascii="Arial" w:cs="Arial" w:eastAsia="Arial" w:hAnsi="Arial"/>
                <w:b w:val="false"/>
                <w:bCs w:val="false"/>
                <w:sz w:val="16"/>
                <w:szCs w:val="16"/>
              </w:rPr>
              <w:t xml:space="preserve">Uso comercial permitido y pesos abiertos para ejecutar en sitio, sin enviar etiquetas confidenciales a una API externa</w:t>
            </w:r>
          </w:p>
        </w:tc>
      </w:tr>
    </w:tbl>
    <w:p>
      <w:pPr>
        <w:spacing w:after="90" w:before="100" w:line="256"/>
        <w:jc w:val="both"/>
      </w:pPr>
      <w:r>
        <w:rPr>
          <w:rFonts w:ascii="Arial" w:cs="Arial" w:eastAsia="Arial" w:hAnsi="Arial"/>
          <w:b/>
          <w:bCs/>
          <w:sz w:val="19"/>
          <w:szCs w:val="19"/>
        </w:rPr>
        <w:t xml:space="preserve">Regla de decisión. </w:t>
      </w:r>
      <w:r>
        <w:rPr>
          <w:rFonts w:ascii="Arial" w:cs="Arial" w:eastAsia="Arial" w:hAnsi="Arial"/>
          <w:sz w:val="19"/>
          <w:szCs w:val="19"/>
        </w:rPr>
        <w:t xml:space="preserve">Gana el modelo que cumpla los tres umbrales; si varios cumplen y están a 0.02 o menos del mejor macro-F1, el más eficiente. Si ninguno cumple, se recomienda el de mayor macro-F1 como base para fine-tuning. Se descartaron modelos solo en inglés, de sentimiento (otra tarea) y LLM generativos (más costosos, no deterministas y difíciles de auditar).</w:t>
      </w:r>
    </w:p>
    <w:p>
      <w:pPr>
        <w:keepNext/>
        <w:pageBreakBefore/>
        <w:pBdr>
          <w:bottom w:val="single" w:color="BFBFBF" w:sz="6" w:space="2"/>
        </w:pBdr>
        <w:spacing w:after="85" w:before="190"/>
      </w:pPr>
      <w:r>
        <w:rPr>
          <w:rFonts w:ascii="Arial" w:cs="Arial" w:eastAsia="Arial" w:hAnsi="Arial"/>
          <w:b/>
          <w:bCs/>
          <w:color w:val="1F4E79"/>
          <w:sz w:val="23"/>
          <w:szCs w:val="23"/>
        </w:rPr>
        <w:t xml:space="preserve">3. Tabla comparativa de modelos</w:t>
      </w:r>
    </w:p>
    <w:p>
      <w:pPr>
        <w:keepNext/>
        <w:spacing w:after="90" w:before="0" w:line="256"/>
        <w:jc w:val="both"/>
      </w:pPr>
      <w:r>
        <w:rPr>
          <w:rFonts w:ascii="Arial" w:cs="Arial" w:eastAsia="Arial" w:hAnsi="Arial"/>
          <w:sz w:val="19"/>
          <w:szCs w:val="19"/>
        </w:rPr>
        <w:t xml:space="preserve">Los tres modelos comparten tarea y protocolo (Google Colab con GPU Tesla T4, mismo dataset y partición) y difieren en tamaño. Se hicieron dos ejecuciones: las predicciones y las métricas fueron idénticas, y la tabla muestra la segunda, que es la del notebook entregado. Métricas sobre la partición test (n = 169); en negritas, las que deciden.</w:t>
      </w:r>
    </w:p>
    <w:tbl>
      <w:tblPr>
        <w:tblW w:type="dxa" w:w="9580"/>
        <w:tblBorders>
          <w:top w:val="single" w:color="BFBFBF" w:sz="4"/>
          <w:left w:val="single" w:color="BFBFBF" w:sz="4"/>
          <w:bottom w:val="single" w:color="BFBFBF" w:sz="4"/>
          <w:right w:val="single" w:color="BFBFBF" w:sz="4"/>
          <w:insideH w:val="single" w:color="BFBFBF" w:sz="4"/>
          <w:insideV w:val="single" w:color="BFBFBF" w:sz="4"/>
        </w:tblBorders>
        <w:tblLayout w:type="fixed"/>
      </w:tblPr>
      <w:tblGrid>
        <w:gridCol w:w="2700"/>
        <w:gridCol w:w="2293"/>
        <w:gridCol w:w="2293"/>
        <w:gridCol w:w="2294"/>
      </w:tblGrid>
      <w:tr>
        <w:trPr>
          <w:tblHeader/>
        </w:trPr>
        <w:tc>
          <w:tcPr>
            <w:tcW w:type="dxa" w:w="2700"/>
            <w:shd w:fill="1F4E79" w:color="auto" w:val="clear"/>
            <w:tcMar>
              <w:top w:type="dxa" w:w="40"/>
              <w:left w:type="dxa" w:w="80"/>
              <w:bottom w:type="dxa" w:w="40"/>
              <w:right w:type="dxa" w:w="80"/>
            </w:tcMar>
          </w:tcPr>
          <w:p>
            <w:pPr>
              <w:spacing w:after="0" w:line="235"/>
              <w:jc w:val="left"/>
            </w:pPr>
            <w:r>
              <w:rPr>
                <w:rFonts w:ascii="Arial" w:cs="Arial" w:eastAsia="Arial" w:hAnsi="Arial"/>
                <w:b/>
                <w:bCs/>
                <w:color w:val="FFFFFF"/>
                <w:sz w:val="15"/>
                <w:szCs w:val="15"/>
              </w:rPr>
              <w:t xml:space="preserve">Atributo</w:t>
            </w:r>
          </w:p>
        </w:tc>
        <w:tc>
          <w:tcPr>
            <w:tcW w:type="dxa" w:w="2293"/>
            <w:shd w:fill="1F4E79" w:color="auto" w:val="clear"/>
            <w:tcMar>
              <w:top w:type="dxa" w:w="40"/>
              <w:left w:type="dxa" w:w="80"/>
              <w:bottom w:type="dxa" w:w="40"/>
              <w:right w:type="dxa" w:w="80"/>
            </w:tcMar>
          </w:tcPr>
          <w:p>
            <w:pPr>
              <w:spacing w:after="0" w:line="235"/>
              <w:jc w:val="center"/>
            </w:pPr>
            <w:r>
              <w:rPr>
                <w:rFonts w:ascii="Arial" w:cs="Arial" w:eastAsia="Arial" w:hAnsi="Arial"/>
                <w:b/>
                <w:bCs/>
                <w:color w:val="FFFFFF"/>
                <w:sz w:val="15"/>
                <w:szCs w:val="15"/>
              </w:rPr>
              <w:t xml:space="preserve">MiniLM-L6</w:t>
            </w:r>
          </w:p>
        </w:tc>
        <w:tc>
          <w:tcPr>
            <w:tcW w:type="dxa" w:w="2293"/>
            <w:shd w:fill="1F4E79" w:color="auto" w:val="clear"/>
            <w:tcMar>
              <w:top w:type="dxa" w:w="40"/>
              <w:left w:type="dxa" w:w="80"/>
              <w:bottom w:type="dxa" w:w="40"/>
              <w:right w:type="dxa" w:w="80"/>
            </w:tcMar>
          </w:tcPr>
          <w:p>
            <w:pPr>
              <w:spacing w:after="0" w:line="235"/>
              <w:jc w:val="center"/>
            </w:pPr>
            <w:r>
              <w:rPr>
                <w:rFonts w:ascii="Arial" w:cs="Arial" w:eastAsia="Arial" w:hAnsi="Arial"/>
                <w:b/>
                <w:bCs/>
                <w:color w:val="FFFFFF"/>
                <w:sz w:val="15"/>
                <w:szCs w:val="15"/>
              </w:rPr>
              <w:t xml:space="preserve">mDeBERTa-base</w:t>
            </w:r>
          </w:p>
        </w:tc>
        <w:tc>
          <w:tcPr>
            <w:tcW w:type="dxa" w:w="2294"/>
            <w:shd w:fill="1F4E79" w:color="auto" w:val="clear"/>
            <w:tcMar>
              <w:top w:type="dxa" w:w="40"/>
              <w:left w:type="dxa" w:w="80"/>
              <w:bottom w:type="dxa" w:w="40"/>
              <w:right w:type="dxa" w:w="80"/>
            </w:tcMar>
          </w:tcPr>
          <w:p>
            <w:pPr>
              <w:spacing w:after="0" w:line="235"/>
              <w:jc w:val="center"/>
            </w:pPr>
            <w:r>
              <w:rPr>
                <w:rFonts w:ascii="Arial" w:cs="Arial" w:eastAsia="Arial" w:hAnsi="Arial"/>
                <w:b/>
                <w:bCs/>
                <w:color w:val="FFFFFF"/>
                <w:sz w:val="15"/>
                <w:szCs w:val="15"/>
              </w:rPr>
              <w:t xml:space="preserve">XLM-R-large</w:t>
            </w:r>
          </w:p>
        </w:tc>
      </w:tr>
      <w:tr>
        <w:trPr>
          <w:cantSplit/>
        </w:trPr>
        <w:tc>
          <w:tcPr>
            <w:tcW w:type="dxa" w:w="2700"/>
            <w:shd w:fill="EEF3F8" w:color="auto" w:val="clear"/>
            <w:tcMar>
              <w:top w:type="dxa" w:w="40"/>
              <w:left w:type="dxa" w:w="80"/>
              <w:bottom w:type="dxa" w:w="40"/>
              <w:right w:type="dxa" w:w="80"/>
            </w:tcMar>
          </w:tcPr>
          <w:p>
            <w:pPr>
              <w:spacing w:after="0" w:line="235"/>
              <w:jc w:val="left"/>
            </w:pPr>
            <w:r>
              <w:rPr>
                <w:rFonts w:ascii="Arial" w:cs="Arial" w:eastAsia="Arial" w:hAnsi="Arial"/>
                <w:b/>
                <w:bCs/>
                <w:sz w:val="15"/>
                <w:szCs w:val="15"/>
              </w:rPr>
              <w:t xml:space="preserve">Tarea en el Hub</w:t>
            </w:r>
          </w:p>
        </w:tc>
        <w:tc>
          <w:tcPr>
            <w:tcW w:type="dxa" w:w="2293"/>
            <w:tcMar>
              <w:top w:type="dxa" w:w="40"/>
              <w:left w:type="dxa" w:w="80"/>
              <w:bottom w:type="dxa" w:w="40"/>
              <w:right w:type="dxa" w:w="80"/>
            </w:tcMar>
          </w:tcPr>
          <w:p>
            <w:pPr>
              <w:spacing w:after="0" w:line="235"/>
              <w:jc w:val="center"/>
            </w:pPr>
            <w:r>
              <w:rPr>
                <w:rFonts w:ascii="Arial" w:cs="Arial" w:eastAsia="Arial" w:hAnsi="Arial"/>
                <w:b w:val="false"/>
                <w:bCs w:val="false"/>
                <w:sz w:val="15"/>
                <w:szCs w:val="15"/>
              </w:rPr>
              <w:t xml:space="preserve">zero-shot-classification</w:t>
            </w:r>
          </w:p>
        </w:tc>
        <w:tc>
          <w:tcPr>
            <w:tcW w:type="dxa" w:w="2293"/>
            <w:tcMar>
              <w:top w:type="dxa" w:w="40"/>
              <w:left w:type="dxa" w:w="80"/>
              <w:bottom w:type="dxa" w:w="40"/>
              <w:right w:type="dxa" w:w="80"/>
            </w:tcMar>
          </w:tcPr>
          <w:p>
            <w:pPr>
              <w:spacing w:after="0" w:line="235"/>
              <w:jc w:val="center"/>
            </w:pPr>
            <w:r>
              <w:rPr>
                <w:rFonts w:ascii="Arial" w:cs="Arial" w:eastAsia="Arial" w:hAnsi="Arial"/>
                <w:b w:val="false"/>
                <w:bCs w:val="false"/>
                <w:sz w:val="15"/>
                <w:szCs w:val="15"/>
              </w:rPr>
              <w:t xml:space="preserve">zero-shot-classification</w:t>
            </w:r>
          </w:p>
        </w:tc>
        <w:tc>
          <w:tcPr>
            <w:tcW w:type="dxa" w:w="2294"/>
            <w:tcMar>
              <w:top w:type="dxa" w:w="40"/>
              <w:left w:type="dxa" w:w="80"/>
              <w:bottom w:type="dxa" w:w="40"/>
              <w:right w:type="dxa" w:w="80"/>
            </w:tcMar>
          </w:tcPr>
          <w:p>
            <w:pPr>
              <w:spacing w:after="0" w:line="235"/>
              <w:jc w:val="center"/>
            </w:pPr>
            <w:r>
              <w:rPr>
                <w:rFonts w:ascii="Arial" w:cs="Arial" w:eastAsia="Arial" w:hAnsi="Arial"/>
                <w:b w:val="false"/>
                <w:bCs w:val="false"/>
                <w:sz w:val="15"/>
                <w:szCs w:val="15"/>
              </w:rPr>
              <w:t xml:space="preserve">zero-shot-classification</w:t>
            </w:r>
          </w:p>
        </w:tc>
      </w:tr>
      <w:tr>
        <w:trPr>
          <w:cantSplit/>
        </w:trPr>
        <w:tc>
          <w:tcPr>
            <w:tcW w:type="dxa" w:w="2700"/>
            <w:shd w:fill="EEF3F8" w:color="auto" w:val="clear"/>
            <w:tcMar>
              <w:top w:type="dxa" w:w="40"/>
              <w:left w:type="dxa" w:w="80"/>
              <w:bottom w:type="dxa" w:w="40"/>
              <w:right w:type="dxa" w:w="80"/>
            </w:tcMar>
          </w:tcPr>
          <w:p>
            <w:pPr>
              <w:spacing w:after="0" w:line="235"/>
              <w:jc w:val="left"/>
            </w:pPr>
            <w:r>
              <w:rPr>
                <w:rFonts w:ascii="Arial" w:cs="Arial" w:eastAsia="Arial" w:hAnsi="Arial"/>
                <w:b/>
                <w:bCs/>
                <w:sz w:val="15"/>
                <w:szCs w:val="15"/>
              </w:rPr>
              <w:t xml:space="preserve">Arquitectura</w:t>
            </w:r>
          </w:p>
        </w:tc>
        <w:tc>
          <w:tcPr>
            <w:tcW w:type="dxa" w:w="2293"/>
            <w:tcMar>
              <w:top w:type="dxa" w:w="40"/>
              <w:left w:type="dxa" w:w="80"/>
              <w:bottom w:type="dxa" w:w="40"/>
              <w:right w:type="dxa" w:w="80"/>
            </w:tcMar>
          </w:tcPr>
          <w:p>
            <w:pPr>
              <w:spacing w:after="0" w:line="235"/>
              <w:jc w:val="center"/>
            </w:pPr>
            <w:r>
              <w:rPr>
                <w:rFonts w:ascii="Arial" w:cs="Arial" w:eastAsia="Arial" w:hAnsi="Arial"/>
                <w:b w:val="false"/>
                <w:bCs w:val="false"/>
                <w:sz w:val="15"/>
                <w:szCs w:val="15"/>
              </w:rPr>
              <w:t xml:space="preserve">MiniLMv2, 6 capas (destilado de XLM-R large)</w:t>
            </w:r>
          </w:p>
        </w:tc>
        <w:tc>
          <w:tcPr>
            <w:tcW w:type="dxa" w:w="2293"/>
            <w:tcMar>
              <w:top w:type="dxa" w:w="40"/>
              <w:left w:type="dxa" w:w="80"/>
              <w:bottom w:type="dxa" w:w="40"/>
              <w:right w:type="dxa" w:w="80"/>
            </w:tcMar>
          </w:tcPr>
          <w:p>
            <w:pPr>
              <w:spacing w:after="0" w:line="235"/>
              <w:jc w:val="center"/>
            </w:pPr>
            <w:r>
              <w:rPr>
                <w:rFonts w:ascii="Arial" w:cs="Arial" w:eastAsia="Arial" w:hAnsi="Arial"/>
                <w:b w:val="false"/>
                <w:bCs w:val="false"/>
                <w:sz w:val="15"/>
                <w:szCs w:val="15"/>
              </w:rPr>
              <w:t xml:space="preserve">mDeBERTa-v3 base, 12 capas</w:t>
            </w:r>
          </w:p>
        </w:tc>
        <w:tc>
          <w:tcPr>
            <w:tcW w:type="dxa" w:w="2294"/>
            <w:tcMar>
              <w:top w:type="dxa" w:w="40"/>
              <w:left w:type="dxa" w:w="80"/>
              <w:bottom w:type="dxa" w:w="40"/>
              <w:right w:type="dxa" w:w="80"/>
            </w:tcMar>
          </w:tcPr>
          <w:p>
            <w:pPr>
              <w:spacing w:after="0" w:line="235"/>
              <w:jc w:val="center"/>
            </w:pPr>
            <w:r>
              <w:rPr>
                <w:rFonts w:ascii="Arial" w:cs="Arial" w:eastAsia="Arial" w:hAnsi="Arial"/>
                <w:b w:val="false"/>
                <w:bCs w:val="false"/>
                <w:sz w:val="15"/>
                <w:szCs w:val="15"/>
              </w:rPr>
              <w:t xml:space="preserve">XLM-RoBERTa large, 24 capas</w:t>
            </w:r>
          </w:p>
        </w:tc>
      </w:tr>
      <w:tr>
        <w:trPr>
          <w:cantSplit/>
        </w:trPr>
        <w:tc>
          <w:tcPr>
            <w:tcW w:type="dxa" w:w="2700"/>
            <w:shd w:fill="EEF3F8" w:color="auto" w:val="clear"/>
            <w:tcMar>
              <w:top w:type="dxa" w:w="40"/>
              <w:left w:type="dxa" w:w="80"/>
              <w:bottom w:type="dxa" w:w="40"/>
              <w:right w:type="dxa" w:w="80"/>
            </w:tcMar>
          </w:tcPr>
          <w:p>
            <w:pPr>
              <w:spacing w:after="0" w:line="235"/>
              <w:jc w:val="left"/>
            </w:pPr>
            <w:r>
              <w:rPr>
                <w:rFonts w:ascii="Arial" w:cs="Arial" w:eastAsia="Arial" w:hAnsi="Arial"/>
                <w:b/>
                <w:bCs/>
                <w:sz w:val="15"/>
                <w:szCs w:val="15"/>
              </w:rPr>
              <w:t xml:space="preserve">Datos NLI de ajuste</w:t>
            </w:r>
          </w:p>
        </w:tc>
        <w:tc>
          <w:tcPr>
            <w:tcW w:type="dxa" w:w="2293"/>
            <w:tcMar>
              <w:top w:type="dxa" w:w="40"/>
              <w:left w:type="dxa" w:w="80"/>
              <w:bottom w:type="dxa" w:w="40"/>
              <w:right w:type="dxa" w:w="80"/>
            </w:tcMar>
          </w:tcPr>
          <w:p>
            <w:pPr>
              <w:spacing w:after="0" w:line="235"/>
              <w:jc w:val="center"/>
            </w:pPr>
            <w:r>
              <w:rPr>
                <w:rFonts w:ascii="Arial" w:cs="Arial" w:eastAsia="Arial" w:hAnsi="Arial"/>
                <w:b w:val="false"/>
                <w:bCs w:val="false"/>
                <w:sz w:val="15"/>
                <w:szCs w:val="15"/>
              </w:rPr>
              <w:t xml:space="preserve">MNLI + XNLI</w:t>
            </w:r>
          </w:p>
        </w:tc>
        <w:tc>
          <w:tcPr>
            <w:tcW w:type="dxa" w:w="2293"/>
            <w:tcMar>
              <w:top w:type="dxa" w:w="40"/>
              <w:left w:type="dxa" w:w="80"/>
              <w:bottom w:type="dxa" w:w="40"/>
              <w:right w:type="dxa" w:w="80"/>
            </w:tcMar>
          </w:tcPr>
          <w:p>
            <w:pPr>
              <w:spacing w:after="0" w:line="235"/>
              <w:jc w:val="center"/>
            </w:pPr>
            <w:r>
              <w:rPr>
                <w:rFonts w:ascii="Arial" w:cs="Arial" w:eastAsia="Arial" w:hAnsi="Arial"/>
                <w:b w:val="false"/>
                <w:bCs w:val="false"/>
                <w:sz w:val="15"/>
                <w:szCs w:val="15"/>
              </w:rPr>
              <w:t xml:space="preserve">XNLI + 2.7 M pares en 27 idiomas</w:t>
            </w:r>
          </w:p>
        </w:tc>
        <w:tc>
          <w:tcPr>
            <w:tcW w:type="dxa" w:w="2294"/>
            <w:tcMar>
              <w:top w:type="dxa" w:w="40"/>
              <w:left w:type="dxa" w:w="80"/>
              <w:bottom w:type="dxa" w:w="40"/>
              <w:right w:type="dxa" w:w="80"/>
            </w:tcMar>
          </w:tcPr>
          <w:p>
            <w:pPr>
              <w:spacing w:after="0" w:line="235"/>
              <w:jc w:val="center"/>
            </w:pPr>
            <w:r>
              <w:rPr>
                <w:rFonts w:ascii="Arial" w:cs="Arial" w:eastAsia="Arial" w:hAnsi="Arial"/>
                <w:b w:val="false"/>
                <w:bCs w:val="false"/>
                <w:sz w:val="15"/>
                <w:szCs w:val="15"/>
              </w:rPr>
              <w:t xml:space="preserve">MNLI + XNLI</w:t>
            </w:r>
          </w:p>
        </w:tc>
      </w:tr>
      <w:tr>
        <w:trPr>
          <w:cantSplit/>
        </w:trPr>
        <w:tc>
          <w:tcPr>
            <w:tcW w:type="dxa" w:w="2700"/>
            <w:shd w:fill="EEF3F8" w:color="auto" w:val="clear"/>
            <w:tcMar>
              <w:top w:type="dxa" w:w="40"/>
              <w:left w:type="dxa" w:w="80"/>
              <w:bottom w:type="dxa" w:w="40"/>
              <w:right w:type="dxa" w:w="80"/>
            </w:tcMar>
          </w:tcPr>
          <w:p>
            <w:pPr>
              <w:spacing w:after="0" w:line="235"/>
              <w:jc w:val="left"/>
            </w:pPr>
            <w:r>
              <w:rPr>
                <w:rFonts w:ascii="Arial" w:cs="Arial" w:eastAsia="Arial" w:hAnsi="Arial"/>
                <w:b/>
                <w:bCs/>
                <w:sz w:val="15"/>
                <w:szCs w:val="15"/>
              </w:rPr>
              <w:t xml:space="preserve">Parámetros (M) / disco (MB)</w:t>
            </w:r>
          </w:p>
        </w:tc>
        <w:tc>
          <w:tcPr>
            <w:tcW w:type="dxa" w:w="2293"/>
            <w:tcMar>
              <w:top w:type="dxa" w:w="40"/>
              <w:left w:type="dxa" w:w="80"/>
              <w:bottom w:type="dxa" w:w="40"/>
              <w:right w:type="dxa" w:w="80"/>
            </w:tcMar>
          </w:tcPr>
          <w:p>
            <w:pPr>
              <w:spacing w:after="0" w:line="235"/>
              <w:jc w:val="center"/>
            </w:pPr>
            <w:r>
              <w:rPr>
                <w:rFonts w:ascii="Arial" w:cs="Arial" w:eastAsia="Arial" w:hAnsi="Arial"/>
                <w:b w:val="false"/>
                <w:bCs w:val="false"/>
                <w:sz w:val="15"/>
                <w:szCs w:val="15"/>
              </w:rPr>
              <w:t xml:space="preserve">107 / 408</w:t>
            </w:r>
          </w:p>
        </w:tc>
        <w:tc>
          <w:tcPr>
            <w:tcW w:type="dxa" w:w="2293"/>
            <w:tcMar>
              <w:top w:type="dxa" w:w="40"/>
              <w:left w:type="dxa" w:w="80"/>
              <w:bottom w:type="dxa" w:w="40"/>
              <w:right w:type="dxa" w:w="80"/>
            </w:tcMar>
          </w:tcPr>
          <w:p>
            <w:pPr>
              <w:spacing w:after="0" w:line="235"/>
              <w:jc w:val="center"/>
            </w:pPr>
            <w:r>
              <w:rPr>
                <w:rFonts w:ascii="Arial" w:cs="Arial" w:eastAsia="Arial" w:hAnsi="Arial"/>
                <w:b w:val="false"/>
                <w:bCs w:val="false"/>
                <w:sz w:val="15"/>
                <w:szCs w:val="15"/>
              </w:rPr>
              <w:t xml:space="preserve">279 / 532</w:t>
            </w:r>
          </w:p>
        </w:tc>
        <w:tc>
          <w:tcPr>
            <w:tcW w:type="dxa" w:w="2294"/>
            <w:tcMar>
              <w:top w:type="dxa" w:w="40"/>
              <w:left w:type="dxa" w:w="80"/>
              <w:bottom w:type="dxa" w:w="40"/>
              <w:right w:type="dxa" w:w="80"/>
            </w:tcMar>
          </w:tcPr>
          <w:p>
            <w:pPr>
              <w:spacing w:after="0" w:line="235"/>
              <w:jc w:val="center"/>
            </w:pPr>
            <w:r>
              <w:rPr>
                <w:rFonts w:ascii="Arial" w:cs="Arial" w:eastAsia="Arial" w:hAnsi="Arial"/>
                <w:b w:val="false"/>
                <w:bCs w:val="false"/>
                <w:sz w:val="15"/>
                <w:szCs w:val="15"/>
              </w:rPr>
              <w:t xml:space="preserve">560 / 2,140</w:t>
            </w:r>
          </w:p>
        </w:tc>
      </w:tr>
      <w:tr>
        <w:trPr>
          <w:cantSplit/>
        </w:trPr>
        <w:tc>
          <w:tcPr>
            <w:tcW w:type="dxa" w:w="2700"/>
            <w:shd w:fill="EEF3F8" w:color="auto" w:val="clear"/>
            <w:tcMar>
              <w:top w:type="dxa" w:w="40"/>
              <w:left w:type="dxa" w:w="80"/>
              <w:bottom w:type="dxa" w:w="40"/>
              <w:right w:type="dxa" w:w="80"/>
            </w:tcMar>
          </w:tcPr>
          <w:p>
            <w:pPr>
              <w:spacing w:after="0" w:line="235"/>
              <w:jc w:val="left"/>
            </w:pPr>
            <w:r>
              <w:rPr>
                <w:rFonts w:ascii="Arial" w:cs="Arial" w:eastAsia="Arial" w:hAnsi="Arial"/>
                <w:b/>
                <w:bCs/>
                <w:sz w:val="15"/>
                <w:szCs w:val="15"/>
              </w:rPr>
              <w:t xml:space="preserve">Licencia</w:t>
            </w:r>
          </w:p>
        </w:tc>
        <w:tc>
          <w:tcPr>
            <w:tcW w:type="dxa" w:w="2293"/>
            <w:tcMar>
              <w:top w:type="dxa" w:w="40"/>
              <w:left w:type="dxa" w:w="80"/>
              <w:bottom w:type="dxa" w:w="40"/>
              <w:right w:type="dxa" w:w="80"/>
            </w:tcMar>
          </w:tcPr>
          <w:p>
            <w:pPr>
              <w:spacing w:after="0" w:line="235"/>
              <w:jc w:val="center"/>
            </w:pPr>
            <w:r>
              <w:rPr>
                <w:rFonts w:ascii="Arial" w:cs="Arial" w:eastAsia="Arial" w:hAnsi="Arial"/>
                <w:b w:val="false"/>
                <w:bCs w:val="false"/>
                <w:sz w:val="15"/>
                <w:szCs w:val="15"/>
              </w:rPr>
              <w:t xml:space="preserve">MIT</w:t>
            </w:r>
          </w:p>
        </w:tc>
        <w:tc>
          <w:tcPr>
            <w:tcW w:type="dxa" w:w="2293"/>
            <w:tcMar>
              <w:top w:type="dxa" w:w="40"/>
              <w:left w:type="dxa" w:w="80"/>
              <w:bottom w:type="dxa" w:w="40"/>
              <w:right w:type="dxa" w:w="80"/>
            </w:tcMar>
          </w:tcPr>
          <w:p>
            <w:pPr>
              <w:spacing w:after="0" w:line="235"/>
              <w:jc w:val="center"/>
            </w:pPr>
            <w:r>
              <w:rPr>
                <w:rFonts w:ascii="Arial" w:cs="Arial" w:eastAsia="Arial" w:hAnsi="Arial"/>
                <w:b w:val="false"/>
                <w:bCs w:val="false"/>
                <w:sz w:val="15"/>
                <w:szCs w:val="15"/>
              </w:rPr>
              <w:t xml:space="preserve">MIT</w:t>
            </w:r>
          </w:p>
        </w:tc>
        <w:tc>
          <w:tcPr>
            <w:tcW w:type="dxa" w:w="2294"/>
            <w:tcMar>
              <w:top w:type="dxa" w:w="40"/>
              <w:left w:type="dxa" w:w="80"/>
              <w:bottom w:type="dxa" w:w="40"/>
              <w:right w:type="dxa" w:w="80"/>
            </w:tcMar>
          </w:tcPr>
          <w:p>
            <w:pPr>
              <w:spacing w:after="0" w:line="235"/>
              <w:jc w:val="center"/>
            </w:pPr>
            <w:r>
              <w:rPr>
                <w:rFonts w:ascii="Arial" w:cs="Arial" w:eastAsia="Arial" w:hAnsi="Arial"/>
                <w:b w:val="false"/>
                <w:bCs w:val="false"/>
                <w:sz w:val="15"/>
                <w:szCs w:val="15"/>
              </w:rPr>
              <w:t xml:space="preserve">MIT</w:t>
            </w:r>
          </w:p>
        </w:tc>
      </w:tr>
      <w:tr>
        <w:trPr>
          <w:cantSplit/>
        </w:trPr>
        <w:tc>
          <w:tcPr>
            <w:tcW w:type="dxa" w:w="2700"/>
            <w:shd w:fill="EEF3F8" w:color="auto" w:val="clear"/>
            <w:tcMar>
              <w:top w:type="dxa" w:w="40"/>
              <w:left w:type="dxa" w:w="80"/>
              <w:bottom w:type="dxa" w:w="40"/>
              <w:right w:type="dxa" w:w="80"/>
            </w:tcMar>
          </w:tcPr>
          <w:p>
            <w:pPr>
              <w:spacing w:after="0" w:line="235"/>
              <w:jc w:val="left"/>
            </w:pPr>
            <w:r>
              <w:rPr>
                <w:rFonts w:ascii="Arial" w:cs="Arial" w:eastAsia="Arial" w:hAnsi="Arial"/>
                <w:b/>
                <w:bCs/>
                <w:sz w:val="15"/>
                <w:szCs w:val="15"/>
              </w:rPr>
              <w:t xml:space="preserve">Ajuste elegido en dev</w:t>
            </w:r>
          </w:p>
        </w:tc>
        <w:tc>
          <w:tcPr>
            <w:tcW w:type="dxa" w:w="2293"/>
            <w:tcMar>
              <w:top w:type="dxa" w:w="40"/>
              <w:left w:type="dxa" w:w="80"/>
              <w:bottom w:type="dxa" w:w="40"/>
              <w:right w:type="dxa" w:w="80"/>
            </w:tcMar>
          </w:tcPr>
          <w:p>
            <w:pPr>
              <w:spacing w:after="0" w:line="235"/>
              <w:jc w:val="center"/>
            </w:pPr>
            <w:r>
              <w:rPr>
                <w:rFonts w:ascii="Arial" w:cs="Arial" w:eastAsia="Arial" w:hAnsi="Arial"/>
                <w:b w:val="false"/>
                <w:bCs w:val="false"/>
                <w:sz w:val="15"/>
                <w:szCs w:val="15"/>
              </w:rPr>
              <w:t xml:space="preserve">es_descriptivas</w:t>
            </w:r>
          </w:p>
        </w:tc>
        <w:tc>
          <w:tcPr>
            <w:tcW w:type="dxa" w:w="2293"/>
            <w:tcMar>
              <w:top w:type="dxa" w:w="40"/>
              <w:left w:type="dxa" w:w="80"/>
              <w:bottom w:type="dxa" w:w="40"/>
              <w:right w:type="dxa" w:w="80"/>
            </w:tcMar>
          </w:tcPr>
          <w:p>
            <w:pPr>
              <w:spacing w:after="0" w:line="235"/>
              <w:jc w:val="center"/>
            </w:pPr>
            <w:r>
              <w:rPr>
                <w:rFonts w:ascii="Arial" w:cs="Arial" w:eastAsia="Arial" w:hAnsi="Arial"/>
                <w:b w:val="false"/>
                <w:bCs w:val="false"/>
                <w:sz w:val="15"/>
                <w:szCs w:val="15"/>
              </w:rPr>
              <w:t xml:space="preserve">es_cortas</w:t>
            </w:r>
          </w:p>
        </w:tc>
        <w:tc>
          <w:tcPr>
            <w:tcW w:type="dxa" w:w="2294"/>
            <w:tcMar>
              <w:top w:type="dxa" w:w="40"/>
              <w:left w:type="dxa" w:w="80"/>
              <w:bottom w:type="dxa" w:w="40"/>
              <w:right w:type="dxa" w:w="80"/>
            </w:tcMar>
          </w:tcPr>
          <w:p>
            <w:pPr>
              <w:spacing w:after="0" w:line="235"/>
              <w:jc w:val="center"/>
            </w:pPr>
            <w:r>
              <w:rPr>
                <w:rFonts w:ascii="Arial" w:cs="Arial" w:eastAsia="Arial" w:hAnsi="Arial"/>
                <w:b w:val="false"/>
                <w:bCs w:val="false"/>
                <w:sz w:val="15"/>
                <w:szCs w:val="15"/>
              </w:rPr>
              <w:t xml:space="preserve">es_cortas</w:t>
            </w:r>
          </w:p>
        </w:tc>
      </w:tr>
      <w:tr>
        <w:trPr>
          <w:cantSplit/>
        </w:trPr>
        <w:tc>
          <w:tcPr>
            <w:tcW w:type="dxa" w:w="2700"/>
            <w:shd w:fill="EEF3F8" w:color="auto" w:val="clear"/>
            <w:tcMar>
              <w:top w:type="dxa" w:w="40"/>
              <w:left w:type="dxa" w:w="80"/>
              <w:bottom w:type="dxa" w:w="40"/>
              <w:right w:type="dxa" w:w="80"/>
            </w:tcMar>
          </w:tcPr>
          <w:p>
            <w:pPr>
              <w:spacing w:after="0" w:line="235"/>
              <w:jc w:val="left"/>
            </w:pPr>
            <w:r>
              <w:rPr>
                <w:rFonts w:ascii="Arial" w:cs="Arial" w:eastAsia="Arial" w:hAnsi="Arial"/>
                <w:b/>
                <w:bCs/>
                <w:sz w:val="15"/>
                <w:szCs w:val="15"/>
              </w:rPr>
              <w:t xml:space="preserve">Accuracy</w:t>
            </w:r>
          </w:p>
        </w:tc>
        <w:tc>
          <w:tcPr>
            <w:tcW w:type="dxa" w:w="2293"/>
            <w:tcMar>
              <w:top w:type="dxa" w:w="40"/>
              <w:left w:type="dxa" w:w="80"/>
              <w:bottom w:type="dxa" w:w="40"/>
              <w:right w:type="dxa" w:w="80"/>
            </w:tcMar>
          </w:tcPr>
          <w:p>
            <w:pPr>
              <w:spacing w:after="0" w:line="235"/>
              <w:jc w:val="center"/>
            </w:pPr>
            <w:r>
              <w:rPr>
                <w:rFonts w:ascii="Arial" w:cs="Arial" w:eastAsia="Arial" w:hAnsi="Arial"/>
                <w:b w:val="false"/>
                <w:bCs w:val="false"/>
                <w:sz w:val="15"/>
                <w:szCs w:val="15"/>
              </w:rPr>
              <w:t xml:space="preserve">0.550</w:t>
            </w:r>
          </w:p>
        </w:tc>
        <w:tc>
          <w:tcPr>
            <w:tcW w:type="dxa" w:w="2293"/>
            <w:tcMar>
              <w:top w:type="dxa" w:w="40"/>
              <w:left w:type="dxa" w:w="80"/>
              <w:bottom w:type="dxa" w:w="40"/>
              <w:right w:type="dxa" w:w="80"/>
            </w:tcMar>
          </w:tcPr>
          <w:p>
            <w:pPr>
              <w:spacing w:after="0" w:line="235"/>
              <w:jc w:val="center"/>
            </w:pPr>
            <w:r>
              <w:rPr>
                <w:rFonts w:ascii="Arial" w:cs="Arial" w:eastAsia="Arial" w:hAnsi="Arial"/>
                <w:b w:val="false"/>
                <w:bCs w:val="false"/>
                <w:sz w:val="15"/>
                <w:szCs w:val="15"/>
              </w:rPr>
              <w:t xml:space="preserve">0.609</w:t>
            </w:r>
          </w:p>
        </w:tc>
        <w:tc>
          <w:tcPr>
            <w:tcW w:type="dxa" w:w="2294"/>
            <w:tcMar>
              <w:top w:type="dxa" w:w="40"/>
              <w:left w:type="dxa" w:w="80"/>
              <w:bottom w:type="dxa" w:w="40"/>
              <w:right w:type="dxa" w:w="80"/>
            </w:tcMar>
          </w:tcPr>
          <w:p>
            <w:pPr>
              <w:spacing w:after="0" w:line="235"/>
              <w:jc w:val="center"/>
            </w:pPr>
            <w:r>
              <w:rPr>
                <w:rFonts w:ascii="Arial" w:cs="Arial" w:eastAsia="Arial" w:hAnsi="Arial"/>
                <w:b w:val="false"/>
                <w:bCs w:val="false"/>
                <w:sz w:val="15"/>
                <w:szCs w:val="15"/>
              </w:rPr>
              <w:t xml:space="preserve">0.615</w:t>
            </w:r>
          </w:p>
        </w:tc>
      </w:tr>
      <w:tr>
        <w:trPr>
          <w:cantSplit/>
        </w:trPr>
        <w:tc>
          <w:tcPr>
            <w:tcW w:type="dxa" w:w="2700"/>
            <w:shd w:fill="EEF3F8" w:color="auto" w:val="clear"/>
            <w:tcMar>
              <w:top w:type="dxa" w:w="40"/>
              <w:left w:type="dxa" w:w="80"/>
              <w:bottom w:type="dxa" w:w="40"/>
              <w:right w:type="dxa" w:w="80"/>
            </w:tcMar>
          </w:tcPr>
          <w:p>
            <w:pPr>
              <w:spacing w:after="0" w:line="235"/>
              <w:jc w:val="left"/>
            </w:pPr>
            <w:r>
              <w:rPr>
                <w:rFonts w:ascii="Arial" w:cs="Arial" w:eastAsia="Arial" w:hAnsi="Arial"/>
                <w:b/>
                <w:bCs/>
                <w:sz w:val="15"/>
                <w:szCs w:val="15"/>
              </w:rPr>
              <w:t xml:space="preserve">Precision (macro)</w:t>
            </w:r>
          </w:p>
        </w:tc>
        <w:tc>
          <w:tcPr>
            <w:tcW w:type="dxa" w:w="2293"/>
            <w:tcMar>
              <w:top w:type="dxa" w:w="40"/>
              <w:left w:type="dxa" w:w="80"/>
              <w:bottom w:type="dxa" w:w="40"/>
              <w:right w:type="dxa" w:w="80"/>
            </w:tcMar>
          </w:tcPr>
          <w:p>
            <w:pPr>
              <w:spacing w:after="0" w:line="235"/>
              <w:jc w:val="center"/>
            </w:pPr>
            <w:r>
              <w:rPr>
                <w:rFonts w:ascii="Arial" w:cs="Arial" w:eastAsia="Arial" w:hAnsi="Arial"/>
                <w:b w:val="false"/>
                <w:bCs w:val="false"/>
                <w:sz w:val="15"/>
                <w:szCs w:val="15"/>
              </w:rPr>
              <w:t xml:space="preserve">0.679</w:t>
            </w:r>
          </w:p>
        </w:tc>
        <w:tc>
          <w:tcPr>
            <w:tcW w:type="dxa" w:w="2293"/>
            <w:tcMar>
              <w:top w:type="dxa" w:w="40"/>
              <w:left w:type="dxa" w:w="80"/>
              <w:bottom w:type="dxa" w:w="40"/>
              <w:right w:type="dxa" w:w="80"/>
            </w:tcMar>
          </w:tcPr>
          <w:p>
            <w:pPr>
              <w:spacing w:after="0" w:line="235"/>
              <w:jc w:val="center"/>
            </w:pPr>
            <w:r>
              <w:rPr>
                <w:rFonts w:ascii="Arial" w:cs="Arial" w:eastAsia="Arial" w:hAnsi="Arial"/>
                <w:b w:val="false"/>
                <w:bCs w:val="false"/>
                <w:sz w:val="15"/>
                <w:szCs w:val="15"/>
              </w:rPr>
              <w:t xml:space="preserve">0.659</w:t>
            </w:r>
          </w:p>
        </w:tc>
        <w:tc>
          <w:tcPr>
            <w:tcW w:type="dxa" w:w="2294"/>
            <w:tcMar>
              <w:top w:type="dxa" w:w="40"/>
              <w:left w:type="dxa" w:w="80"/>
              <w:bottom w:type="dxa" w:w="40"/>
              <w:right w:type="dxa" w:w="80"/>
            </w:tcMar>
          </w:tcPr>
          <w:p>
            <w:pPr>
              <w:spacing w:after="0" w:line="235"/>
              <w:jc w:val="center"/>
            </w:pPr>
            <w:r>
              <w:rPr>
                <w:rFonts w:ascii="Arial" w:cs="Arial" w:eastAsia="Arial" w:hAnsi="Arial"/>
                <w:b w:val="false"/>
                <w:bCs w:val="false"/>
                <w:sz w:val="15"/>
                <w:szCs w:val="15"/>
              </w:rPr>
              <w:t xml:space="preserve">0.718</w:t>
            </w:r>
          </w:p>
        </w:tc>
      </w:tr>
      <w:tr>
        <w:trPr>
          <w:cantSplit/>
        </w:trPr>
        <w:tc>
          <w:tcPr>
            <w:tcW w:type="dxa" w:w="2700"/>
            <w:shd w:fill="EEF3F8" w:color="auto" w:val="clear"/>
            <w:tcMar>
              <w:top w:type="dxa" w:w="40"/>
              <w:left w:type="dxa" w:w="80"/>
              <w:bottom w:type="dxa" w:w="40"/>
              <w:right w:type="dxa" w:w="80"/>
            </w:tcMar>
          </w:tcPr>
          <w:p>
            <w:pPr>
              <w:spacing w:after="0" w:line="235"/>
              <w:jc w:val="left"/>
            </w:pPr>
            <w:r>
              <w:rPr>
                <w:rFonts w:ascii="Arial" w:cs="Arial" w:eastAsia="Arial" w:hAnsi="Arial"/>
                <w:b/>
                <w:bCs/>
                <w:sz w:val="15"/>
                <w:szCs w:val="15"/>
              </w:rPr>
              <w:t xml:space="preserve">Recall (macro)</w:t>
            </w:r>
          </w:p>
        </w:tc>
        <w:tc>
          <w:tcPr>
            <w:tcW w:type="dxa" w:w="2293"/>
            <w:tcMar>
              <w:top w:type="dxa" w:w="40"/>
              <w:left w:type="dxa" w:w="80"/>
              <w:bottom w:type="dxa" w:w="40"/>
              <w:right w:type="dxa" w:w="80"/>
            </w:tcMar>
          </w:tcPr>
          <w:p>
            <w:pPr>
              <w:spacing w:after="0" w:line="235"/>
              <w:jc w:val="center"/>
            </w:pPr>
            <w:r>
              <w:rPr>
                <w:rFonts w:ascii="Arial" w:cs="Arial" w:eastAsia="Arial" w:hAnsi="Arial"/>
                <w:b w:val="false"/>
                <w:bCs w:val="false"/>
                <w:sz w:val="15"/>
                <w:szCs w:val="15"/>
              </w:rPr>
              <w:t xml:space="preserve">0.544</w:t>
            </w:r>
          </w:p>
        </w:tc>
        <w:tc>
          <w:tcPr>
            <w:tcW w:type="dxa" w:w="2293"/>
            <w:tcMar>
              <w:top w:type="dxa" w:w="40"/>
              <w:left w:type="dxa" w:w="80"/>
              <w:bottom w:type="dxa" w:w="40"/>
              <w:right w:type="dxa" w:w="80"/>
            </w:tcMar>
          </w:tcPr>
          <w:p>
            <w:pPr>
              <w:spacing w:after="0" w:line="235"/>
              <w:jc w:val="center"/>
            </w:pPr>
            <w:r>
              <w:rPr>
                <w:rFonts w:ascii="Arial" w:cs="Arial" w:eastAsia="Arial" w:hAnsi="Arial"/>
                <w:b w:val="false"/>
                <w:bCs w:val="false"/>
                <w:sz w:val="15"/>
                <w:szCs w:val="15"/>
              </w:rPr>
              <w:t xml:space="preserve">0.623</w:t>
            </w:r>
          </w:p>
        </w:tc>
        <w:tc>
          <w:tcPr>
            <w:tcW w:type="dxa" w:w="2294"/>
            <w:tcMar>
              <w:top w:type="dxa" w:w="40"/>
              <w:left w:type="dxa" w:w="80"/>
              <w:bottom w:type="dxa" w:w="40"/>
              <w:right w:type="dxa" w:w="80"/>
            </w:tcMar>
          </w:tcPr>
          <w:p>
            <w:pPr>
              <w:spacing w:after="0" w:line="235"/>
              <w:jc w:val="center"/>
            </w:pPr>
            <w:r>
              <w:rPr>
                <w:rFonts w:ascii="Arial" w:cs="Arial" w:eastAsia="Arial" w:hAnsi="Arial"/>
                <w:b w:val="false"/>
                <w:bCs w:val="false"/>
                <w:sz w:val="15"/>
                <w:szCs w:val="15"/>
              </w:rPr>
              <w:t xml:space="preserve">0.610</w:t>
            </w:r>
          </w:p>
        </w:tc>
      </w:tr>
      <w:tr>
        <w:trPr>
          <w:cantSplit/>
        </w:trPr>
        <w:tc>
          <w:tcPr>
            <w:tcW w:type="dxa" w:w="2700"/>
            <w:shd w:fill="EEF3F8" w:color="auto" w:val="clear"/>
            <w:tcMar>
              <w:top w:type="dxa" w:w="40"/>
              <w:left w:type="dxa" w:w="80"/>
              <w:bottom w:type="dxa" w:w="40"/>
              <w:right w:type="dxa" w:w="80"/>
            </w:tcMar>
          </w:tcPr>
          <w:p>
            <w:pPr>
              <w:spacing w:after="0" w:line="235"/>
              <w:jc w:val="left"/>
            </w:pPr>
            <w:r>
              <w:rPr>
                <w:rFonts w:ascii="Arial" w:cs="Arial" w:eastAsia="Arial" w:hAnsi="Arial"/>
                <w:b/>
                <w:bCs/>
                <w:sz w:val="15"/>
                <w:szCs w:val="15"/>
              </w:rPr>
              <w:t xml:space="preserve">F1 macro (sin ajuste → con ajuste)</w:t>
            </w:r>
          </w:p>
        </w:tc>
        <w:tc>
          <w:tcPr>
            <w:tcW w:type="dxa" w:w="2293"/>
            <w:tcMar>
              <w:top w:type="dxa" w:w="40"/>
              <w:left w:type="dxa" w:w="80"/>
              <w:bottom w:type="dxa" w:w="40"/>
              <w:right w:type="dxa" w:w="80"/>
            </w:tcMar>
          </w:tcPr>
          <w:p>
            <w:pPr>
              <w:spacing w:after="0" w:line="235"/>
              <w:jc w:val="center"/>
            </w:pPr>
            <w:r>
              <w:rPr>
                <w:rFonts w:ascii="Arial" w:cs="Arial" w:eastAsia="Arial" w:hAnsi="Arial"/>
                <w:b/>
                <w:bCs/>
                <w:sz w:val="15"/>
                <w:szCs w:val="15"/>
              </w:rPr>
              <w:t xml:space="preserve">0.451 → 0.537</w:t>
            </w:r>
          </w:p>
        </w:tc>
        <w:tc>
          <w:tcPr>
            <w:tcW w:type="dxa" w:w="2293"/>
            <w:tcMar>
              <w:top w:type="dxa" w:w="40"/>
              <w:left w:type="dxa" w:w="80"/>
              <w:bottom w:type="dxa" w:w="40"/>
              <w:right w:type="dxa" w:w="80"/>
            </w:tcMar>
          </w:tcPr>
          <w:p>
            <w:pPr>
              <w:spacing w:after="0" w:line="235"/>
              <w:jc w:val="center"/>
            </w:pPr>
            <w:r>
              <w:rPr>
                <w:rFonts w:ascii="Arial" w:cs="Arial" w:eastAsia="Arial" w:hAnsi="Arial"/>
                <w:b/>
                <w:bCs/>
                <w:sz w:val="15"/>
                <w:szCs w:val="15"/>
              </w:rPr>
              <w:t xml:space="preserve">0.558 → 0.599</w:t>
            </w:r>
          </w:p>
        </w:tc>
        <w:tc>
          <w:tcPr>
            <w:tcW w:type="dxa" w:w="2294"/>
            <w:tcMar>
              <w:top w:type="dxa" w:w="40"/>
              <w:left w:type="dxa" w:w="80"/>
              <w:bottom w:type="dxa" w:w="40"/>
              <w:right w:type="dxa" w:w="80"/>
            </w:tcMar>
          </w:tcPr>
          <w:p>
            <w:pPr>
              <w:spacing w:after="0" w:line="235"/>
              <w:jc w:val="center"/>
            </w:pPr>
            <w:r>
              <w:rPr>
                <w:rFonts w:ascii="Arial" w:cs="Arial" w:eastAsia="Arial" w:hAnsi="Arial"/>
                <w:b/>
                <w:bCs/>
                <w:sz w:val="15"/>
                <w:szCs w:val="15"/>
              </w:rPr>
              <w:t xml:space="preserve">0.447 → 0.592</w:t>
            </w:r>
          </w:p>
        </w:tc>
      </w:tr>
      <w:tr>
        <w:trPr>
          <w:cantSplit/>
        </w:trPr>
        <w:tc>
          <w:tcPr>
            <w:tcW w:type="dxa" w:w="2700"/>
            <w:shd w:fill="EEF3F8" w:color="auto" w:val="clear"/>
            <w:tcMar>
              <w:top w:type="dxa" w:w="40"/>
              <w:left w:type="dxa" w:w="80"/>
              <w:bottom w:type="dxa" w:w="40"/>
              <w:right w:type="dxa" w:w="80"/>
            </w:tcMar>
          </w:tcPr>
          <w:p>
            <w:pPr>
              <w:spacing w:after="0" w:line="235"/>
              <w:jc w:val="left"/>
            </w:pPr>
            <w:r>
              <w:rPr>
                <w:rFonts w:ascii="Arial" w:cs="Arial" w:eastAsia="Arial" w:hAnsi="Arial"/>
                <w:b/>
                <w:bCs/>
                <w:sz w:val="15"/>
                <w:szCs w:val="15"/>
              </w:rPr>
              <w:t xml:space="preserve">Recall de SALUD</w:t>
            </w:r>
          </w:p>
        </w:tc>
        <w:tc>
          <w:tcPr>
            <w:tcW w:type="dxa" w:w="2293"/>
            <w:tcMar>
              <w:top w:type="dxa" w:w="40"/>
              <w:left w:type="dxa" w:w="80"/>
              <w:bottom w:type="dxa" w:w="40"/>
              <w:right w:type="dxa" w:w="80"/>
            </w:tcMar>
          </w:tcPr>
          <w:p>
            <w:pPr>
              <w:spacing w:after="0" w:line="235"/>
              <w:jc w:val="center"/>
            </w:pPr>
            <w:r>
              <w:rPr>
                <w:rFonts w:ascii="Arial" w:cs="Arial" w:eastAsia="Arial" w:hAnsi="Arial"/>
                <w:b/>
                <w:bCs/>
                <w:sz w:val="15"/>
                <w:szCs w:val="15"/>
              </w:rPr>
              <w:t xml:space="preserve">0.810</w:t>
            </w:r>
          </w:p>
        </w:tc>
        <w:tc>
          <w:tcPr>
            <w:tcW w:type="dxa" w:w="2293"/>
            <w:tcMar>
              <w:top w:type="dxa" w:w="40"/>
              <w:left w:type="dxa" w:w="80"/>
              <w:bottom w:type="dxa" w:w="40"/>
              <w:right w:type="dxa" w:w="80"/>
            </w:tcMar>
          </w:tcPr>
          <w:p>
            <w:pPr>
              <w:spacing w:after="0" w:line="235"/>
              <w:jc w:val="center"/>
            </w:pPr>
            <w:r>
              <w:rPr>
                <w:rFonts w:ascii="Arial" w:cs="Arial" w:eastAsia="Arial" w:hAnsi="Arial"/>
                <w:b/>
                <w:bCs/>
                <w:sz w:val="15"/>
                <w:szCs w:val="15"/>
              </w:rPr>
              <w:t xml:space="preserve">0.857</w:t>
            </w:r>
          </w:p>
        </w:tc>
        <w:tc>
          <w:tcPr>
            <w:tcW w:type="dxa" w:w="2294"/>
            <w:tcMar>
              <w:top w:type="dxa" w:w="40"/>
              <w:left w:type="dxa" w:w="80"/>
              <w:bottom w:type="dxa" w:w="40"/>
              <w:right w:type="dxa" w:w="80"/>
            </w:tcMar>
          </w:tcPr>
          <w:p>
            <w:pPr>
              <w:spacing w:after="0" w:line="235"/>
              <w:jc w:val="center"/>
            </w:pPr>
            <w:r>
              <w:rPr>
                <w:rFonts w:ascii="Arial" w:cs="Arial" w:eastAsia="Arial" w:hAnsi="Arial"/>
                <w:b/>
                <w:bCs/>
                <w:sz w:val="15"/>
                <w:szCs w:val="15"/>
              </w:rPr>
              <w:t xml:space="preserve">0.286</w:t>
            </w:r>
          </w:p>
        </w:tc>
      </w:tr>
      <w:tr>
        <w:trPr>
          <w:cantSplit/>
        </w:trPr>
        <w:tc>
          <w:tcPr>
            <w:tcW w:type="dxa" w:w="2700"/>
            <w:shd w:fill="EEF3F8" w:color="auto" w:val="clear"/>
            <w:tcMar>
              <w:top w:type="dxa" w:w="40"/>
              <w:left w:type="dxa" w:w="80"/>
              <w:bottom w:type="dxa" w:w="40"/>
              <w:right w:type="dxa" w:w="80"/>
            </w:tcMar>
          </w:tcPr>
          <w:p>
            <w:pPr>
              <w:spacing w:after="0" w:line="235"/>
              <w:jc w:val="left"/>
            </w:pPr>
            <w:r>
              <w:rPr>
                <w:rFonts w:ascii="Arial" w:cs="Arial" w:eastAsia="Arial" w:hAnsi="Arial"/>
                <w:b/>
                <w:bCs/>
                <w:sz w:val="15"/>
                <w:szCs w:val="15"/>
              </w:rPr>
              <w:t xml:space="preserve">Latencia GPU, lote de 16 (ms/claim)</w:t>
            </w:r>
          </w:p>
        </w:tc>
        <w:tc>
          <w:tcPr>
            <w:tcW w:type="dxa" w:w="2293"/>
            <w:tcMar>
              <w:top w:type="dxa" w:w="40"/>
              <w:left w:type="dxa" w:w="80"/>
              <w:bottom w:type="dxa" w:w="40"/>
              <w:right w:type="dxa" w:w="80"/>
            </w:tcMar>
          </w:tcPr>
          <w:p>
            <w:pPr>
              <w:spacing w:after="0" w:line="235"/>
              <w:jc w:val="center"/>
            </w:pPr>
            <w:r>
              <w:rPr>
                <w:rFonts w:ascii="Arial" w:cs="Arial" w:eastAsia="Arial" w:hAnsi="Arial"/>
                <w:b w:val="false"/>
                <w:bCs w:val="false"/>
                <w:sz w:val="15"/>
                <w:szCs w:val="15"/>
              </w:rPr>
              <w:t xml:space="preserve">13.9</w:t>
            </w:r>
          </w:p>
        </w:tc>
        <w:tc>
          <w:tcPr>
            <w:tcW w:type="dxa" w:w="2293"/>
            <w:tcMar>
              <w:top w:type="dxa" w:w="40"/>
              <w:left w:type="dxa" w:w="80"/>
              <w:bottom w:type="dxa" w:w="40"/>
              <w:right w:type="dxa" w:w="80"/>
            </w:tcMar>
          </w:tcPr>
          <w:p>
            <w:pPr>
              <w:spacing w:after="0" w:line="235"/>
              <w:jc w:val="center"/>
            </w:pPr>
            <w:r>
              <w:rPr>
                <w:rFonts w:ascii="Arial" w:cs="Arial" w:eastAsia="Arial" w:hAnsi="Arial"/>
                <w:b w:val="false"/>
                <w:bCs w:val="false"/>
                <w:sz w:val="15"/>
                <w:szCs w:val="15"/>
              </w:rPr>
              <w:t xml:space="preserve">36.8</w:t>
            </w:r>
          </w:p>
        </w:tc>
        <w:tc>
          <w:tcPr>
            <w:tcW w:type="dxa" w:w="2294"/>
            <w:tcMar>
              <w:top w:type="dxa" w:w="40"/>
              <w:left w:type="dxa" w:w="80"/>
              <w:bottom w:type="dxa" w:w="40"/>
              <w:right w:type="dxa" w:w="80"/>
            </w:tcMar>
          </w:tcPr>
          <w:p>
            <w:pPr>
              <w:spacing w:after="0" w:line="235"/>
              <w:jc w:val="center"/>
            </w:pPr>
            <w:r>
              <w:rPr>
                <w:rFonts w:ascii="Arial" w:cs="Arial" w:eastAsia="Arial" w:hAnsi="Arial"/>
                <w:b w:val="false"/>
                <w:bCs w:val="false"/>
                <w:sz w:val="15"/>
                <w:szCs w:val="15"/>
              </w:rPr>
              <w:t xml:space="preserve">23.1</w:t>
            </w:r>
          </w:p>
        </w:tc>
      </w:tr>
      <w:tr>
        <w:trPr>
          <w:cantSplit/>
        </w:trPr>
        <w:tc>
          <w:tcPr>
            <w:tcW w:type="dxa" w:w="2700"/>
            <w:shd w:fill="EEF3F8" w:color="auto" w:val="clear"/>
            <w:tcMar>
              <w:top w:type="dxa" w:w="40"/>
              <w:left w:type="dxa" w:w="80"/>
              <w:bottom w:type="dxa" w:w="40"/>
              <w:right w:type="dxa" w:w="80"/>
            </w:tcMar>
          </w:tcPr>
          <w:p>
            <w:pPr>
              <w:spacing w:after="0" w:line="235"/>
              <w:jc w:val="left"/>
            </w:pPr>
            <w:r>
              <w:rPr>
                <w:rFonts w:ascii="Arial" w:cs="Arial" w:eastAsia="Arial" w:hAnsi="Arial"/>
                <w:b/>
                <w:bCs/>
                <w:sz w:val="15"/>
                <w:szCs w:val="15"/>
              </w:rPr>
              <w:t xml:space="preserve">Latencia GPU unitaria p95 (ms)</w:t>
            </w:r>
          </w:p>
        </w:tc>
        <w:tc>
          <w:tcPr>
            <w:tcW w:type="dxa" w:w="2293"/>
            <w:tcMar>
              <w:top w:type="dxa" w:w="40"/>
              <w:left w:type="dxa" w:w="80"/>
              <w:bottom w:type="dxa" w:w="40"/>
              <w:right w:type="dxa" w:w="80"/>
            </w:tcMar>
          </w:tcPr>
          <w:p>
            <w:pPr>
              <w:spacing w:after="0" w:line="235"/>
              <w:jc w:val="center"/>
            </w:pPr>
            <w:r>
              <w:rPr>
                <w:rFonts w:ascii="Arial" w:cs="Arial" w:eastAsia="Arial" w:hAnsi="Arial"/>
                <w:b w:val="false"/>
                <w:bCs w:val="false"/>
                <w:sz w:val="15"/>
                <w:szCs w:val="15"/>
              </w:rPr>
              <w:t xml:space="preserve">108</w:t>
            </w:r>
          </w:p>
        </w:tc>
        <w:tc>
          <w:tcPr>
            <w:tcW w:type="dxa" w:w="2293"/>
            <w:tcMar>
              <w:top w:type="dxa" w:w="40"/>
              <w:left w:type="dxa" w:w="80"/>
              <w:bottom w:type="dxa" w:w="40"/>
              <w:right w:type="dxa" w:w="80"/>
            </w:tcMar>
          </w:tcPr>
          <w:p>
            <w:pPr>
              <w:spacing w:after="0" w:line="235"/>
              <w:jc w:val="center"/>
            </w:pPr>
            <w:r>
              <w:rPr>
                <w:rFonts w:ascii="Arial" w:cs="Arial" w:eastAsia="Arial" w:hAnsi="Arial"/>
                <w:b w:val="false"/>
                <w:bCs w:val="false"/>
                <w:sz w:val="15"/>
                <w:szCs w:val="15"/>
              </w:rPr>
              <w:t xml:space="preserve">575</w:t>
            </w:r>
          </w:p>
        </w:tc>
        <w:tc>
          <w:tcPr>
            <w:tcW w:type="dxa" w:w="2294"/>
            <w:tcMar>
              <w:top w:type="dxa" w:w="40"/>
              <w:left w:type="dxa" w:w="80"/>
              <w:bottom w:type="dxa" w:w="40"/>
              <w:right w:type="dxa" w:w="80"/>
            </w:tcMar>
          </w:tcPr>
          <w:p>
            <w:pPr>
              <w:spacing w:after="0" w:line="235"/>
              <w:jc w:val="center"/>
            </w:pPr>
            <w:r>
              <w:rPr>
                <w:rFonts w:ascii="Arial" w:cs="Arial" w:eastAsia="Arial" w:hAnsi="Arial"/>
                <w:b w:val="false"/>
                <w:bCs w:val="false"/>
                <w:sz w:val="15"/>
                <w:szCs w:val="15"/>
              </w:rPr>
              <w:t xml:space="preserve">93</w:t>
            </w:r>
          </w:p>
        </w:tc>
      </w:tr>
      <w:tr>
        <w:trPr>
          <w:cantSplit/>
        </w:trPr>
        <w:tc>
          <w:tcPr>
            <w:tcW w:type="dxa" w:w="2700"/>
            <w:shd w:fill="EEF3F8" w:color="auto" w:val="clear"/>
            <w:tcMar>
              <w:top w:type="dxa" w:w="40"/>
              <w:left w:type="dxa" w:w="80"/>
              <w:bottom w:type="dxa" w:w="40"/>
              <w:right w:type="dxa" w:w="80"/>
            </w:tcMar>
          </w:tcPr>
          <w:p>
            <w:pPr>
              <w:spacing w:after="0" w:line="235"/>
              <w:jc w:val="left"/>
            </w:pPr>
            <w:r>
              <w:rPr>
                <w:rFonts w:ascii="Arial" w:cs="Arial" w:eastAsia="Arial" w:hAnsi="Arial"/>
                <w:b/>
                <w:bCs/>
                <w:sz w:val="15"/>
                <w:szCs w:val="15"/>
              </w:rPr>
              <w:t xml:space="preserve">Latencia CPU, media de 20 claims (ms)</w:t>
            </w:r>
          </w:p>
        </w:tc>
        <w:tc>
          <w:tcPr>
            <w:tcW w:type="dxa" w:w="2293"/>
            <w:tcMar>
              <w:top w:type="dxa" w:w="40"/>
              <w:left w:type="dxa" w:w="80"/>
              <w:bottom w:type="dxa" w:w="40"/>
              <w:right w:type="dxa" w:w="80"/>
            </w:tcMar>
          </w:tcPr>
          <w:p>
            <w:pPr>
              <w:spacing w:after="0" w:line="235"/>
              <w:jc w:val="center"/>
            </w:pPr>
            <w:r>
              <w:rPr>
                <w:rFonts w:ascii="Arial" w:cs="Arial" w:eastAsia="Arial" w:hAnsi="Arial"/>
                <w:b w:val="false"/>
                <w:bCs w:val="false"/>
                <w:sz w:val="15"/>
                <w:szCs w:val="15"/>
              </w:rPr>
              <w:t xml:space="preserve">377</w:t>
            </w:r>
          </w:p>
        </w:tc>
        <w:tc>
          <w:tcPr>
            <w:tcW w:type="dxa" w:w="2293"/>
            <w:tcMar>
              <w:top w:type="dxa" w:w="40"/>
              <w:left w:type="dxa" w:w="80"/>
              <w:bottom w:type="dxa" w:w="40"/>
              <w:right w:type="dxa" w:w="80"/>
            </w:tcMar>
          </w:tcPr>
          <w:p>
            <w:pPr>
              <w:spacing w:after="0" w:line="235"/>
              <w:jc w:val="center"/>
            </w:pPr>
            <w:r>
              <w:rPr>
                <w:rFonts w:ascii="Arial" w:cs="Arial" w:eastAsia="Arial" w:hAnsi="Arial"/>
                <w:sz w:val="16"/>
                <w:szCs w:val="16"/>
              </w:rPr>
              <w:t xml:space="preserve">10,642</w:t>
            </w:r>
            <w:r>
              <w:rPr>
                <w:rFonts w:ascii="Arial" w:cs="Arial" w:eastAsia="Arial" w:hAnsi="Arial"/>
                <w:sz w:val="15"/>
                <w:szCs w:val="15"/>
                <w:vertAlign w:val="superscript"/>
              </w:rPr>
              <w:t xml:space="preserve">*</w:t>
            </w:r>
          </w:p>
        </w:tc>
        <w:tc>
          <w:tcPr>
            <w:tcW w:type="dxa" w:w="2294"/>
            <w:tcMar>
              <w:top w:type="dxa" w:w="40"/>
              <w:left w:type="dxa" w:w="80"/>
              <w:bottom w:type="dxa" w:w="40"/>
              <w:right w:type="dxa" w:w="80"/>
            </w:tcMar>
          </w:tcPr>
          <w:p>
            <w:pPr>
              <w:spacing w:after="0" w:line="235"/>
              <w:jc w:val="center"/>
            </w:pPr>
            <w:r>
              <w:rPr>
                <w:rFonts w:ascii="Arial" w:cs="Arial" w:eastAsia="Arial" w:hAnsi="Arial"/>
                <w:b w:val="false"/>
                <w:bCs w:val="false"/>
                <w:sz w:val="15"/>
                <w:szCs w:val="15"/>
              </w:rPr>
              <w:t xml:space="preserve">1,810</w:t>
            </w:r>
          </w:p>
        </w:tc>
      </w:tr>
      <w:tr>
        <w:trPr>
          <w:cantSplit/>
        </w:trPr>
        <w:tc>
          <w:tcPr>
            <w:tcW w:type="dxa" w:w="2700"/>
            <w:shd w:fill="EEF3F8" w:color="auto" w:val="clear"/>
            <w:tcMar>
              <w:top w:type="dxa" w:w="40"/>
              <w:left w:type="dxa" w:w="80"/>
              <w:bottom w:type="dxa" w:w="40"/>
              <w:right w:type="dxa" w:w="80"/>
            </w:tcMar>
          </w:tcPr>
          <w:p>
            <w:pPr>
              <w:spacing w:after="0" w:line="235"/>
              <w:jc w:val="left"/>
            </w:pPr>
            <w:r>
              <w:rPr>
                <w:rFonts w:ascii="Arial" w:cs="Arial" w:eastAsia="Arial" w:hAnsi="Arial"/>
                <w:b/>
                <w:bCs/>
                <w:sz w:val="15"/>
                <w:szCs w:val="15"/>
              </w:rPr>
              <w:t xml:space="preserve">VRAM pico (MB)</w:t>
            </w:r>
          </w:p>
        </w:tc>
        <w:tc>
          <w:tcPr>
            <w:tcW w:type="dxa" w:w="2293"/>
            <w:tcMar>
              <w:top w:type="dxa" w:w="40"/>
              <w:left w:type="dxa" w:w="80"/>
              <w:bottom w:type="dxa" w:w="40"/>
              <w:right w:type="dxa" w:w="80"/>
            </w:tcMar>
          </w:tcPr>
          <w:p>
            <w:pPr>
              <w:spacing w:after="0" w:line="235"/>
              <w:jc w:val="center"/>
            </w:pPr>
            <w:r>
              <w:rPr>
                <w:rFonts w:ascii="Arial" w:cs="Arial" w:eastAsia="Arial" w:hAnsi="Arial"/>
                <w:b w:val="false"/>
                <w:bCs w:val="false"/>
                <w:sz w:val="15"/>
                <w:szCs w:val="15"/>
              </w:rPr>
              <w:t xml:space="preserve">435</w:t>
            </w:r>
          </w:p>
        </w:tc>
        <w:tc>
          <w:tcPr>
            <w:tcW w:type="dxa" w:w="2293"/>
            <w:tcMar>
              <w:top w:type="dxa" w:w="40"/>
              <w:left w:type="dxa" w:w="80"/>
              <w:bottom w:type="dxa" w:w="40"/>
              <w:right w:type="dxa" w:w="80"/>
            </w:tcMar>
          </w:tcPr>
          <w:p>
            <w:pPr>
              <w:spacing w:after="0" w:line="235"/>
              <w:jc w:val="center"/>
            </w:pPr>
            <w:r>
              <w:rPr>
                <w:rFonts w:ascii="Arial" w:cs="Arial" w:eastAsia="Arial" w:hAnsi="Arial"/>
                <w:b w:val="false"/>
                <w:bCs w:val="false"/>
                <w:sz w:val="15"/>
                <w:szCs w:val="15"/>
              </w:rPr>
              <w:t xml:space="preserve">630</w:t>
            </w:r>
          </w:p>
        </w:tc>
        <w:tc>
          <w:tcPr>
            <w:tcW w:type="dxa" w:w="2294"/>
            <w:tcMar>
              <w:top w:type="dxa" w:w="40"/>
              <w:left w:type="dxa" w:w="80"/>
              <w:bottom w:type="dxa" w:w="40"/>
              <w:right w:type="dxa" w:w="80"/>
            </w:tcMar>
          </w:tcPr>
          <w:p>
            <w:pPr>
              <w:spacing w:after="0" w:line="235"/>
              <w:jc w:val="center"/>
            </w:pPr>
            <w:r>
              <w:rPr>
                <w:rFonts w:ascii="Arial" w:cs="Arial" w:eastAsia="Arial" w:hAnsi="Arial"/>
                <w:b w:val="false"/>
                <w:bCs w:val="false"/>
                <w:sz w:val="15"/>
                <w:szCs w:val="15"/>
              </w:rPr>
              <w:t xml:space="preserve">2,187</w:t>
            </w:r>
          </w:p>
        </w:tc>
      </w:tr>
      <w:tr>
        <w:trPr>
          <w:cantSplit/>
        </w:trPr>
        <w:tc>
          <w:tcPr>
            <w:tcW w:type="dxa" w:w="2700"/>
            <w:shd w:fill="EEF3F8" w:color="auto" w:val="clear"/>
            <w:tcMar>
              <w:top w:type="dxa" w:w="40"/>
              <w:left w:type="dxa" w:w="80"/>
              <w:bottom w:type="dxa" w:w="40"/>
              <w:right w:type="dxa" w:w="80"/>
            </w:tcMar>
          </w:tcPr>
          <w:p>
            <w:pPr>
              <w:spacing w:after="0" w:line="235"/>
              <w:jc w:val="left"/>
            </w:pPr>
            <w:r>
              <w:rPr>
                <w:rFonts w:ascii="Arial" w:cs="Arial" w:eastAsia="Arial" w:hAnsi="Arial"/>
                <w:b/>
                <w:bCs/>
                <w:sz w:val="15"/>
                <w:szCs w:val="15"/>
              </w:rPr>
              <w:t xml:space="preserve">GPU al año, 86,400 claims (h)</w:t>
            </w:r>
          </w:p>
        </w:tc>
        <w:tc>
          <w:tcPr>
            <w:tcW w:type="dxa" w:w="2293"/>
            <w:tcMar>
              <w:top w:type="dxa" w:w="40"/>
              <w:left w:type="dxa" w:w="80"/>
              <w:bottom w:type="dxa" w:w="40"/>
              <w:right w:type="dxa" w:w="80"/>
            </w:tcMar>
          </w:tcPr>
          <w:p>
            <w:pPr>
              <w:spacing w:after="0" w:line="235"/>
              <w:jc w:val="center"/>
            </w:pPr>
            <w:r>
              <w:rPr>
                <w:rFonts w:ascii="Arial" w:cs="Arial" w:eastAsia="Arial" w:hAnsi="Arial"/>
                <w:b w:val="false"/>
                <w:bCs w:val="false"/>
                <w:sz w:val="15"/>
                <w:szCs w:val="15"/>
              </w:rPr>
              <w:t xml:space="preserve">0.33</w:t>
            </w:r>
          </w:p>
        </w:tc>
        <w:tc>
          <w:tcPr>
            <w:tcW w:type="dxa" w:w="2293"/>
            <w:tcMar>
              <w:top w:type="dxa" w:w="40"/>
              <w:left w:type="dxa" w:w="80"/>
              <w:bottom w:type="dxa" w:w="40"/>
              <w:right w:type="dxa" w:w="80"/>
            </w:tcMar>
          </w:tcPr>
          <w:p>
            <w:pPr>
              <w:spacing w:after="0" w:line="235"/>
              <w:jc w:val="center"/>
            </w:pPr>
            <w:r>
              <w:rPr>
                <w:rFonts w:ascii="Arial" w:cs="Arial" w:eastAsia="Arial" w:hAnsi="Arial"/>
                <w:b w:val="false"/>
                <w:bCs w:val="false"/>
                <w:sz w:val="15"/>
                <w:szCs w:val="15"/>
              </w:rPr>
              <w:t xml:space="preserve">0.88</w:t>
            </w:r>
          </w:p>
        </w:tc>
        <w:tc>
          <w:tcPr>
            <w:tcW w:type="dxa" w:w="2294"/>
            <w:tcMar>
              <w:top w:type="dxa" w:w="40"/>
              <w:left w:type="dxa" w:w="80"/>
              <w:bottom w:type="dxa" w:w="40"/>
              <w:right w:type="dxa" w:w="80"/>
            </w:tcMar>
          </w:tcPr>
          <w:p>
            <w:pPr>
              <w:spacing w:after="0" w:line="235"/>
              <w:jc w:val="center"/>
            </w:pPr>
            <w:r>
              <w:rPr>
                <w:rFonts w:ascii="Arial" w:cs="Arial" w:eastAsia="Arial" w:hAnsi="Arial"/>
                <w:b w:val="false"/>
                <w:bCs w:val="false"/>
                <w:sz w:val="15"/>
                <w:szCs w:val="15"/>
              </w:rPr>
              <w:t xml:space="preserve">0.55</w:t>
            </w:r>
          </w:p>
        </w:tc>
      </w:tr>
      <w:tr>
        <w:trPr>
          <w:cantSplit/>
        </w:trPr>
        <w:tc>
          <w:tcPr>
            <w:tcW w:type="dxa" w:w="2700"/>
            <w:shd w:fill="EEF3F8" w:color="auto" w:val="clear"/>
            <w:tcMar>
              <w:top w:type="dxa" w:w="40"/>
              <w:left w:type="dxa" w:w="80"/>
              <w:bottom w:type="dxa" w:w="40"/>
              <w:right w:type="dxa" w:w="80"/>
            </w:tcMar>
          </w:tcPr>
          <w:p>
            <w:pPr>
              <w:spacing w:after="0" w:line="235"/>
              <w:jc w:val="left"/>
            </w:pPr>
            <w:r>
              <w:rPr>
                <w:rFonts w:ascii="Arial" w:cs="Arial" w:eastAsia="Arial" w:hAnsi="Arial"/>
                <w:b/>
                <w:bCs/>
                <w:sz w:val="15"/>
                <w:szCs w:val="15"/>
              </w:rPr>
              <w:t xml:space="preserve">Umbral τ · automatizable · exactitud</w:t>
            </w:r>
          </w:p>
        </w:tc>
        <w:tc>
          <w:tcPr>
            <w:tcW w:type="dxa" w:w="2293"/>
            <w:tcMar>
              <w:top w:type="dxa" w:w="40"/>
              <w:left w:type="dxa" w:w="80"/>
              <w:bottom w:type="dxa" w:w="40"/>
              <w:right w:type="dxa" w:w="80"/>
            </w:tcMar>
          </w:tcPr>
          <w:p>
            <w:pPr>
              <w:spacing w:after="0" w:line="235"/>
              <w:jc w:val="center"/>
            </w:pPr>
            <w:r>
              <w:rPr>
                <w:rFonts w:ascii="Arial" w:cs="Arial" w:eastAsia="Arial" w:hAnsi="Arial"/>
                <w:b w:val="false"/>
                <w:bCs w:val="false"/>
                <w:sz w:val="15"/>
                <w:szCs w:val="15"/>
              </w:rPr>
              <w:t xml:space="preserve">0.50 · 20 % · 97 %</w:t>
            </w:r>
          </w:p>
        </w:tc>
        <w:tc>
          <w:tcPr>
            <w:tcW w:type="dxa" w:w="2293"/>
            <w:tcMar>
              <w:top w:type="dxa" w:w="40"/>
              <w:left w:type="dxa" w:w="80"/>
              <w:bottom w:type="dxa" w:w="40"/>
              <w:right w:type="dxa" w:w="80"/>
            </w:tcMar>
          </w:tcPr>
          <w:p>
            <w:pPr>
              <w:spacing w:after="0" w:line="235"/>
              <w:jc w:val="center"/>
            </w:pPr>
            <w:r>
              <w:rPr>
                <w:rFonts w:ascii="Arial" w:cs="Arial" w:eastAsia="Arial" w:hAnsi="Arial"/>
                <w:b w:val="false"/>
                <w:bCs w:val="false"/>
                <w:sz w:val="15"/>
                <w:szCs w:val="15"/>
              </w:rPr>
              <w:t xml:space="preserve">Sin τ válido en dev</w:t>
            </w:r>
          </w:p>
        </w:tc>
        <w:tc>
          <w:tcPr>
            <w:tcW w:type="dxa" w:w="2294"/>
            <w:tcMar>
              <w:top w:type="dxa" w:w="40"/>
              <w:left w:type="dxa" w:w="80"/>
              <w:bottom w:type="dxa" w:w="40"/>
              <w:right w:type="dxa" w:w="80"/>
            </w:tcMar>
          </w:tcPr>
          <w:p>
            <w:pPr>
              <w:spacing w:after="0" w:line="235"/>
              <w:jc w:val="center"/>
            </w:pPr>
            <w:r>
              <w:rPr>
                <w:rFonts w:ascii="Arial" w:cs="Arial" w:eastAsia="Arial" w:hAnsi="Arial"/>
                <w:b w:val="false"/>
                <w:bCs w:val="false"/>
                <w:sz w:val="15"/>
                <w:szCs w:val="15"/>
              </w:rPr>
              <w:t xml:space="preserve">Sin τ válido en dev</w:t>
            </w:r>
          </w:p>
        </w:tc>
      </w:tr>
      <w:tr>
        <w:trPr>
          <w:cantSplit/>
        </w:trPr>
        <w:tc>
          <w:tcPr>
            <w:tcW w:type="dxa" w:w="2700"/>
            <w:shd w:fill="EEF3F8" w:color="auto" w:val="clear"/>
            <w:tcMar>
              <w:top w:type="dxa" w:w="40"/>
              <w:left w:type="dxa" w:w="80"/>
              <w:bottom w:type="dxa" w:w="40"/>
              <w:right w:type="dxa" w:w="80"/>
            </w:tcMar>
          </w:tcPr>
          <w:p>
            <w:pPr>
              <w:spacing w:after="0" w:line="235"/>
              <w:jc w:val="left"/>
            </w:pPr>
            <w:r>
              <w:rPr>
                <w:rFonts w:ascii="Arial" w:cs="Arial" w:eastAsia="Arial" w:hAnsi="Arial"/>
                <w:b/>
                <w:bCs/>
                <w:sz w:val="15"/>
                <w:szCs w:val="15"/>
              </w:rPr>
              <w:t xml:space="preserve">Cumple los tres umbrales</w:t>
            </w:r>
          </w:p>
        </w:tc>
        <w:tc>
          <w:tcPr>
            <w:tcW w:type="dxa" w:w="2293"/>
            <w:tcMar>
              <w:top w:type="dxa" w:w="40"/>
              <w:left w:type="dxa" w:w="80"/>
              <w:bottom w:type="dxa" w:w="40"/>
              <w:right w:type="dxa" w:w="80"/>
            </w:tcMar>
          </w:tcPr>
          <w:p>
            <w:pPr>
              <w:spacing w:after="0" w:line="235"/>
              <w:jc w:val="center"/>
            </w:pPr>
            <w:r>
              <w:rPr>
                <w:rFonts w:ascii="Arial" w:cs="Arial" w:eastAsia="Arial" w:hAnsi="Arial"/>
                <w:b w:val="false"/>
                <w:bCs w:val="false"/>
                <w:sz w:val="15"/>
                <w:szCs w:val="15"/>
              </w:rPr>
              <w:t xml:space="preserve">No (F1 y recall SALUD)</w:t>
            </w:r>
          </w:p>
        </w:tc>
        <w:tc>
          <w:tcPr>
            <w:tcW w:type="dxa" w:w="2293"/>
            <w:tcMar>
              <w:top w:type="dxa" w:w="40"/>
              <w:left w:type="dxa" w:w="80"/>
              <w:bottom w:type="dxa" w:w="40"/>
              <w:right w:type="dxa" w:w="80"/>
            </w:tcMar>
          </w:tcPr>
          <w:p>
            <w:pPr>
              <w:spacing w:after="0" w:line="235"/>
              <w:jc w:val="center"/>
            </w:pPr>
            <w:r>
              <w:rPr>
                <w:rFonts w:ascii="Arial" w:cs="Arial" w:eastAsia="Arial" w:hAnsi="Arial"/>
                <w:b w:val="false"/>
                <w:bCs w:val="false"/>
                <w:sz w:val="15"/>
                <w:szCs w:val="15"/>
              </w:rPr>
              <w:t xml:space="preserve">No (F1 y recall SALUD)</w:t>
            </w:r>
          </w:p>
        </w:tc>
        <w:tc>
          <w:tcPr>
            <w:tcW w:type="dxa" w:w="2294"/>
            <w:tcMar>
              <w:top w:type="dxa" w:w="40"/>
              <w:left w:type="dxa" w:w="80"/>
              <w:bottom w:type="dxa" w:w="40"/>
              <w:right w:type="dxa" w:w="80"/>
            </w:tcMar>
          </w:tcPr>
          <w:p>
            <w:pPr>
              <w:spacing w:after="0" w:line="235"/>
              <w:jc w:val="center"/>
            </w:pPr>
            <w:r>
              <w:rPr>
                <w:rFonts w:ascii="Arial" w:cs="Arial" w:eastAsia="Arial" w:hAnsi="Arial"/>
                <w:b w:val="false"/>
                <w:bCs w:val="false"/>
                <w:sz w:val="15"/>
                <w:szCs w:val="15"/>
              </w:rPr>
              <w:t xml:space="preserve">No (F1 y recall SALUD)</w:t>
            </w:r>
          </w:p>
        </w:tc>
      </w:tr>
    </w:tbl>
    <w:p>
      <w:pPr>
        <w:spacing w:after="90" w:before="50" w:line="256"/>
        <w:jc w:val="left"/>
      </w:pPr>
      <w:r>
        <w:rPr>
          <w:rFonts w:ascii="Arial" w:cs="Arial" w:eastAsia="Arial" w:hAnsi="Arial"/>
          <w:color w:val="404040"/>
          <w:sz w:val="15"/>
          <w:szCs w:val="15"/>
        </w:rPr>
        <w:t xml:space="preserve">* Valor atípico y repetido en las dos ejecuciones (9,831 y 10,642 ms): más lento que XLM-R large, que tiene el doble de capas y de parámetros. La medición en CPU es la media de 20 llamadas sin calentamiento; la causa no se verificó, así que no se usa para decidir. Model IDs: MoritzLaurer/multilingual-MiniLMv2-L6-mnli-xnli · MoritzLaurer/mDeBERTa-v3-base-xnli-multilingual-nli-2mil7 · joeddav/xlm-roberta-large-xnli.</w:t>
      </w:r>
    </w:p>
    <w:p>
      <w:pPr>
        <w:keepNext/>
        <w:spacing w:after="30" w:before="80"/>
        <w:jc w:val="center"/>
      </w:pPr>
      <w:r>
        <w:drawing>
          <wp:inline distT="0" distB="0" distL="0" distR="0">
            <wp:extent cx="504825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048250" cy="1905000"/>
                    </a:xfrm>
                    <a:prstGeom prst="rect">
                      <a:avLst/>
                    </a:prstGeom>
                  </pic:spPr>
                </pic:pic>
              </a:graphicData>
            </a:graphic>
          </wp:inline>
        </w:drawing>
      </w:r>
    </w:p>
    <w:p>
      <w:pPr>
        <w:spacing w:after="100" w:before="0" w:line="256"/>
        <w:jc w:val="center"/>
      </w:pPr>
      <w:r>
        <w:rPr>
          <w:rFonts w:ascii="Arial" w:cs="Arial" w:eastAsia="Arial" w:hAnsi="Arial"/>
          <w:i/>
          <w:iCs/>
          <w:color w:val="404040"/>
          <w:sz w:val="15"/>
          <w:szCs w:val="15"/>
        </w:rPr>
        <w:t xml:space="preserve">Figura 1. A: macro-F1 frente a latencia en GPU (el tamaño del punto crece con los parámetros). B: recall por clase; la línea marca la meta de 0.90 para SALUD.</w:t>
      </w:r>
    </w:p>
    <w:p>
      <w:pPr>
        <w:keepNext/>
        <w:pBdr>
          <w:bottom w:val="single" w:color="BFBFBF" w:sz="6" w:space="2"/>
        </w:pBdr>
        <w:spacing w:after="85" w:before="190"/>
      </w:pPr>
      <w:r>
        <w:rPr>
          <w:rFonts w:ascii="Arial" w:cs="Arial" w:eastAsia="Arial" w:hAnsi="Arial"/>
          <w:b/>
          <w:bCs/>
          <w:color w:val="1F4E79"/>
          <w:sz w:val="23"/>
          <w:szCs w:val="23"/>
        </w:rPr>
        <w:t xml:space="preserve">4. Análisis de trade-offs: eficiencia frente a precisión</w:t>
      </w:r>
    </w:p>
    <w:p>
      <w:pPr>
        <w:spacing w:after="90" w:before="0" w:line="256"/>
        <w:jc w:val="both"/>
      </w:pPr>
      <w:r>
        <w:rPr>
          <w:rFonts w:ascii="Arial" w:cs="Arial" w:eastAsia="Arial" w:hAnsi="Arial"/>
          <w:b/>
          <w:bCs/>
          <w:sz w:val="19"/>
          <w:szCs w:val="19"/>
        </w:rPr>
        <w:t xml:space="preserve">Más allá de mDeBERTa, más tamaño no mejoró el macro-F1. </w:t>
      </w:r>
      <w:r>
        <w:rPr>
          <w:rFonts w:ascii="Arial" w:cs="Arial" w:eastAsia="Arial" w:hAnsi="Arial"/>
          <w:sz w:val="19"/>
          <w:szCs w:val="19"/>
        </w:rPr>
        <w:t xml:space="preserve">Pasar de MiniLM (107 M) a mDeBERTa (279 M) subió el macro-F1 de 0.537 a 0.599 (+0.062) a cambio de 2.6 veces los parámetros y 1.4 veces la VRAM. Pasar a XLM-R large (560 M) ya no mejora: el macro-F1 queda en 0.592 (-0.008), con 3.5 veces la VRAM de mDeBERTa y 4.0 veces su tamaño en disco. El modelo que más recursos consume no es el mejor.</w:t>
      </w:r>
    </w:p>
    <w:p>
      <w:pPr>
        <w:spacing w:after="90" w:before="0" w:line="256"/>
        <w:jc w:val="both"/>
      </w:pPr>
      <w:r>
        <w:rPr>
          <w:rFonts w:ascii="Arial" w:cs="Arial" w:eastAsia="Arial" w:hAnsi="Arial"/>
          <w:b/>
          <w:bCs/>
          <w:sz w:val="19"/>
          <w:szCs w:val="19"/>
        </w:rPr>
        <w:t xml:space="preserve">La latencia no es la restricción, y además varía entre ejecuciones. </w:t>
      </w:r>
      <w:r>
        <w:rPr>
          <w:rFonts w:ascii="Arial" w:cs="Arial" w:eastAsia="Arial" w:hAnsi="Arial"/>
          <w:sz w:val="19"/>
          <w:szCs w:val="19"/>
        </w:rPr>
        <w:t xml:space="preserve">En lote, los tres quedan muy por debajo del límite de 300 ms por claim en las dos ejecuciones; en la segunda, el más lento (mDeBERTa, 36.8 ms) consumiría 0.88 h de GPU T4 al año para 86,400 claims. Pero la latencia de los modelos pequeños no fue estable: con predicciones idénticas, MiniLM pasó de 3.2 a 13.9 ms y mDeBERTa de 7.4 a 36.8 ms, mientras XLM-R se mantuvo (23.0 y 23.1 ms). Lo más probable es que se deba a la carga de CPU de la máquina compartida de Colab, que pesa más en los modelos pequeños, así que el orden por latencia entre mDeBERTa y XLM-R no es concluyente. Un claim a la vez, mDeBERTa llegó a un p95 de 575 ms, por encima del límite, así que los claims de cada etiqueta deben procesarse en lote. Sin GPU, MiniLM es el más práctico: 377 ms por claim en CPU frente a 1,810 ms de XLM-R (la cifra de mDeBERTa es atípica; ver la nota de la tabla).</w:t>
      </w:r>
    </w:p>
    <w:p>
      <w:pPr>
        <w:spacing w:after="90" w:before="0" w:line="256"/>
        <w:jc w:val="both"/>
      </w:pPr>
      <w:r>
        <w:rPr>
          <w:rFonts w:ascii="Arial" w:cs="Arial" w:eastAsia="Arial" w:hAnsi="Arial"/>
          <w:b/>
          <w:bCs/>
          <w:sz w:val="19"/>
          <w:szCs w:val="19"/>
        </w:rPr>
        <w:t xml:space="preserve">La accuracy esconde el riesgo regulatorio. </w:t>
      </w:r>
      <w:r>
        <w:rPr>
          <w:rFonts w:ascii="Arial" w:cs="Arial" w:eastAsia="Arial" w:hAnsi="Arial"/>
          <w:sz w:val="19"/>
          <w:szCs w:val="19"/>
        </w:rPr>
        <w:t xml:space="preserve">XLM-R tiene la mayor accuracy (0.615) y la mayor precision macro (0.718), pero un recall de SALUD de 0.286: envía 30 de los 42 claims de salud (71 %) a NUTRIMENTAL, sobre todo declaraciones de función como "El potasio contribuye al mantenimiento de la tensión arterial normal" (21 de 26). Esos claims se saltarían la verificación de declaraciones autorizadas. mDeBERTa se equivoca en la dirección contraria: manda 27 de los 49 claims nutrimentales a SALUD ("Bajo en sodio", "Bajo en colesterol"). Ese error es conservador, porque cuesta tiempo de revisión y no exposición regulatoria, y explica que la mayoría de sus errores (36 de 66) vayan a SALUD; aun así, saca 6 de los 42 claims de salud de su checklist. MiniLM tiene buen recall de SALUD (0.810), pero pierde AUSENCIA (recall 0.205): 25 de 39 claims van a MARKETING y se saltarían la evidencia analítica de su checklist; 5 de ellos son de alérgenos o gluten.</w:t>
      </w:r>
    </w:p>
    <w:p>
      <w:pPr>
        <w:spacing w:after="90" w:before="0" w:line="256"/>
        <w:jc w:val="both"/>
      </w:pPr>
      <w:r>
        <w:rPr>
          <w:rFonts w:ascii="Arial" w:cs="Arial" w:eastAsia="Arial" w:hAnsi="Arial"/>
          <w:b/>
          <w:bCs/>
          <w:sz w:val="19"/>
          <w:szCs w:val="19"/>
        </w:rPr>
        <w:t xml:space="preserve">Casos frontera y origen del claim. </w:t>
      </w:r>
      <w:r>
        <w:rPr>
          <w:rFonts w:ascii="Arial" w:cs="Arial" w:eastAsia="Arial" w:hAnsi="Arial"/>
          <w:sz w:val="19"/>
          <w:szCs w:val="19"/>
        </w:rPr>
        <w:t xml:space="preserve">mDeBERTa acierta 0.66 en los casos frontera frente a 0.60 en los estándar, pero solo gracias a los de SALUD (13 de 13, por su sesgo hacia esa clase); en las demás clases baja de 0.55 a 0.38, así que la ambigüedad sí pesa. Los tres modelos aciertan más en los claims generados por plantilla que en los redactados a mano (mDeBERTa: 0.69 frente a 0.55): la redacción libre es más difícil, y las etiquetas reales probablemente lo serán aún más. Por confianza, solo MiniLM permite automatizar: con τ = 0.50 resolvería el 20 % de los claims con 97 % de exactitud; en los otros dos ningún umbral alcanza 90 % de exactitud en dev.</w:t>
      </w:r>
    </w:p>
    <w:p>
      <w:pPr>
        <w:keepNext/>
        <w:pBdr>
          <w:bottom w:val="single" w:color="BFBFBF" w:sz="6" w:space="2"/>
        </w:pBdr>
        <w:spacing w:after="85" w:before="190"/>
      </w:pPr>
      <w:r>
        <w:rPr>
          <w:rFonts w:ascii="Arial" w:cs="Arial" w:eastAsia="Arial" w:hAnsi="Arial"/>
          <w:b/>
          <w:bCs/>
          <w:color w:val="1F4E79"/>
          <w:sz w:val="23"/>
          <w:szCs w:val="23"/>
        </w:rPr>
        <w:t xml:space="preserve">5. Decisiones de ajuste mínimo</w:t>
      </w:r>
    </w:p>
    <w:p>
      <w:pPr>
        <w:keepNext/>
        <w:spacing w:after="90" w:before="0" w:line="256"/>
        <w:jc w:val="both"/>
      </w:pPr>
      <w:r>
        <w:rPr>
          <w:rFonts w:ascii="Arial" w:cs="Arial" w:eastAsia="Arial" w:hAnsi="Arial"/>
          <w:sz w:val="19"/>
          <w:szCs w:val="19"/>
        </w:rPr>
        <w:t xml:space="preserve">Ninguna decisión modifica los pesos del modelo; todas son de configuración, formato de salida y operación:</w:t>
      </w:r>
    </w:p>
    <w:p>
      <w:pPr>
        <w:pStyle w:val="ListParagraph"/>
        <w:numPr>
          <w:ilvl w:val="0"/>
          <w:numId w:val="2"/>
        </w:numPr>
        <w:spacing w:after="60" w:before="0" w:line="256"/>
        <w:jc w:val="both"/>
      </w:pPr>
      <w:r>
        <w:rPr>
          <w:rFonts w:ascii="Arial" w:cs="Arial" w:eastAsia="Arial" w:hAnsi="Arial"/>
          <w:b/>
          <w:bCs/>
          <w:sz w:val="19"/>
          <w:szCs w:val="19"/>
        </w:rPr>
        <w:t xml:space="preserve">Plantilla de hipótesis y descripción de clases. </w:t>
      </w:r>
      <w:r>
        <w:rPr>
          <w:rFonts w:ascii="Arial" w:cs="Arial" w:eastAsia="Arial" w:hAnsi="Arial"/>
          <w:sz w:val="19"/>
          <w:szCs w:val="19"/>
        </w:rPr>
        <w:t xml:space="preserve">Se compararon en dev la plantilla por defecto en inglés, una plantilla en español con etiquetas cortas y una con cada clase descrita según la guía. La plantilla en español mejoró el macro-F1 en test de los tres modelos frente a la de inglés: +0.09 en MiniLM, +0.04 en mDeBERTa y +0.14 en XLM-R. La mejor opción cambia por modelo: MiniLM prefiere las clases descritas y los otros dos las etiquetas cortas, así que describir más no siempre ayuda y la elección debe hacerse en dev para cada modelo.</w:t>
      </w:r>
    </w:p>
    <w:p>
      <w:pPr>
        <w:pStyle w:val="ListParagraph"/>
        <w:numPr>
          <w:ilvl w:val="0"/>
          <w:numId w:val="2"/>
        </w:numPr>
        <w:spacing w:after="60" w:before="0" w:line="256"/>
        <w:jc w:val="both"/>
      </w:pPr>
      <w:r>
        <w:rPr>
          <w:rFonts w:ascii="Arial" w:cs="Arial" w:eastAsia="Arial" w:hAnsi="Arial"/>
          <w:b/>
          <w:bCs/>
          <w:sz w:val="19"/>
          <w:szCs w:val="19"/>
        </w:rPr>
        <w:t xml:space="preserve">Mapeo de salida. </w:t>
      </w:r>
      <w:r>
        <w:rPr>
          <w:rFonts w:ascii="Arial" w:cs="Arial" w:eastAsia="Arial" w:hAnsi="Arial"/>
          <w:sz w:val="19"/>
          <w:szCs w:val="19"/>
        </w:rPr>
        <w:t xml:space="preserve">La descripción ganadora se traduce al código de clase (NUTRIMENTAL, SALUD, AUSENCIA, MARKETING), que es lo que consume el enrutador.</w:t>
      </w:r>
    </w:p>
    <w:p>
      <w:pPr>
        <w:pStyle w:val="ListParagraph"/>
        <w:numPr>
          <w:ilvl w:val="0"/>
          <w:numId w:val="2"/>
        </w:numPr>
        <w:spacing w:after="60" w:before="0" w:line="256"/>
        <w:jc w:val="both"/>
      </w:pPr>
      <w:r>
        <w:rPr>
          <w:rFonts w:ascii="Arial" w:cs="Arial" w:eastAsia="Arial" w:hAnsi="Arial"/>
          <w:b/>
          <w:bCs/>
          <w:sz w:val="19"/>
          <w:szCs w:val="19"/>
        </w:rPr>
        <w:t xml:space="preserve">Umbral de confianza τ. </w:t>
      </w:r>
      <w:r>
        <w:rPr>
          <w:rFonts w:ascii="Arial" w:cs="Arial" w:eastAsia="Arial" w:hAnsi="Arial"/>
          <w:sz w:val="19"/>
          <w:szCs w:val="19"/>
        </w:rPr>
        <w:t xml:space="preserve">Se elige en dev como el menor valor que da al menos 90 % de exactitud en lo automatizado. Solo MiniLM lo alcanzó (τ = 0.50); con mDeBERTa todo claim pasa a revisión humana.</w:t>
      </w:r>
    </w:p>
    <w:p>
      <w:pPr>
        <w:pStyle w:val="ListParagraph"/>
        <w:numPr>
          <w:ilvl w:val="0"/>
          <w:numId w:val="2"/>
        </w:numPr>
        <w:spacing w:after="60" w:before="0" w:line="256"/>
        <w:jc w:val="both"/>
      </w:pPr>
      <w:r>
        <w:rPr>
          <w:rFonts w:ascii="Arial" w:cs="Arial" w:eastAsia="Arial" w:hAnsi="Arial"/>
          <w:b/>
          <w:bCs/>
          <w:sz w:val="19"/>
          <w:szCs w:val="19"/>
        </w:rPr>
        <w:t xml:space="preserve">Ejecución. </w:t>
      </w:r>
      <w:r>
        <w:rPr>
          <w:rFonts w:ascii="Arial" w:cs="Arial" w:eastAsia="Arial" w:hAnsi="Arial"/>
          <w:sz w:val="19"/>
          <w:szCs w:val="19"/>
        </w:rPr>
        <w:t xml:space="preserve">GPU T4 (device = 0), lotes de 16 claims, una sola etiqueta por claim (multi_label = False) y precisión FP32.</w:t>
      </w:r>
    </w:p>
    <w:p>
      <w:pPr>
        <w:keepNext/>
        <w:pBdr>
          <w:bottom w:val="single" w:color="BFBFBF" w:sz="6" w:space="2"/>
        </w:pBdr>
        <w:spacing w:after="85" w:before="190"/>
      </w:pPr>
      <w:r>
        <w:rPr>
          <w:rFonts w:ascii="Arial" w:cs="Arial" w:eastAsia="Arial" w:hAnsi="Arial"/>
          <w:b/>
          <w:bCs/>
          <w:color w:val="1F4E79"/>
          <w:sz w:val="23"/>
          <w:szCs w:val="23"/>
        </w:rPr>
        <w:t xml:space="preserve">6. Justificación del modelo recomendado</w:t>
      </w:r>
    </w:p>
    <w:p>
      <w:pPr>
        <w:spacing w:after="90" w:before="0" w:line="256"/>
        <w:jc w:val="both"/>
      </w:pPr>
      <w:r>
        <w:rPr>
          <w:rFonts w:ascii="Arial" w:cs="Arial" w:eastAsia="Arial" w:hAnsi="Arial"/>
          <w:b/>
          <w:bCs/>
          <w:sz w:val="19"/>
          <w:szCs w:val="19"/>
        </w:rPr>
        <w:t xml:space="preserve">Recomendado: mDeBERTa-v3 base </w:t>
      </w:r>
      <w:r>
        <w:rPr>
          <w:rFonts w:ascii="Arial" w:cs="Arial" w:eastAsia="Arial" w:hAnsi="Arial"/>
          <w:sz w:val="19"/>
          <w:szCs w:val="19"/>
        </w:rPr>
        <w:t xml:space="preserve">(MoritzLaurer/mDeBERTa-v3-base-xnli-multilingual-nli-2mil7). Ningún modelo cumple los tres umbrales, así que la regla de decisión elige el de mayor macro-F1: mDeBERTa con 0.599. Como su ventaja sobre XLM-R (0.592) es de apenas 0.008, se comprobó que la elección no dependa de ella, y todo lo demás también favorece a mDeBERTa: el mejor recall de SALUD (0.857 frente a 0.286), la mayoría de sus errores (36 de 66) van a SALUD, el checklist más estricto, 3.5 veces menos VRAM (630 MB), la mitad de parámetros, licencia MIT y entrenamiento NLI en 27 idiomas, incluidos español e inglés, que cubre las etiquetas bilingües del alcance. En latencia no hay un ganador claro: ambos cumplen el límite en lote y su orden cambió entre ejecuciones.</w:t>
      </w:r>
    </w:p>
    <w:p>
      <w:pPr>
        <w:spacing w:after="90" w:before="0" w:line="256"/>
        <w:jc w:val="both"/>
      </w:pPr>
      <w:r>
        <w:rPr>
          <w:rFonts w:ascii="Arial" w:cs="Arial" w:eastAsia="Arial" w:hAnsi="Arial"/>
          <w:b/>
          <w:bCs/>
          <w:sz w:val="19"/>
          <w:szCs w:val="19"/>
        </w:rPr>
        <w:t xml:space="preserve">Todavía no está listo para producción. </w:t>
      </w:r>
      <w:r>
        <w:rPr>
          <w:rFonts w:ascii="Arial" w:cs="Arial" w:eastAsia="Arial" w:hAnsi="Arial"/>
          <w:sz w:val="19"/>
          <w:szCs w:val="19"/>
        </w:rPr>
        <w:t xml:space="preserve">Está a 0.20 de la meta de macro-F1 y a 0.04 de la de recall de SALUD, y no tiene un τ útil. Se recomienda como base para fine-tuning con 300 a 500 claims reales anonimizados de las mismas cuatro clases: el enfoque NLI rinde bien con pocos cientos de ejemplos anotados (Laurer et al., 2024). Mientras tanto, opera solo como sugerencia, con revisión humana del 100 %. Hay además una mejora sin entrenamiento: los 27 errores NUTRIMENTAL → SALUD declaran el contenido de un nutrimento con un descriptor ("bajo en", "rico en", "x % menos") o una cantidad ("25 g de proteína por porción"), que una regla léxica previa al modelo puede detectar si respeta la prioridad de SALUD de la guía. También hay que corregir la ruta de los claims de gluten: mDeBERTa no acertó ninguno de los tres (dos van a SALUD y uno a NUTRIMENTAL).</w:t>
      </w:r>
    </w:p>
    <w:p>
      <w:pPr>
        <w:spacing w:after="90" w:before="0" w:line="256"/>
        <w:jc w:val="both"/>
      </w:pPr>
      <w:r>
        <w:rPr>
          <w:rFonts w:ascii="Arial" w:cs="Arial" w:eastAsia="Arial" w:hAnsi="Arial"/>
          <w:b/>
          <w:bCs/>
          <w:sz w:val="19"/>
          <w:szCs w:val="19"/>
        </w:rPr>
        <w:t xml:space="preserve">Alternativa descartada. </w:t>
      </w:r>
      <w:r>
        <w:rPr>
          <w:rFonts w:ascii="Arial" w:cs="Arial" w:eastAsia="Arial" w:hAnsi="Arial"/>
          <w:sz w:val="19"/>
          <w:szCs w:val="19"/>
        </w:rPr>
        <w:t xml:space="preserve">MiniLM sería la opción para un despliegue sin GPU (377 ms por claim en CPU en la segunda ejecución) y el único que permite automatizar una parte, pero su recall de AUSENCIA de 0.205 lo descarta: la mayoría de esos claims, incluidos los de alérgenos, se quedaría sin su evidencia analítica.</w:t>
      </w:r>
    </w:p>
    <w:p>
      <w:pPr>
        <w:keepNext/>
        <w:pBdr>
          <w:bottom w:val="single" w:color="BFBFBF" w:sz="6" w:space="2"/>
        </w:pBdr>
        <w:spacing w:after="85" w:before="190"/>
      </w:pPr>
      <w:r>
        <w:rPr>
          <w:rFonts w:ascii="Arial" w:cs="Arial" w:eastAsia="Arial" w:hAnsi="Arial"/>
          <w:b/>
          <w:bCs/>
          <w:color w:val="1F4E79"/>
          <w:sz w:val="23"/>
          <w:szCs w:val="23"/>
        </w:rPr>
        <w:t xml:space="preserve">7. Umbrales y riesgos</w:t>
      </w:r>
    </w:p>
    <w:p>
      <w:pPr>
        <w:spacing w:after="90" w:before="0" w:line="256"/>
        <w:jc w:val="both"/>
      </w:pPr>
      <w:r>
        <w:rPr>
          <w:rFonts w:ascii="Arial" w:cs="Arial" w:eastAsia="Arial" w:hAnsi="Arial"/>
          <w:b/>
          <w:bCs/>
          <w:sz w:val="19"/>
          <w:szCs w:val="19"/>
        </w:rPr>
        <w:t xml:space="preserve">Umbrales de aceptación para pasar a piloto: </w:t>
      </w:r>
      <w:r>
        <w:rPr>
          <w:rFonts w:ascii="Arial" w:cs="Arial" w:eastAsia="Arial" w:hAnsi="Arial"/>
          <w:sz w:val="19"/>
          <w:szCs w:val="19"/>
        </w:rPr>
        <w:t xml:space="preserve">macro-F1 ≥ 0.80, recall de SALUD ≥ 0.90, latencia ≤ 300 ms por claim y un umbral τ que asegure al menos 90 % de exactitud en lo que se automatiza. Ningún modelo los cumple en zero-shot; por eso no pasa a piloto automatizado, se activa el fine-tuning y, mientras tanto, el modelo solo sugiere la clase.</w:t>
      </w:r>
    </w:p>
    <w:tbl>
      <w:tblPr>
        <w:tblW w:type="dxa" w:w="9580"/>
        <w:tblBorders>
          <w:top w:val="single" w:color="BFBFBF" w:sz="4"/>
          <w:left w:val="single" w:color="BFBFBF" w:sz="4"/>
          <w:bottom w:val="single" w:color="BFBFBF" w:sz="4"/>
          <w:right w:val="single" w:color="BFBFBF" w:sz="4"/>
          <w:insideH w:val="single" w:color="BFBFBF" w:sz="4"/>
          <w:insideV w:val="single" w:color="BFBFBF" w:sz="4"/>
        </w:tblBorders>
        <w:tblLayout w:type="fixed"/>
      </w:tblPr>
      <w:tblGrid>
        <w:gridCol w:w="3000"/>
        <w:gridCol w:w="6580"/>
      </w:tblGrid>
      <w:tr>
        <w:trPr>
          <w:tblHeader/>
        </w:trPr>
        <w:tc>
          <w:tcPr>
            <w:tcW w:type="dxa" w:w="3000"/>
            <w:shd w:fill="1F4E79" w:color="auto" w:val="clear"/>
            <w:tcMar>
              <w:top w:type="dxa" w:w="40"/>
              <w:left w:type="dxa" w:w="80"/>
              <w:bottom w:type="dxa" w:w="40"/>
              <w:right w:type="dxa" w:w="80"/>
            </w:tcMar>
          </w:tcPr>
          <w:p>
            <w:pPr>
              <w:spacing w:after="0" w:line="235"/>
              <w:jc w:val="left"/>
            </w:pPr>
            <w:r>
              <w:rPr>
                <w:rFonts w:ascii="Arial" w:cs="Arial" w:eastAsia="Arial" w:hAnsi="Arial"/>
                <w:b/>
                <w:bCs/>
                <w:color w:val="FFFFFF"/>
                <w:sz w:val="16"/>
                <w:szCs w:val="16"/>
              </w:rPr>
              <w:t xml:space="preserve">Riesgo</w:t>
            </w:r>
          </w:p>
        </w:tc>
        <w:tc>
          <w:tcPr>
            <w:tcW w:type="dxa" w:w="6580"/>
            <w:shd w:fill="1F4E79" w:color="auto" w:val="clear"/>
            <w:tcMar>
              <w:top w:type="dxa" w:w="40"/>
              <w:left w:type="dxa" w:w="80"/>
              <w:bottom w:type="dxa" w:w="40"/>
              <w:right w:type="dxa" w:w="80"/>
            </w:tcMar>
          </w:tcPr>
          <w:p>
            <w:pPr>
              <w:spacing w:after="0" w:line="235"/>
              <w:jc w:val="left"/>
            </w:pPr>
            <w:r>
              <w:rPr>
                <w:rFonts w:ascii="Arial" w:cs="Arial" w:eastAsia="Arial" w:hAnsi="Arial"/>
                <w:b/>
                <w:bCs/>
                <w:color w:val="FFFFFF"/>
                <w:sz w:val="16"/>
                <w:szCs w:val="16"/>
              </w:rPr>
              <w:t xml:space="preserve">Mitigación</w:t>
            </w:r>
          </w:p>
        </w:tc>
      </w:tr>
      <w:tr>
        <w:trPr>
          <w:cantSplit/>
        </w:trPr>
        <w:tc>
          <w:tcPr>
            <w:tcW w:type="dxa" w:w="3000"/>
            <w:tcMar>
              <w:top w:type="dxa" w:w="40"/>
              <w:left w:type="dxa" w:w="80"/>
              <w:bottom w:type="dxa" w:w="40"/>
              <w:right w:type="dxa" w:w="80"/>
            </w:tcMar>
          </w:tcPr>
          <w:p>
            <w:pPr>
              <w:spacing w:after="0" w:line="235"/>
              <w:jc w:val="left"/>
            </w:pPr>
            <w:r>
              <w:rPr>
                <w:rFonts w:ascii="Arial" w:cs="Arial" w:eastAsia="Arial" w:hAnsi="Arial"/>
                <w:b w:val="false"/>
                <w:bCs w:val="false"/>
                <w:sz w:val="16"/>
                <w:szCs w:val="16"/>
              </w:rPr>
              <w:t xml:space="preserve">Claims de salud enrutados como nutrimentales (el riesgo que descalifica a XLM-R)</w:t>
            </w:r>
          </w:p>
        </w:tc>
        <w:tc>
          <w:tcPr>
            <w:tcW w:type="dxa" w:w="6580"/>
            <w:tcMar>
              <w:top w:type="dxa" w:w="40"/>
              <w:left w:type="dxa" w:w="80"/>
              <w:bottom w:type="dxa" w:w="40"/>
              <w:right w:type="dxa" w:w="80"/>
            </w:tcMar>
          </w:tcPr>
          <w:p>
            <w:pPr>
              <w:spacing w:after="0" w:line="235"/>
              <w:jc w:val="left"/>
            </w:pPr>
            <w:r>
              <w:rPr>
                <w:rFonts w:ascii="Arial" w:cs="Arial" w:eastAsia="Arial" w:hAnsi="Arial"/>
                <w:b w:val="false"/>
                <w:bCs w:val="false"/>
                <w:sz w:val="16"/>
                <w:szCs w:val="16"/>
              </w:rPr>
              <w:t xml:space="preserve">Monitorear el recall de SALUD como métrica principal y exigir ≥ 0.90 antes de cualquier automatización</w:t>
            </w:r>
          </w:p>
        </w:tc>
      </w:tr>
      <w:tr>
        <w:trPr>
          <w:cantSplit/>
        </w:trPr>
        <w:tc>
          <w:tcPr>
            <w:tcW w:type="dxa" w:w="3000"/>
            <w:tcMar>
              <w:top w:type="dxa" w:w="40"/>
              <w:left w:type="dxa" w:w="80"/>
              <w:bottom w:type="dxa" w:w="40"/>
              <w:right w:type="dxa" w:w="80"/>
            </w:tcMar>
          </w:tcPr>
          <w:p>
            <w:pPr>
              <w:spacing w:after="0" w:line="235"/>
              <w:jc w:val="left"/>
            </w:pPr>
            <w:r>
              <w:rPr>
                <w:rFonts w:ascii="Arial" w:cs="Arial" w:eastAsia="Arial" w:hAnsi="Arial"/>
                <w:b w:val="false"/>
                <w:bCs w:val="false"/>
                <w:sz w:val="16"/>
                <w:szCs w:val="16"/>
              </w:rPr>
              <w:t xml:space="preserve">Dataset redactado por el autor: las métricas pueden no reflejar las etiquetas reales</w:t>
            </w:r>
          </w:p>
        </w:tc>
        <w:tc>
          <w:tcPr>
            <w:tcW w:type="dxa" w:w="6580"/>
            <w:tcMar>
              <w:top w:type="dxa" w:w="40"/>
              <w:left w:type="dxa" w:w="80"/>
              <w:bottom w:type="dxa" w:w="40"/>
              <w:right w:type="dxa" w:w="80"/>
            </w:tcMar>
          </w:tcPr>
          <w:p>
            <w:pPr>
              <w:spacing w:after="0" w:line="235"/>
              <w:jc w:val="left"/>
            </w:pPr>
            <w:r>
              <w:rPr>
                <w:rFonts w:ascii="Arial" w:cs="Arial" w:eastAsia="Arial" w:hAnsi="Arial"/>
                <w:b w:val="false"/>
                <w:bCs w:val="false"/>
                <w:sz w:val="16"/>
                <w:szCs w:val="16"/>
              </w:rPr>
              <w:t xml:space="preserve">Validar con 300 a 500 claims reales anonimizados antes del piloto y congelar ese conjunto como test</w:t>
            </w:r>
          </w:p>
        </w:tc>
      </w:tr>
      <w:tr>
        <w:trPr>
          <w:cantSplit/>
        </w:trPr>
        <w:tc>
          <w:tcPr>
            <w:tcW w:type="dxa" w:w="3000"/>
            <w:tcMar>
              <w:top w:type="dxa" w:w="40"/>
              <w:left w:type="dxa" w:w="80"/>
              <w:bottom w:type="dxa" w:w="40"/>
              <w:right w:type="dxa" w:w="80"/>
            </w:tcMar>
          </w:tcPr>
          <w:p>
            <w:pPr>
              <w:spacing w:after="0" w:line="235"/>
              <w:jc w:val="left"/>
            </w:pPr>
            <w:r>
              <w:rPr>
                <w:rFonts w:ascii="Arial" w:cs="Arial" w:eastAsia="Arial" w:hAnsi="Arial"/>
                <w:b w:val="false"/>
                <w:bCs w:val="false"/>
                <w:sz w:val="16"/>
                <w:szCs w:val="16"/>
              </w:rPr>
              <w:t xml:space="preserve">Casos frontera: sin azúcares frente a sin gluten, claims que combinan contenido y salud</w:t>
            </w:r>
          </w:p>
        </w:tc>
        <w:tc>
          <w:tcPr>
            <w:tcW w:type="dxa" w:w="6580"/>
            <w:tcMar>
              <w:top w:type="dxa" w:w="40"/>
              <w:left w:type="dxa" w:w="80"/>
              <w:bottom w:type="dxa" w:w="40"/>
              <w:right w:type="dxa" w:w="80"/>
            </w:tcMar>
          </w:tcPr>
          <w:p>
            <w:pPr>
              <w:spacing w:after="0" w:line="235"/>
              <w:jc w:val="left"/>
            </w:pPr>
            <w:r>
              <w:rPr>
                <w:rFonts w:ascii="Arial" w:cs="Arial" w:eastAsia="Arial" w:hAnsi="Arial"/>
                <w:b w:val="false"/>
                <w:bCs w:val="false"/>
                <w:sz w:val="16"/>
                <w:szCs w:val="16"/>
              </w:rPr>
              <w:t xml:space="preserve">Regla léxica con prioridad de SALUD, umbral τ y, en la fase 2, clasificación multietiqueta</w:t>
            </w:r>
          </w:p>
        </w:tc>
      </w:tr>
      <w:tr>
        <w:trPr>
          <w:cantSplit/>
        </w:trPr>
        <w:tc>
          <w:tcPr>
            <w:tcW w:type="dxa" w:w="3000"/>
            <w:tcMar>
              <w:top w:type="dxa" w:w="40"/>
              <w:left w:type="dxa" w:w="80"/>
              <w:bottom w:type="dxa" w:w="40"/>
              <w:right w:type="dxa" w:w="80"/>
            </w:tcMar>
          </w:tcPr>
          <w:p>
            <w:pPr>
              <w:spacing w:after="0" w:line="235"/>
              <w:jc w:val="left"/>
            </w:pPr>
            <w:r>
              <w:rPr>
                <w:rFonts w:ascii="Arial" w:cs="Arial" w:eastAsia="Arial" w:hAnsi="Arial"/>
                <w:b w:val="false"/>
                <w:bCs w:val="false"/>
                <w:sz w:val="16"/>
                <w:szCs w:val="16"/>
              </w:rPr>
              <w:t xml:space="preserve">Errores con confianza alta que el revisor acepte sin revisar (sesgo de automatización)</w:t>
            </w:r>
          </w:p>
        </w:tc>
        <w:tc>
          <w:tcPr>
            <w:tcW w:type="dxa" w:w="6580"/>
            <w:tcMar>
              <w:top w:type="dxa" w:w="40"/>
              <w:left w:type="dxa" w:w="80"/>
              <w:bottom w:type="dxa" w:w="40"/>
              <w:right w:type="dxa" w:w="80"/>
            </w:tcMar>
          </w:tcPr>
          <w:p>
            <w:pPr>
              <w:spacing w:after="0" w:line="235"/>
              <w:jc w:val="left"/>
            </w:pPr>
            <w:r>
              <w:rPr>
                <w:rFonts w:ascii="Arial" w:cs="Arial" w:eastAsia="Arial" w:hAnsi="Arial"/>
                <w:b w:val="false"/>
                <w:bCs w:val="false"/>
                <w:sz w:val="16"/>
                <w:szCs w:val="16"/>
              </w:rPr>
              <w:t xml:space="preserve">El modelo solo enruta; el checklist completo se aplica siempre y se muestrea cada mes lo automatizado</w:t>
            </w:r>
          </w:p>
        </w:tc>
      </w:tr>
      <w:tr>
        <w:trPr>
          <w:cantSplit/>
        </w:trPr>
        <w:tc>
          <w:tcPr>
            <w:tcW w:type="dxa" w:w="3000"/>
            <w:tcMar>
              <w:top w:type="dxa" w:w="40"/>
              <w:left w:type="dxa" w:w="80"/>
              <w:bottom w:type="dxa" w:w="40"/>
              <w:right w:type="dxa" w:w="80"/>
            </w:tcMar>
          </w:tcPr>
          <w:p>
            <w:pPr>
              <w:spacing w:after="0" w:line="235"/>
              <w:jc w:val="left"/>
            </w:pPr>
            <w:r>
              <w:rPr>
                <w:rFonts w:ascii="Arial" w:cs="Arial" w:eastAsia="Arial" w:hAnsi="Arial"/>
                <w:b w:val="false"/>
                <w:bCs w:val="false"/>
                <w:sz w:val="16"/>
                <w:szCs w:val="16"/>
              </w:rPr>
              <w:t xml:space="preserve">Cambios normativos que vuelvan obsoletas las descripciones de clase</w:t>
            </w:r>
          </w:p>
        </w:tc>
        <w:tc>
          <w:tcPr>
            <w:tcW w:type="dxa" w:w="6580"/>
            <w:tcMar>
              <w:top w:type="dxa" w:w="40"/>
              <w:left w:type="dxa" w:w="80"/>
              <w:bottom w:type="dxa" w:w="40"/>
              <w:right w:type="dxa" w:w="80"/>
            </w:tcMar>
          </w:tcPr>
          <w:p>
            <w:pPr>
              <w:spacing w:after="0" w:line="235"/>
              <w:jc w:val="left"/>
            </w:pPr>
            <w:r>
              <w:rPr>
                <w:rFonts w:ascii="Arial" w:cs="Arial" w:eastAsia="Arial" w:hAnsi="Arial"/>
                <w:b w:val="false"/>
                <w:bCs w:val="false"/>
                <w:sz w:val="16"/>
                <w:szCs w:val="16"/>
              </w:rPr>
              <w:t xml:space="preserve">Descripciones versionadas, re-evaluación en dev y test tras cada cambio</w:t>
            </w:r>
          </w:p>
        </w:tc>
      </w:tr>
      <w:tr>
        <w:trPr>
          <w:cantSplit/>
        </w:trPr>
        <w:tc>
          <w:tcPr>
            <w:tcW w:type="dxa" w:w="3000"/>
            <w:tcMar>
              <w:top w:type="dxa" w:w="40"/>
              <w:left w:type="dxa" w:w="80"/>
              <w:bottom w:type="dxa" w:w="40"/>
              <w:right w:type="dxa" w:w="80"/>
            </w:tcMar>
          </w:tcPr>
          <w:p>
            <w:pPr>
              <w:spacing w:after="0" w:line="235"/>
              <w:jc w:val="left"/>
            </w:pPr>
            <w:r>
              <w:rPr>
                <w:rFonts w:ascii="Arial" w:cs="Arial" w:eastAsia="Arial" w:hAnsi="Arial"/>
                <w:b w:val="false"/>
                <w:bCs w:val="false"/>
                <w:sz w:val="16"/>
                <w:szCs w:val="16"/>
              </w:rPr>
              <w:t xml:space="preserve">Latencia inestable en Colab (entorno compartido) y valor atípico de mDeBERTa en CPU</w:t>
            </w:r>
          </w:p>
        </w:tc>
        <w:tc>
          <w:tcPr>
            <w:tcW w:type="dxa" w:w="6580"/>
            <w:tcMar>
              <w:top w:type="dxa" w:w="40"/>
              <w:left w:type="dxa" w:w="80"/>
              <w:bottom w:type="dxa" w:w="40"/>
              <w:right w:type="dxa" w:w="80"/>
            </w:tcMar>
          </w:tcPr>
          <w:p>
            <w:pPr>
              <w:spacing w:after="0" w:line="235"/>
              <w:jc w:val="left"/>
            </w:pPr>
            <w:r>
              <w:rPr>
                <w:rFonts w:ascii="Arial" w:cs="Arial" w:eastAsia="Arial" w:hAnsi="Arial"/>
                <w:b w:val="false"/>
                <w:bCs w:val="false"/>
                <w:sz w:val="16"/>
                <w:szCs w:val="16"/>
              </w:rPr>
              <w:t xml:space="preserve">Medir en el hardware definitivo, con calentamiento, varias repeticiones y mediana, antes de dimensionar el despliegue</w:t>
            </w:r>
          </w:p>
        </w:tc>
      </w:tr>
      <w:tr>
        <w:trPr>
          <w:cantSplit/>
        </w:trPr>
        <w:tc>
          <w:tcPr>
            <w:tcW w:type="dxa" w:w="3000"/>
            <w:tcMar>
              <w:top w:type="dxa" w:w="40"/>
              <w:left w:type="dxa" w:w="80"/>
              <w:bottom w:type="dxa" w:w="40"/>
              <w:right w:type="dxa" w:w="80"/>
            </w:tcMar>
          </w:tcPr>
          <w:p>
            <w:pPr>
              <w:spacing w:after="0" w:line="235"/>
              <w:jc w:val="left"/>
            </w:pPr>
            <w:r>
              <w:rPr>
                <w:rFonts w:ascii="Arial" w:cs="Arial" w:eastAsia="Arial" w:hAnsi="Arial"/>
                <w:b w:val="false"/>
                <w:bCs w:val="false"/>
                <w:sz w:val="16"/>
                <w:szCs w:val="16"/>
              </w:rPr>
              <w:t xml:space="preserve">Confidencialidad y licencias</w:t>
            </w:r>
          </w:p>
        </w:tc>
        <w:tc>
          <w:tcPr>
            <w:tcW w:type="dxa" w:w="6580"/>
            <w:tcMar>
              <w:top w:type="dxa" w:w="40"/>
              <w:left w:type="dxa" w:w="80"/>
              <w:bottom w:type="dxa" w:w="40"/>
              <w:right w:type="dxa" w:w="80"/>
            </w:tcMar>
          </w:tcPr>
          <w:p>
            <w:pPr>
              <w:spacing w:after="0" w:line="235"/>
              <w:jc w:val="left"/>
            </w:pPr>
            <w:r>
              <w:rPr>
                <w:rFonts w:ascii="Arial" w:cs="Arial" w:eastAsia="Arial" w:hAnsi="Arial"/>
                <w:b w:val="false"/>
                <w:bCs w:val="false"/>
                <w:sz w:val="16"/>
                <w:szCs w:val="16"/>
              </w:rPr>
              <w:t xml:space="preserve">Ejecución en sitio con pesos abiertos, licencia MIT verificada en la model card y versión fijada por commit</w:t>
            </w:r>
          </w:p>
        </w:tc>
      </w:tr>
    </w:tbl>
    <w:p>
      <w:pPr>
        <w:keepNext/>
        <w:pBdr>
          <w:bottom w:val="single" w:color="BFBFBF" w:sz="6" w:space="2"/>
        </w:pBdr>
        <w:spacing w:after="85" w:before="190"/>
      </w:pPr>
      <w:r>
        <w:rPr>
          <w:rFonts w:ascii="Arial" w:cs="Arial" w:eastAsia="Arial" w:hAnsi="Arial"/>
          <w:b/>
          <w:bCs/>
          <w:color w:val="1F4E79"/>
          <w:sz w:val="23"/>
          <w:szCs w:val="23"/>
        </w:rPr>
        <w:t xml:space="preserve">Referencias</w:t>
      </w:r>
    </w:p>
    <w:p>
      <w:pPr>
        <w:spacing w:after="20" w:line="230"/>
        <w:ind w:left="360" w:hanging="360"/>
      </w:pPr>
      <w:r>
        <w:rPr>
          <w:rFonts w:ascii="Arial" w:cs="Arial" w:eastAsia="Arial" w:hAnsi="Arial"/>
          <w:sz w:val="15"/>
          <w:szCs w:val="15"/>
        </w:rPr>
        <w:t xml:space="preserve">Conneau, A., Rinott, R., Lample, G., Williams, A., Bowman, S., Schwenk, H., y Stoyanov, V. (2018). XNLI: Evaluating cross-lingual sentence representations. En Proceedings of EMNLP 2018 (pp. 2475–2485). https://doi.org/10.18653/v1/D18-1269</w:t>
      </w:r>
    </w:p>
    <w:p>
      <w:pPr>
        <w:spacing w:after="20" w:line="230"/>
        <w:ind w:left="360" w:hanging="360"/>
      </w:pPr>
      <w:r>
        <w:rPr>
          <w:rFonts w:ascii="Arial" w:cs="Arial" w:eastAsia="Arial" w:hAnsi="Arial"/>
          <w:sz w:val="15"/>
          <w:szCs w:val="15"/>
        </w:rPr>
        <w:t xml:space="preserve">Laurer, M., van Atteveldt, W., Casas, A., y Welbers, K. (2024). Less annotating, more classifying: Addressing the data scarcity issue of supervised machine learning with deep transfer learning and BERT-NLI. Political Analysis, 32(1), 84–100. https://doi.org/10.1017/pan.2023.20</w:t>
      </w:r>
    </w:p>
    <w:p>
      <w:pPr>
        <w:spacing w:after="20" w:line="230"/>
        <w:ind w:left="360" w:hanging="360"/>
      </w:pPr>
      <w:r>
        <w:rPr>
          <w:rFonts w:ascii="Arial" w:cs="Arial" w:eastAsia="Arial" w:hAnsi="Arial"/>
          <w:sz w:val="15"/>
          <w:szCs w:val="15"/>
        </w:rPr>
        <w:t xml:space="preserve">Reglamento (CE) n.º 1924/2006 del Parlamento Europeo y del Consejo, relativo a las declaraciones nutricionales y de propiedades saludables en los alimentos. Diario Oficial de la Unión Europea, L 404, 9–25.</w:t>
      </w:r>
    </w:p>
    <w:p>
      <w:pPr>
        <w:spacing w:after="20" w:line="230"/>
        <w:ind w:left="360" w:hanging="360"/>
      </w:pPr>
      <w:r>
        <w:rPr>
          <w:rFonts w:ascii="Arial" w:cs="Arial" w:eastAsia="Arial" w:hAnsi="Arial"/>
          <w:sz w:val="15"/>
          <w:szCs w:val="15"/>
        </w:rPr>
        <w:t xml:space="preserve">Reglamento (UE) n.º 432/2012 de la Comisión, por el que se establece una lista de declaraciones autorizadas de propiedades saludables de los alimentos. Diario Oficial de la Unión Europea, L 136, 1–40.</w:t>
      </w:r>
    </w:p>
    <w:p>
      <w:pPr>
        <w:spacing w:after="20" w:line="230"/>
        <w:ind w:left="360" w:hanging="360"/>
      </w:pPr>
      <w:r>
        <w:rPr>
          <w:rFonts w:ascii="Arial" w:cs="Arial" w:eastAsia="Arial" w:hAnsi="Arial"/>
          <w:sz w:val="15"/>
          <w:szCs w:val="15"/>
        </w:rPr>
        <w:t xml:space="preserve">Secretaría de Economía. (2020). Modificación a la NOM-051-SCFI/SSA1-2010, Especificaciones generales de etiquetado para alimentos y bebidas no alcohólicas preenvasados. Diario Oficial de la Federación, 27 de marzo de 2020.</w:t>
      </w:r>
    </w:p>
    <w:p>
      <w:pPr>
        <w:spacing w:after="20" w:line="230"/>
        <w:ind w:left="360" w:hanging="360"/>
      </w:pPr>
      <w:r>
        <w:rPr>
          <w:rFonts w:ascii="Arial" w:cs="Arial" w:eastAsia="Arial" w:hAnsi="Arial"/>
          <w:sz w:val="15"/>
          <w:szCs w:val="15"/>
        </w:rPr>
        <w:t xml:space="preserve">U.S. Food and Drug Administration. (s.f.). 21 CFR Part 101: Food labeling. Electronic Code of Federal Regulations. https://www.ecfr.gov/current/title-21/chapter-I/subchapter-B/part-101</w:t>
      </w:r>
    </w:p>
    <w:p>
      <w:pPr>
        <w:spacing w:after="20" w:line="230"/>
        <w:ind w:left="360" w:hanging="360"/>
      </w:pPr>
      <w:r>
        <w:rPr>
          <w:rFonts w:ascii="Arial" w:cs="Arial" w:eastAsia="Arial" w:hAnsi="Arial"/>
          <w:sz w:val="15"/>
          <w:szCs w:val="15"/>
        </w:rPr>
        <w:t xml:space="preserve">Universidad Tecmilenio. (2026). Tema 9. Selección de modelos preentrenados; Tema 10. Prototipado rápido y documentación técnica [Material del curso]. Gestión de proyectos de inteligencia artificial.</w:t>
      </w:r>
    </w:p>
    <w:p>
      <w:pPr>
        <w:spacing w:after="20" w:line="230"/>
        <w:ind w:left="360" w:hanging="360"/>
      </w:pPr>
      <w:r>
        <w:rPr>
          <w:rFonts w:ascii="Arial" w:cs="Arial" w:eastAsia="Arial" w:hAnsi="Arial"/>
          <w:sz w:val="15"/>
          <w:szCs w:val="15"/>
        </w:rPr>
        <w:t xml:space="preserve">Wolf, T., Debut, L., Sanh, V., Chaumond, J., Delangue, C., Moi, A., … Rush, A. M. (2020). Transformers: State-of-the-art natural language processing. En Proceedings of EMNLP 2020: System Demonstrations (pp. 38–45). https://doi.org/10.18653/v1/2020.emnlp-demos.6</w:t>
      </w:r>
    </w:p>
    <w:p>
      <w:pPr>
        <w:spacing w:after="20" w:line="230"/>
        <w:ind w:left="360" w:hanging="360"/>
      </w:pPr>
      <w:r>
        <w:rPr>
          <w:rFonts w:ascii="Arial" w:cs="Arial" w:eastAsia="Arial" w:hAnsi="Arial"/>
          <w:sz w:val="15"/>
          <w:szCs w:val="15"/>
        </w:rPr>
        <w:t xml:space="preserve">Yin, W., Hay, J., y Roth, D. (2019). Benchmarking zero-shot text classification: Datasets, evaluation and entailment approach. En Proceedings of EMNLP-IJCNLP 2019 (pp. 3914–3923). https://doi.org/10.18653/v1/D19-1404</w:t>
      </w:r>
    </w:p>
    <w:sectPr>
      <w:footerReference w:type="default" r:id="rId7"/>
      <w:pgSz w:w="12240" w:h="15840" w:orient="portrait"/>
      <w:pgMar w:top="760" w:right="1080" w:bottom="76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404040"/>
        <w:sz w:val="15"/>
        <w:szCs w:val="15"/>
      </w:rPr>
      <w:t xml:space="preserve">Actividad 4 · Análisis comparativo de modelos · p. </w:t>
    </w:r>
    <w:r>
      <w:rPr>
        <w:rFonts w:ascii="Arial" w:cs="Arial" w:eastAsia="Arial" w:hAnsi="Arial"/>
        <w:color w:val="404040"/>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d22554632ee5569ba4c5325ece49effba2f6f4bf.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comparativo de modelos preentrenados — Actividad 4</dc:title>
  <dc:creator>Brandon Gilberto Imanol Retana Fuentes</dc:creator>
  <cp:lastModifiedBy>Un-named</cp:lastModifiedBy>
  <cp:revision>1</cp:revision>
  <dcterms:created xsi:type="dcterms:W3CDTF">2026-10-12T00:47:10.468Z</dcterms:created>
  <dcterms:modified xsi:type="dcterms:W3CDTF">2026-10-12T00:47:10.468Z</dcterms:modified>
</cp:coreProperties>
</file>

<file path=docProps/custom.xml><?xml version="1.0" encoding="utf-8"?>
<Properties xmlns="http://schemas.openxmlformats.org/officeDocument/2006/custom-properties" xmlns:vt="http://schemas.openxmlformats.org/officeDocument/2006/docPropsVTypes"/>
</file>