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8 hotel analytics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goal of this analytics project was to find insights on the prices in April that result in the highest Revpar(revenue per available room). In addition I also analyzed  the general performance by calculating the average total daily revenue, the average revenue daily compared year by year. This was to get a good baseline on which years performed the best.</w:t>
        <w:br w:type="textWrapping"/>
        <w:br w:type="textWrapping"/>
        <w:br w:type="textWrapping"/>
        <w:t xml:space="preserve">The data used for analysis consisted of the performance metrics from 2023-2026. However the major analysis was performed on 2023-2025. 2026 simply had less data and the purpose was to create a plan of pricing in April.</w:t>
        <w:br w:type="textWrapping"/>
        <w:br w:type="textWrapping"/>
        <w:t xml:space="preserve">Insights and recommendations will be.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to raise prices in april peak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price point resulted in the highest RevPar from 2023-2025 in April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price results in the highest occupancy and RevPar when the peak drops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which days in april do we see spikes in RevPar an Occ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Structure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Below is a display of the database schema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 of findings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April 2023 recorded the highest average revenue across all weekdays, followed by a steep decline in 2024 and a slight recovery in 2025.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1.2, we analyze and compare RevPAR across April 2023–2025. A consistent pattern emerges: from mid-to-late April, there is a significant spike in RevPAR across all three years, accompanied by corresponding increases in both revenue and occupancy. The key differentiator is identifying which year produced the widest and highest spike — measured by the spread from when the spike begins (e.g. April 15) to when it ends (e.g. April 30).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Comparing the three years to find the optimal balance of high revenue, strong RevPAR, and longest duration — the "Goldilocks zone" — 2025 shows the highest peak but the shortest spread. 2024 shows the lowest peak with a spread comparable to 2025. This makes 2023 the strongest benchmark, offering the best combination of peak height and sustained duration. We examine this more closely in 1.3.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98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-816855</wp:posOffset>
            </wp:positionH>
            <wp:positionV relativeFrom="paragraph">
              <wp:posOffset>114300</wp:posOffset>
            </wp:positionV>
            <wp:extent cx="7474831" cy="4781550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4831" cy="478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1.2: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click here </w:t>
      </w:r>
      <w:hyperlink r:id="rId9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more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114300</wp:posOffset>
            </wp:positionV>
            <wp:extent cx="7505700" cy="4262438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i w:val="1"/>
          <w:iCs w:val="1"/>
          <w:color w:val="b7b7b7"/>
        </w:rPr>
      </w:pPr>
      <w:r w:rsidDel="00000000" w:rsidR="00000000" w:rsidRPr="00000000">
        <w:rPr>
          <w:b w:val="1"/>
          <w:bCs w:val="1"/>
          <w:rtl w:val="0"/>
        </w:rPr>
        <w:t xml:space="preserve">1.3 </w:t>
      </w:r>
      <w:r w:rsidDel="00000000" w:rsidR="00000000" w:rsidRPr="00000000">
        <w:rPr>
          <w:i w:val="1"/>
          <w:iCs w:val="1"/>
          <w:color w:val="b7b7b7"/>
          <w:rtl w:val="0"/>
        </w:rPr>
        <w:t xml:space="preserve">2023 April revpar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In the above visualization we see the performance metrics Adr, revenue, Occupancy, Revpar and day.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Recommendations for april</w:t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Follow the trend in 2023 regards the adr it shows the the highest occupancy and adr out of all years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 April 2023 the spike in RevPar began to grow around the 10th. This shows evidence of demand during this period of time. I suggest a boost in ADR to match demand. This may help with increased revenue for this month and during the peak period in April</w:t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hyperlink" Target="https://public.tableau.com/app/profile/greg.lauray4016/viz/super-8/Dashboard2?publish=y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