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Super 8 hotel analytics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goal of this analytics project was to find insights on the prices in April that result in the highest Revpar(revenue per available room). In addition I also analyzed  the general performance by calculating the average total daily revenue, the average revenue daily compared year by year. This was to get a good baseline on which years performed the best.</w:t>
        <w:br w:type="textWrapping"/>
        <w:br w:type="textWrapping"/>
        <w:br w:type="textWrapping"/>
        <w:t xml:space="preserve">The data used for analysis consisted of the performance metrics from 2023-2026. However the major analysis was performed on 2023-2025. 2026 simply had less data and the purpose was to create a plan of pricing in April.</w:t>
        <w:br w:type="textWrapping"/>
        <w:br w:type="textWrapping"/>
        <w:t xml:space="preserve">Insights and recommendations will be.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When to raise prices in april peak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Which price point resulted in the highest RevPar from 2023-2025 in April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price results in the highest occupancy and RevPar when the peak drops 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Identify which days in april do we see spikes in RevPar an Occ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Structure 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Below is a display of the dabase schema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33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Executive Summary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Overview of findings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April 2023 recorded the highest average revenue across all weekdays, followed by a steep decline in 2024 and a slight recovery in 2025.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1.2, we analyze and compare RevPAR across April 2023–2025. A consistent pattern emerges: from mid-to-late April, there is a significant spike in RevPAR across all three years, accompanied by corresponding increases in both revenue and occupancy. The key differentiator is identifying which year produced the widest and highest spike — measured by the spread from when the spike begins (e.g. April 15) to when it ends (e.g. April 30).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Comparing the three years to find the optimal balance of high revenue, strong RevPAR, and longest duration — the "Goldilocks zone" — 2025 shows the highest peak but the shortest spread. 2024 shows the lowest peak with a spread comparable to 2025. This makes 2023 the strongest benchmark, offering the best combination of peak height and sustained duration. We examine this more closely in 1.3.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0988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1.1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568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1.2</w:t>
      </w:r>
    </w:p>
    <w:p w:rsidR="00000000" w:rsidDel="00000000" w:rsidP="00000000" w:rsidRDefault="00000000" w:rsidRPr="00000000" w14:paraId="0000002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-742949</wp:posOffset>
            </wp:positionH>
            <wp:positionV relativeFrom="paragraph">
              <wp:posOffset>114300</wp:posOffset>
            </wp:positionV>
            <wp:extent cx="7505700" cy="4262438"/>
            <wp:effectExtent b="0" l="0" r="0" t="0"/>
            <wp:wrapTopAndBottom distB="114300" distT="11430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05700" cy="42624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B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i w:val="1"/>
          <w:iCs w:val="1"/>
          <w:color w:val="b7b7b7"/>
        </w:rPr>
      </w:pPr>
      <w:r w:rsidDel="00000000" w:rsidR="00000000" w:rsidRPr="00000000">
        <w:rPr>
          <w:b w:val="1"/>
          <w:bCs w:val="1"/>
          <w:rtl w:val="0"/>
        </w:rPr>
        <w:t xml:space="preserve">1.3 </w:t>
      </w:r>
      <w:r w:rsidDel="00000000" w:rsidR="00000000" w:rsidRPr="00000000">
        <w:rPr>
          <w:i w:val="1"/>
          <w:iCs w:val="1"/>
          <w:color w:val="b7b7b7"/>
          <w:rtl w:val="0"/>
        </w:rPr>
        <w:t xml:space="preserve">2023 April revpar</w:t>
      </w:r>
    </w:p>
    <w:p w:rsidR="00000000" w:rsidDel="00000000" w:rsidP="00000000" w:rsidRDefault="00000000" w:rsidRPr="00000000" w14:paraId="0000003D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left"/>
        <w:rPr/>
      </w:pPr>
      <w:r w:rsidDel="00000000" w:rsidR="00000000" w:rsidRPr="00000000">
        <w:rPr>
          <w:rtl w:val="0"/>
        </w:rPr>
        <w:t xml:space="preserve">In the above visualization we see the performance metrics Adr, revenue, Occupancy, Revpar and day.</w:t>
      </w:r>
    </w:p>
    <w:p w:rsidR="00000000" w:rsidDel="00000000" w:rsidP="00000000" w:rsidRDefault="00000000" w:rsidRPr="00000000" w14:paraId="0000004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Recommendations for april</w:t>
      </w:r>
    </w:p>
    <w:p w:rsidR="00000000" w:rsidDel="00000000" w:rsidP="00000000" w:rsidRDefault="00000000" w:rsidRPr="00000000" w14:paraId="00000043">
      <w:pPr>
        <w:jc w:val="left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jc w:val="left"/>
        <w:rPr/>
      </w:pPr>
      <w:r w:rsidDel="00000000" w:rsidR="00000000" w:rsidRPr="00000000">
        <w:rPr>
          <w:rtl w:val="0"/>
        </w:rPr>
        <w:t xml:space="preserve">Follow the trend in 2023 regards the adr it shows the the highest occupancy and adr out of all years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In April 2023 the spike in RevPar began to grow around the 10th. This shows evidence of demand during this period of time. I suggest a boost in ADR to match demand. This may help with increased revenue for this month and during the peak period in April</w:t>
      </w:r>
    </w:p>
    <w:sectPr>
      <w:headerReference r:id="rId10" w:type="default"/>
      <w:footerReference r:id="rId11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