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480"/>
        <w:jc w:val="center"/>
      </w:pPr>
      <w:r>
        <w:rPr>
          <w:rFonts w:ascii="Times New Roman" w:cs="Times New Roman" w:eastAsia="Times New Roman" w:hAnsi="Times New Roman"/>
          <w:b/>
          <w:bCs/>
          <w:sz w:val="24"/>
          <w:szCs w:val="24"/>
        </w:rPr>
        <w:t xml:space="preserve">The Loop of Insufficiency: A Theoretical Framework for Understanding Male Excess Mortality Through Gender Norm Transmission</w:t>
      </w:r>
    </w:p>
    <w:p>
      <w:pPr>
        <w:pStyle w:val="Heading1"/>
      </w:pPr>
      <w:r>
        <w:rPr>
          <w:rFonts w:ascii="Times New Roman" w:cs="Times New Roman" w:eastAsia="Times New Roman" w:hAnsi="Times New Roman"/>
          <w:sz w:val="24"/>
          <w:szCs w:val="24"/>
        </w:rPr>
        <w:t xml:space="preserve">Abstract</w:t>
      </w:r>
    </w:p>
    <w:p>
      <w:pPr>
        <w:spacing w:after="240" w:line="480"/>
      </w:pPr>
      <w:r>
        <w:rPr>
          <w:rFonts w:ascii="Times New Roman" w:cs="Times New Roman" w:eastAsia="Times New Roman" w:hAnsi="Times New Roman"/>
          <w:sz w:val="24"/>
          <w:szCs w:val="24"/>
        </w:rPr>
        <w:t xml:space="preserve">Men die 7.3 years earlier than women in Poland, with approximately 39,000 excess male deaths annually. While biological factors explain 15–25% of this mortality gap (Luy, 2003), the majority remains behaviorally modifiable. This paper proposes the Loop of Insufficiency Model, a theoretical framework explaining male excess mortality through gender norm transmission mechanisms. The model advances three core hypotheses: (1) Women possess evolutionary mate selection power (Trivers, 1972; Buss, 1989) combined with structural dominance in early socialization institutions (94% of preschool teachers globally, approximately 77% of parental time with children); (2) Historical social structures functioned as male counterbalances—institutional monogamy limited male intrasexual competition (Henrich et al., 2012), while patriarchal authority compensated for fathers' reduced time with offspring due to high-mortality roles (Smuts, 1995); (3) Contemporary dissolution of these counterbalances without proportional reduction in female socialization dominance creates asymmetry that accelerates harmful norm transmission. The framework integrates parental investment theory with gender socialization research to explain why masculinity norms persist despite their costs. We specify falsification conditions and propose empirically testable predictions. The model suggests interventions targeting norm transmission rather than individual behavior change.</w:t>
      </w:r>
    </w:p>
    <w:p>
      <w:pPr>
        <w:spacing w:after="240" w:line="48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male mortality, gender norms, parental investment, sexual selection, gender socialization, masculinity, evolutionary psychology</w:t>
      </w:r>
    </w:p>
    <w:p>
      <w:r>
        <w:br w:type="page"/>
      </w:r>
    </w:p>
    <w:p>
      <w:pPr>
        <w:spacing w:after="480" w:line="480"/>
        <w:jc w:val="center"/>
      </w:pPr>
      <w:r>
        <w:rPr>
          <w:rFonts w:ascii="Times New Roman" w:cs="Times New Roman" w:eastAsia="Times New Roman" w:hAnsi="Times New Roman"/>
          <w:b/>
          <w:bCs/>
          <w:sz w:val="24"/>
          <w:szCs w:val="24"/>
        </w:rPr>
        <w:t xml:space="preserve">The Loop of Insufficiency: A Theoretical Framework for Understanding Male Excess Mortality Through Gender Norm Transmission</w:t>
      </w:r>
    </w:p>
    <w:p>
      <w:pPr>
        <w:pStyle w:val="Heading1"/>
      </w:pPr>
      <w:r>
        <w:rPr>
          <w:rFonts w:ascii="Times New Roman" w:cs="Times New Roman" w:eastAsia="Times New Roman" w:hAnsi="Times New Roman"/>
          <w:sz w:val="24"/>
          <w:szCs w:val="24"/>
        </w:rPr>
        <w:t xml:space="preserve">Introduction</w:t>
      </w:r>
    </w:p>
    <w:p>
      <w:pPr>
        <w:pStyle w:val="Heading2"/>
      </w:pPr>
      <w:r>
        <w:rPr>
          <w:rFonts w:ascii="Times New Roman" w:cs="Times New Roman" w:eastAsia="Times New Roman" w:hAnsi="Times New Roman"/>
          <w:sz w:val="24"/>
          <w:szCs w:val="24"/>
        </w:rPr>
        <w:t xml:space="preserve">The Male Mortality Gap</w:t>
      </w:r>
    </w:p>
    <w:p>
      <w:pPr>
        <w:spacing w:after="240" w:line="480"/>
      </w:pPr>
      <w:r>
        <w:rPr>
          <w:rFonts w:ascii="Times New Roman" w:cs="Times New Roman" w:eastAsia="Times New Roman" w:hAnsi="Times New Roman"/>
          <w:sz w:val="24"/>
          <w:szCs w:val="24"/>
        </w:rPr>
        <w:t xml:space="preserve">Across virtually all contemporary societies, men die earlier than women. In Poland, the mortality gap stands at 7.3 years (Central Statistical Office of Poland [GUS], 2023), with approximately 39,000 excess male deaths occurring annually—deaths that would not occur if men died at the same rate as women. This pattern is replicated globally: the World Health Organization (WHO, 2023) reports that men live 4–7 years less than women across developed nations, with gaps exceeding 10 years in some Eastern European countries.</w:t>
      </w:r>
    </w:p>
    <w:p>
      <w:pPr>
        <w:spacing w:after="240" w:line="480"/>
      </w:pPr>
      <w:r>
        <w:rPr>
          <w:rFonts w:ascii="Times New Roman" w:cs="Times New Roman" w:eastAsia="Times New Roman" w:hAnsi="Times New Roman"/>
          <w:sz w:val="24"/>
          <w:szCs w:val="24"/>
        </w:rPr>
        <w:t xml:space="preserve">The mortality gap manifests most dramatically in suicide statistics. In Poland, men constitute 84–86% of completed suicides (National Police Headquarters, 2023), a ratio consistent with global patterns where male-to-female suicide completion ratios range from 3:1 to 5:1 depending on the country (WHO, 2019). Men also die disproportionately from cardiovascular disease, accidents, violence, and "deaths of despair"—overdoses, liver disease, and suicide—a category that has dramatically increased in recent decades (Case &amp; Deaton, 2020).</w:t>
      </w:r>
    </w:p>
    <w:p>
      <w:pPr>
        <w:spacing w:after="240" w:line="480"/>
      </w:pPr>
      <w:r>
        <w:rPr>
          <w:rFonts w:ascii="Times New Roman" w:cs="Times New Roman" w:eastAsia="Times New Roman" w:hAnsi="Times New Roman"/>
          <w:sz w:val="24"/>
          <w:szCs w:val="24"/>
        </w:rPr>
        <w:t xml:space="preserve">A critical question arises: to what extent is this gap biologically determined versus behaviorally modifiable? Natural experiment data from cloistered religious communities provides compelling evidence. Luy (2003), analyzing mortality data from over 11,000 Bavarian monks and nuns living under nearly identical conditions, found the mortality gap reduced to approximately 2 years—compared to 5–6 years in the general German population. Herskind et al. (1996), in twin studies examining over 2,872 pairs, estimated heritability of longevity at only 23–26%. These findings suggest that biology accounts for approximately 15–25% of the mortality gap, leaving 75–85% attributable to behavioral and environmental factors.</w:t>
      </w:r>
    </w:p>
    <w:p>
      <w:pPr>
        <w:pStyle w:val="Heading2"/>
      </w:pPr>
      <w:r>
        <w:rPr>
          <w:rFonts w:ascii="Times New Roman" w:cs="Times New Roman" w:eastAsia="Times New Roman" w:hAnsi="Times New Roman"/>
          <w:sz w:val="24"/>
          <w:szCs w:val="24"/>
        </w:rPr>
        <w:t xml:space="preserve">Existing Explanations and Their Limits</w:t>
      </w:r>
    </w:p>
    <w:p>
      <w:pPr>
        <w:spacing w:after="240" w:line="480"/>
      </w:pPr>
      <w:r>
        <w:rPr>
          <w:rFonts w:ascii="Times New Roman" w:cs="Times New Roman" w:eastAsia="Times New Roman" w:hAnsi="Times New Roman"/>
          <w:sz w:val="24"/>
          <w:szCs w:val="24"/>
        </w:rPr>
        <w:t xml:space="preserve">The most prominent contemporary explanation invokes "toxic masculinity"—the constellation of masculine norms encouraging emotional suppression, risk-taking, help-seeking avoidance, and aggression (Connell, 1995; Courtenay, 2000). While this framework accurately describes the proximal behavioral mechanisms driving male mortality, it fails to address a fundamental question: why do these demonstrably harmful norms persist across generations despite their costs to men?</w:t>
      </w:r>
    </w:p>
    <w:p>
      <w:pPr>
        <w:spacing w:after="240" w:line="480"/>
      </w:pPr>
      <w:r>
        <w:rPr>
          <w:rFonts w:ascii="Times New Roman" w:cs="Times New Roman" w:eastAsia="Times New Roman" w:hAnsi="Times New Roman"/>
          <w:sz w:val="24"/>
          <w:szCs w:val="24"/>
        </w:rPr>
        <w:t xml:space="preserve">Evolutionary approaches have addressed mate preferences (Buss, 1989), male risk-taking as reproductive strategy (Wilson &amp; Daly, 1985), and sex differences in aggression (Archer, 2004). However, these frameworks typically treat masculinity norms as adaptations to ancestral environments without fully explaining how such norms are transmitted and maintained in contemporary contexts where their adaptive value has diminished.</w:t>
      </w:r>
    </w:p>
    <w:p>
      <w:pPr>
        <w:spacing w:after="240" w:line="480"/>
      </w:pPr>
      <w:r>
        <w:rPr>
          <w:rFonts w:ascii="Times New Roman" w:cs="Times New Roman" w:eastAsia="Times New Roman" w:hAnsi="Times New Roman"/>
          <w:sz w:val="24"/>
          <w:szCs w:val="24"/>
        </w:rPr>
        <w:t xml:space="preserve">A gap remains in the literature: we lack a comprehensive theoretical framework that explains (a) the mechanism of masculinity norm transmission, (b) why these norms persist despite their mortality costs, and (c) why modern conditions may have accelerated rather than reduced harmful norm transmission. This paper proposes such a framework.</w:t>
      </w:r>
    </w:p>
    <w:p>
      <w:pPr>
        <w:pStyle w:val="Heading2"/>
      </w:pPr>
      <w:r>
        <w:rPr>
          <w:rFonts w:ascii="Times New Roman" w:cs="Times New Roman" w:eastAsia="Times New Roman" w:hAnsi="Times New Roman"/>
          <w:sz w:val="24"/>
          <w:szCs w:val="24"/>
        </w:rPr>
        <w:t xml:space="preserve">Purpose and Scope</w:t>
      </w:r>
    </w:p>
    <w:p>
      <w:pPr>
        <w:spacing w:after="240" w:line="480"/>
      </w:pPr>
      <w:r>
        <w:rPr>
          <w:rFonts w:ascii="Times New Roman" w:cs="Times New Roman" w:eastAsia="Times New Roman" w:hAnsi="Times New Roman"/>
          <w:sz w:val="24"/>
          <w:szCs w:val="24"/>
        </w:rPr>
        <w:t xml:space="preserve">The Loop of Insufficiency Model presented here integrates evolutionary psychology, parental investment theory, gender socialization research, and historical analysis to propose a theoretical framework for understanding male excess mortality. The model is explicitly theoretical—a set of hypotheses requiring empirical testing, not established fact. We specify falsification conditions and testable predictions throughout.</w:t>
      </w:r>
    </w:p>
    <w:p>
      <w:pPr>
        <w:spacing w:after="240" w:line="480"/>
      </w:pPr>
      <w:r>
        <w:rPr>
          <w:rFonts w:ascii="Times New Roman" w:cs="Times New Roman" w:eastAsia="Times New Roman" w:hAnsi="Times New Roman"/>
          <w:sz w:val="24"/>
          <w:szCs w:val="24"/>
        </w:rPr>
        <w:t xml:space="preserve">Importantly, the model does not attribute blame to either sex. Both men and women are conceptualized as participants in—and victims of—a self-perpetuating system. The goal is to identify structural mechanisms that might be modified through intervention, not to assign moral responsibility.</w:t>
      </w:r>
    </w:p>
    <w:p>
      <w:pPr>
        <w:pStyle w:val="Heading1"/>
      </w:pPr>
      <w:r>
        <w:rPr>
          <w:rFonts w:ascii="Times New Roman" w:cs="Times New Roman" w:eastAsia="Times New Roman" w:hAnsi="Times New Roman"/>
          <w:sz w:val="24"/>
          <w:szCs w:val="24"/>
        </w:rPr>
        <w:t xml:space="preserve">Theoretical Background</w:t>
      </w:r>
    </w:p>
    <w:p>
      <w:pPr>
        <w:pStyle w:val="Heading2"/>
      </w:pPr>
      <w:r>
        <w:rPr>
          <w:rFonts w:ascii="Times New Roman" w:cs="Times New Roman" w:eastAsia="Times New Roman" w:hAnsi="Times New Roman"/>
          <w:sz w:val="24"/>
          <w:szCs w:val="24"/>
        </w:rPr>
        <w:t xml:space="preserve">Parental Investment and Female Mate Choice</w:t>
      </w:r>
    </w:p>
    <w:p>
      <w:pPr>
        <w:spacing w:after="240" w:line="480"/>
      </w:pPr>
      <w:r>
        <w:rPr>
          <w:rFonts w:ascii="Times New Roman" w:cs="Times New Roman" w:eastAsia="Times New Roman" w:hAnsi="Times New Roman"/>
          <w:sz w:val="24"/>
          <w:szCs w:val="24"/>
        </w:rPr>
        <w:t xml:space="preserve">Trivers' (1972) parental investment theory established that the sex investing more in offspring (typically females in mammals) will be more selective in mate choice, while the less-investing sex (typically males) will compete more intensely for mating access. This asymmetry in minimum obligatory parental investment—gestation and lactation for females versus potential minimal investment for males—generates predictable sex differences in mate selection criteria.</w:t>
      </w:r>
    </w:p>
    <w:p>
      <w:pPr>
        <w:spacing w:after="240" w:line="480"/>
      </w:pPr>
      <w:r>
        <w:rPr>
          <w:rFonts w:ascii="Times New Roman" w:cs="Times New Roman" w:eastAsia="Times New Roman" w:hAnsi="Times New Roman"/>
          <w:sz w:val="24"/>
          <w:szCs w:val="24"/>
        </w:rPr>
        <w:t xml:space="preserve">Buss (1989, 2020), in cross-cultural studies spanning 37 countries and over 10,000 participants, demonstrated that women consistently value status, resources, and ambition in potential mates more than men do. Walter et al. (2020), in a 45-country replication, confirmed these findings while noting within-culture variation. Data from contemporary dating applications provide additional validation: Tyson et al. (2016) found that on Tinder, while men "liked" approximately 61% of female profiles, women "liked" only 4.5% of male profiles, suggesting substantially higher female selectivity.</w:t>
      </w:r>
    </w:p>
    <w:p>
      <w:pPr>
        <w:spacing w:after="240" w:line="480"/>
      </w:pPr>
      <w:r>
        <w:rPr>
          <w:rFonts w:ascii="Times New Roman" w:cs="Times New Roman" w:eastAsia="Times New Roman" w:hAnsi="Times New Roman"/>
          <w:sz w:val="24"/>
          <w:szCs w:val="24"/>
        </w:rPr>
        <w:t xml:space="preserve">This female mate choice power—what might be termed "selection power"—is evolutionarily ancient and empirically robust. However, it is only one form of power relevant to the model. The second—power over norm transmission during socialization—requires separate consideration.</w:t>
      </w:r>
    </w:p>
    <w:p>
      <w:pPr>
        <w:pStyle w:val="Heading2"/>
      </w:pPr>
      <w:r>
        <w:rPr>
          <w:rFonts w:ascii="Times New Roman" w:cs="Times New Roman" w:eastAsia="Times New Roman" w:hAnsi="Times New Roman"/>
          <w:sz w:val="24"/>
          <w:szCs w:val="24"/>
        </w:rPr>
        <w:t xml:space="preserve">Female Intrasexual Competition</w:t>
      </w:r>
    </w:p>
    <w:p>
      <w:pPr>
        <w:spacing w:after="240" w:line="480"/>
      </w:pPr>
      <w:r>
        <w:rPr>
          <w:rFonts w:ascii="Times New Roman" w:cs="Times New Roman" w:eastAsia="Times New Roman" w:hAnsi="Times New Roman"/>
          <w:sz w:val="24"/>
          <w:szCs w:val="24"/>
        </w:rPr>
        <w:t xml:space="preserve">Campbell (2004) proposed that female intrasexual competition evolved to be primarily indirect—relying on reputation manipulation, social exclusion, and appearance-related derogation rather than physical confrontation. Vaillancourt (2013), reviewing extensive evidence, confirmed that women compete primarily through indirect aggression and appearance enhancement.</w:t>
      </w:r>
    </w:p>
    <w:p>
      <w:pPr>
        <w:spacing w:after="240" w:line="480"/>
      </w:pPr>
      <w:r>
        <w:rPr>
          <w:rFonts w:ascii="Times New Roman" w:cs="Times New Roman" w:eastAsia="Times New Roman" w:hAnsi="Times New Roman"/>
          <w:sz w:val="24"/>
          <w:szCs w:val="24"/>
        </w:rPr>
        <w:t xml:space="preserve">Baumeister and Vohs (2004) proposed a sexual economics framework suggesting that female coalitions regulate sexual access to maintain its "market value." While this framework has been criticized (Rudman &amp; Fetterolf, 2014) for underestimating female sexual agency, the core observation that women collectively enforce norms around sexuality and partner selection remains supported.</w:t>
      </w:r>
    </w:p>
    <w:p>
      <w:pPr>
        <w:spacing w:after="240" w:line="480"/>
      </w:pPr>
      <w:r>
        <w:rPr>
          <w:rFonts w:ascii="Times New Roman" w:cs="Times New Roman" w:eastAsia="Times New Roman" w:hAnsi="Times New Roman"/>
          <w:sz w:val="24"/>
          <w:szCs w:val="24"/>
        </w:rPr>
        <w:t xml:space="preserve">The relevance for the present model is that female intrasexual competition may include evaluating and selecting male partners based on masculinity conformity—thereby creating selection pressure that maintains masculinity norms even when those norms prove costly to men.</w:t>
      </w:r>
    </w:p>
    <w:p>
      <w:pPr>
        <w:pStyle w:val="Heading2"/>
      </w:pPr>
      <w:r>
        <w:rPr>
          <w:rFonts w:ascii="Times New Roman" w:cs="Times New Roman" w:eastAsia="Times New Roman" w:hAnsi="Times New Roman"/>
          <w:sz w:val="24"/>
          <w:szCs w:val="24"/>
        </w:rPr>
        <w:t xml:space="preserve">Gender Norm Transmission Through Socialization</w:t>
      </w:r>
    </w:p>
    <w:p>
      <w:pPr>
        <w:spacing w:after="240" w:line="480"/>
      </w:pPr>
      <w:r>
        <w:rPr>
          <w:rFonts w:ascii="Times New Roman" w:cs="Times New Roman" w:eastAsia="Times New Roman" w:hAnsi="Times New Roman"/>
          <w:sz w:val="24"/>
          <w:szCs w:val="24"/>
        </w:rPr>
        <w:t xml:space="preserve">Gender norm transmission occurs through multiple channels: parents, teachers, peers, and media. Of particular relevance to the present model is the structural dominance of women in early socialization institutions. UNESCO (2023) data indicate that women constitute 94–97% of early childhood education teachers globally. OECD (2022) time-use surveys consistently show that mothers spend approximately 2–3 times more time with children than fathers—approximately 77% of total parental time in many countries.</w:t>
      </w:r>
    </w:p>
    <w:p>
      <w:pPr>
        <w:spacing w:after="240" w:line="480"/>
      </w:pPr>
      <w:r>
        <w:rPr>
          <w:rFonts w:ascii="Times New Roman" w:cs="Times New Roman" w:eastAsia="Times New Roman" w:hAnsi="Times New Roman"/>
          <w:sz w:val="24"/>
          <w:szCs w:val="24"/>
        </w:rPr>
        <w:t xml:space="preserve">Research on gender-differentiated parenting reveals complex patterns. Thomassin et al. (2019), using the Implicit Association Test (IAT) with approximately 600 Canadian parents, found that mothers—but not fathers—showed implicit bias against emotional expression in boys. Mothers associated boys with "toughness" and girls with "sensitivity" at the implicit level. Fathers, conversely, showed more explicit gender stereotyping in self-report measures (Endendijk et al., 2013).</w:t>
      </w:r>
    </w:p>
    <w:p>
      <w:pPr>
        <w:spacing w:after="240" w:line="480"/>
      </w:pPr>
      <w:r>
        <w:rPr>
          <w:rFonts w:ascii="Times New Roman" w:cs="Times New Roman" w:eastAsia="Times New Roman" w:hAnsi="Times New Roman"/>
          <w:sz w:val="24"/>
          <w:szCs w:val="24"/>
        </w:rPr>
        <w:t xml:space="preserve">Critically, Chhin, Bleeker, and Jacobs (2008), in a longitudinal study tracking children from age 12 to 20, found that mothers' occupational expectations—not fathers'—predicted children's later career choices. This suggests that despite spending less time, or perhaps because of the nature of their interactions, maternal attitudes exert disproportionate influence on certain developmental outcomes.</w:t>
      </w:r>
    </w:p>
    <w:p>
      <w:pPr>
        <w:spacing w:after="240" w:line="480"/>
      </w:pPr>
      <w:r>
        <w:rPr>
          <w:rFonts w:ascii="Times New Roman" w:cs="Times New Roman" w:eastAsia="Times New Roman" w:hAnsi="Times New Roman"/>
          <w:sz w:val="24"/>
          <w:szCs w:val="24"/>
        </w:rPr>
        <w:t xml:space="preserve">Endendijk et al. (2016), in a meta-analysis of 126 studies (N &gt; 15,000), found small but consistent gender-differentiated parenting effects. Importantly, they found no significant difference between mothers and fathers in control-oriented parenting, but noted that the vast majority of socialization time still occurs with mothers due to time allocation differences.</w:t>
      </w:r>
    </w:p>
    <w:p>
      <w:pPr>
        <w:spacing w:after="240" w:line="480"/>
      </w:pPr>
      <w:r>
        <w:rPr>
          <w:rFonts w:ascii="Times New Roman" w:cs="Times New Roman" w:eastAsia="Times New Roman" w:hAnsi="Times New Roman"/>
          <w:sz w:val="24"/>
          <w:szCs w:val="24"/>
        </w:rPr>
        <w:t xml:space="preserve">Peer influence intensifies during adolescence. Kågesten et al. (2016) identified early adolescence (10–14 years) as a critical window when gender attitudes solidify, with both same-sex and cross-sex peers reinforcing gender norms through acceptance and rejection signals.</w:t>
      </w:r>
    </w:p>
    <w:p>
      <w:pPr>
        <w:pStyle w:val="Heading2"/>
      </w:pPr>
      <w:r>
        <w:rPr>
          <w:rFonts w:ascii="Times New Roman" w:cs="Times New Roman" w:eastAsia="Times New Roman" w:hAnsi="Times New Roman"/>
          <w:sz w:val="24"/>
          <w:szCs w:val="24"/>
        </w:rPr>
        <w:t xml:space="preserve">Historical Equilibrium Structures</w:t>
      </w:r>
    </w:p>
    <w:p>
      <w:pPr>
        <w:spacing w:after="240" w:line="480"/>
      </w:pPr>
      <w:r>
        <w:rPr>
          <w:rFonts w:ascii="Times New Roman" w:cs="Times New Roman" w:eastAsia="Times New Roman" w:hAnsi="Times New Roman"/>
          <w:sz w:val="24"/>
          <w:szCs w:val="24"/>
        </w:rPr>
        <w:t xml:space="preserve">The present model proposes that historical social structures served as equilibrating mechanisms for asymmetries in mate selection and socialization power. This represents the most speculative element of the framework and requires careful qualification.</w:t>
      </w:r>
    </w:p>
    <w:p>
      <w:pPr>
        <w:spacing w:after="240" w:line="480"/>
      </w:pPr>
      <w:r>
        <w:rPr>
          <w:rFonts w:ascii="Times New Roman" w:cs="Times New Roman" w:eastAsia="Times New Roman" w:hAnsi="Times New Roman"/>
          <w:sz w:val="24"/>
          <w:szCs w:val="24"/>
        </w:rPr>
        <w:t xml:space="preserve">Henrich, Boyd, and Richerson (2012), analyzing the puzzle of normative monogamy, proposed that institutional monogamy reduced male intrasexual competition, decreasing violence and crime while increasing paternal investment and societal stability. Cross-cultural and historical evidence suggests that polygynous societies experience higher rates of male violence and competition (Betzig, 1986). If correct, monogamy functioned as a counterbalance to female mate selection power by guaranteeing most men access to partnership, thereby reducing the intensity of male competition.</w:t>
      </w:r>
    </w:p>
    <w:p>
      <w:pPr>
        <w:spacing w:after="240" w:line="480"/>
      </w:pPr>
      <w:r>
        <w:rPr>
          <w:rFonts w:ascii="Times New Roman" w:cs="Times New Roman" w:eastAsia="Times New Roman" w:hAnsi="Times New Roman"/>
          <w:sz w:val="24"/>
          <w:szCs w:val="24"/>
        </w:rPr>
        <w:t xml:space="preserve">Smuts (1995), addressing the evolutionary origins of patriarchy, noted that male control over female sexuality and reproduction may have evolved as a male counter-strategy to female choice. Kandiyoti (1988), introducing the concept of the "patriarchal bargain," demonstrated that women historically negotiated within patriarchal constraints to maximize their security and influence—suggesting that patriarchy functioned as a transaction rather than pure oppression.</w:t>
      </w:r>
    </w:p>
    <w:p>
      <w:pPr>
        <w:spacing w:after="240" w:line="480"/>
      </w:pPr>
      <w:r>
        <w:rPr>
          <w:rFonts w:ascii="Times New Roman" w:cs="Times New Roman" w:eastAsia="Times New Roman" w:hAnsi="Times New Roman"/>
          <w:sz w:val="24"/>
          <w:szCs w:val="24"/>
        </w:rPr>
        <w:t xml:space="preserve">Relevant to the present model, we propose that patriarchal structures—specifically, paternal authority over family decisions, transmission of family name, and institutional religious authority—may have compensated for fathers' reduced physical time with children. Historically, men faced substantially higher mortality from warfare, hunting, and dangerous labor. Patriarchal authority structures may have allowed fathers to influence child socialization despite spending less time present. This is a hypothesis requiring empirical examination, not an established finding.</w:t>
      </w:r>
    </w:p>
    <w:p>
      <w:pPr>
        <w:pStyle w:val="Heading1"/>
      </w:pPr>
      <w:r>
        <w:rPr>
          <w:rFonts w:ascii="Times New Roman" w:cs="Times New Roman" w:eastAsia="Times New Roman" w:hAnsi="Times New Roman"/>
          <w:sz w:val="24"/>
          <w:szCs w:val="24"/>
        </w:rPr>
        <w:t xml:space="preserve">The Loop of Insufficiency Model</w:t>
      </w:r>
    </w:p>
    <w:p>
      <w:pPr>
        <w:pStyle w:val="Heading2"/>
      </w:pPr>
      <w:r>
        <w:rPr>
          <w:rFonts w:ascii="Times New Roman" w:cs="Times New Roman" w:eastAsia="Times New Roman" w:hAnsi="Times New Roman"/>
          <w:sz w:val="24"/>
          <w:szCs w:val="24"/>
        </w:rPr>
        <w:t xml:space="preserve">Core Components and Mechanism</w:t>
      </w:r>
    </w:p>
    <w:p>
      <w:pPr>
        <w:spacing w:after="240" w:line="480"/>
      </w:pPr>
      <w:r>
        <w:rPr>
          <w:rFonts w:ascii="Times New Roman" w:cs="Times New Roman" w:eastAsia="Times New Roman" w:hAnsi="Times New Roman"/>
          <w:sz w:val="24"/>
          <w:szCs w:val="24"/>
        </w:rPr>
        <w:t xml:space="preserve">The Loop of Insufficiency Model proposes a self-reinforcing cycle of masculinity norm transmission and enforcement. The central construct—"insufficiency"—refers to the perpetual state of not fully meeting masculinity standards that most men experience. Because masculinity norms (strength, stoicism, success, independence) are defined ambiguously and escalate over time, they can never be fully satisfied.</w:t>
      </w:r>
    </w:p>
    <w:p>
      <w:pPr>
        <w:spacing w:after="240" w:line="480"/>
      </w:pPr>
      <w:r>
        <w:rPr>
          <w:rFonts w:ascii="Times New Roman" w:cs="Times New Roman" w:eastAsia="Times New Roman" w:hAnsi="Times New Roman"/>
          <w:sz w:val="24"/>
          <w:szCs w:val="24"/>
        </w:rPr>
        <w:t xml:space="preserve">The loop operates as follows: (1) Masculinity norms are transmitted during early socialization, primarily by female caregivers who constitute the majority of early childhood contacts. (2) These norms are enforced through mate selection, where deviation from masculinity results in reduced attractiveness. (3) Men develop behavioral adaptations to cope with the stress of perpetual insufficiency—working excessively, taking risks, suppressing emotions, using substances. (4) These adaptations produce the mortality outcomes observable in the data. (5) The cycle repeats as these men—shaped by the norms—transmit them to the next generation, while women—shaped by the same culture—continue selecting for norm-conforming men.</w:t>
      </w:r>
    </w:p>
    <w:p>
      <w:pPr>
        <w:pStyle w:val="Heading2"/>
      </w:pPr>
      <w:r>
        <w:rPr>
          <w:rFonts w:ascii="Times New Roman" w:cs="Times New Roman" w:eastAsia="Times New Roman" w:hAnsi="Times New Roman"/>
          <w:sz w:val="24"/>
          <w:szCs w:val="24"/>
        </w:rPr>
        <w:t xml:space="preserve">Hypothesis 1: Dual Female Power</w:t>
      </w:r>
    </w:p>
    <w:p>
      <w:pPr>
        <w:spacing w:after="240" w:line="480"/>
      </w:pPr>
      <w:r>
        <w:rPr>
          <w:rFonts w:ascii="Times New Roman" w:cs="Times New Roman" w:eastAsia="Times New Roman" w:hAnsi="Times New Roman"/>
          <w:sz w:val="24"/>
          <w:szCs w:val="24"/>
        </w:rPr>
        <w:t xml:space="preserve">The first hypothesis proposes that women possess two distinct forms of power relevant to male mortality patterns: selection power and socialization power.</w:t>
      </w:r>
    </w:p>
    <w:p>
      <w:pPr>
        <w:spacing w:after="240" w:line="480"/>
      </w:pPr>
      <w:r>
        <w:rPr>
          <w:rFonts w:ascii="Times New Roman" w:cs="Times New Roman" w:eastAsia="Times New Roman" w:hAnsi="Times New Roman"/>
          <w:sz w:val="24"/>
          <w:szCs w:val="24"/>
        </w:rPr>
        <w:t xml:space="preserve">Selection power derives from evolutionary mate choice mechanisms documented by Trivers (1972), Buss (1989, 2020), and contemporary dating research. This power determines which men reproduce and which masculine traits are rewarded.</w:t>
      </w:r>
    </w:p>
    <w:p>
      <w:pPr>
        <w:spacing w:after="240" w:line="480"/>
      </w:pPr>
      <w:r>
        <w:rPr>
          <w:rFonts w:ascii="Times New Roman" w:cs="Times New Roman" w:eastAsia="Times New Roman" w:hAnsi="Times New Roman"/>
          <w:sz w:val="24"/>
          <w:szCs w:val="24"/>
        </w:rPr>
        <w:t xml:space="preserve">Socialization power derives from structural dominance in early childhood institutions. Women constitute 94–97% of preschool teachers (UNESCO, 2023) and spend approximately 77% of parental time with children (OECD, 2022). This exposure asymmetry means that children receive the majority of their early gender socialization from women.</w:t>
      </w:r>
    </w:p>
    <w:p>
      <w:pPr>
        <w:spacing w:after="240" w:line="480"/>
      </w:pPr>
      <w:r>
        <w:rPr>
          <w:rFonts w:ascii="Times New Roman" w:cs="Times New Roman" w:eastAsia="Times New Roman" w:hAnsi="Times New Roman"/>
          <w:sz w:val="24"/>
          <w:szCs w:val="24"/>
        </w:rPr>
        <w:t xml:space="preserve">The hypothesis does not claim that women consciously or maliciously impose harmful norms. Rather, implicit biases (Thomassin et al., 2019) and culturally transmitted beliefs about masculinity are passed to children through the sheer volume of female-child interaction time. Both men and women perpetuate these norms—the asymmetry lies in exposure time, not intent.</w:t>
      </w:r>
    </w:p>
    <w:p>
      <w:pPr>
        <w:pStyle w:val="Heading2"/>
      </w:pPr>
      <w:r>
        <w:rPr>
          <w:rFonts w:ascii="Times New Roman" w:cs="Times New Roman" w:eastAsia="Times New Roman" w:hAnsi="Times New Roman"/>
          <w:sz w:val="24"/>
          <w:szCs w:val="24"/>
        </w:rPr>
        <w:t xml:space="preserve">Hypothesis 2: Historical Counterbalances</w:t>
      </w:r>
    </w:p>
    <w:p>
      <w:pPr>
        <w:spacing w:after="240" w:line="480"/>
      </w:pPr>
      <w:r>
        <w:rPr>
          <w:rFonts w:ascii="Times New Roman" w:cs="Times New Roman" w:eastAsia="Times New Roman" w:hAnsi="Times New Roman"/>
          <w:sz w:val="24"/>
          <w:szCs w:val="24"/>
        </w:rPr>
        <w:t xml:space="preserve">The second hypothesis—more speculative and requiring empirical testing—proposes that historical social structures functioned as counterbalances to female selection and socialization power.</w:t>
      </w:r>
    </w:p>
    <w:p>
      <w:pPr>
        <w:spacing w:after="240" w:line="480"/>
      </w:pPr>
      <w:r>
        <w:rPr>
          <w:rFonts w:ascii="Times New Roman" w:cs="Times New Roman" w:eastAsia="Times New Roman" w:hAnsi="Times New Roman"/>
          <w:sz w:val="24"/>
          <w:szCs w:val="24"/>
        </w:rPr>
        <w:t xml:space="preserve">Institutional monogamy counterbalanced selection power. By guaranteeing most men access to a partner regardless of their position in the masculine hierarchy, monogamy reduced the stakes of masculine competition. A man who failed to fully embody masculine ideals could still marry and reproduce. The "insufficiency loop" existed but was dampened—failure to meet masculine standards did not result in complete reproductive exclusion.</w:t>
      </w:r>
    </w:p>
    <w:p>
      <w:pPr>
        <w:spacing w:after="240" w:line="480"/>
      </w:pPr>
      <w:r>
        <w:rPr>
          <w:rFonts w:ascii="Times New Roman" w:cs="Times New Roman" w:eastAsia="Times New Roman" w:hAnsi="Times New Roman"/>
          <w:sz w:val="24"/>
          <w:szCs w:val="24"/>
        </w:rPr>
        <w:t xml:space="preserve">Patriarchal authority counterbalanced socialization power. Fathers historically had higher mortality from warfare, hunting, and dangerous occupations—structurally reducing their time with children. Patriarchal institutions (paternal legal authority, name transmission, religious authority) compensated for this time deficit by granting fathers influence over family decisions and child-rearing philosophies despite limited presence. This is not a defense of patriarchy but an analysis of its function within a larger system.</w:t>
      </w:r>
    </w:p>
    <w:p>
      <w:pPr>
        <w:pStyle w:val="Heading2"/>
      </w:pPr>
      <w:r>
        <w:rPr>
          <w:rFonts w:ascii="Times New Roman" w:cs="Times New Roman" w:eastAsia="Times New Roman" w:hAnsi="Times New Roman"/>
          <w:sz w:val="24"/>
          <w:szCs w:val="24"/>
        </w:rPr>
        <w:t xml:space="preserve">Hypothesis 3: Asymmetric Dissolution</w:t>
      </w:r>
    </w:p>
    <w:p>
      <w:pPr>
        <w:spacing w:after="240" w:line="480"/>
      </w:pPr>
      <w:r>
        <w:rPr>
          <w:rFonts w:ascii="Times New Roman" w:cs="Times New Roman" w:eastAsia="Times New Roman" w:hAnsi="Times New Roman"/>
          <w:sz w:val="24"/>
          <w:szCs w:val="24"/>
        </w:rPr>
        <w:t xml:space="preserve">The third hypothesis proposes that contemporary social change has dismantled the historical counterbalances without proportionally reducing female selection and socialization power, creating a new asymmetry that accelerates the insufficiency loop.</w:t>
      </w:r>
    </w:p>
    <w:p>
      <w:pPr>
        <w:spacing w:after="240" w:line="480"/>
      </w:pPr>
      <w:r>
        <w:rPr>
          <w:rFonts w:ascii="Times New Roman" w:cs="Times New Roman" w:eastAsia="Times New Roman" w:hAnsi="Times New Roman"/>
          <w:sz w:val="24"/>
          <w:szCs w:val="24"/>
        </w:rPr>
        <w:t xml:space="preserve">Monogamy has weakened. Divorce rates have increased substantially since the 1960s in Western societies. Dating applications create access to vastly larger pools of potential partners, intensifying selection pressure. "Hookup culture" allows temporary partnerships without commitment. These changes effectively reduce the guarantee of partnership that monogamy historically provided. For men who fail to meet masculine standards, the consequences have intensified—not just reduced status, but potential exclusion from partnership entirely.</w:t>
      </w:r>
    </w:p>
    <w:p>
      <w:pPr>
        <w:spacing w:after="240" w:line="480"/>
      </w:pPr>
      <w:r>
        <w:rPr>
          <w:rFonts w:ascii="Times New Roman" w:cs="Times New Roman" w:eastAsia="Times New Roman" w:hAnsi="Times New Roman"/>
          <w:sz w:val="24"/>
          <w:szCs w:val="24"/>
        </w:rPr>
        <w:t xml:space="preserve">Patriarchy has been substantially dismantled through legal reforms establishing gender equality, which is normatively desirable. However, women's structural dominance in socialization has not correspondingly decreased. Women still constitute 94% of preschool teachers and still spend roughly 77% of parental time with children. Fathers no longer die in wars at historical rates, yet shared custody remains rare (2.3% in Poland; GUS, 2023) and male participation in early education remains minimal (3–6% globally).</w:t>
      </w:r>
    </w:p>
    <w:p>
      <w:pPr>
        <w:spacing w:after="240" w:line="480"/>
      </w:pPr>
      <w:r>
        <w:rPr>
          <w:rFonts w:ascii="Times New Roman" w:cs="Times New Roman" w:eastAsia="Times New Roman" w:hAnsi="Times New Roman"/>
          <w:sz w:val="24"/>
          <w:szCs w:val="24"/>
        </w:rPr>
        <w:t xml:space="preserve">The result is a new asymmetry: female influence over socialization is maintained, female mate selection operates in an intensified competitive environment, but the male counterbalances have been removed. The insufficiency loop accelerates because (a) the stakes of failing to meet masculine standards are higher (reduced partnership access) and (b) the norms themselves are still transmitted through female-dominated socialization channels without the moderating influence of greater paternal presence.</w:t>
      </w:r>
    </w:p>
    <w:p>
      <w:pPr>
        <w:pStyle w:val="Heading2"/>
      </w:pPr>
      <w:r>
        <w:rPr>
          <w:rFonts w:ascii="Times New Roman" w:cs="Times New Roman" w:eastAsia="Times New Roman" w:hAnsi="Times New Roman"/>
          <w:sz w:val="24"/>
          <w:szCs w:val="24"/>
        </w:rPr>
        <w:t xml:space="preserve">Adaptive Responses and Their Costs</w:t>
      </w:r>
    </w:p>
    <w:p>
      <w:pPr>
        <w:spacing w:after="240" w:line="480"/>
      </w:pPr>
      <w:r>
        <w:rPr>
          <w:rFonts w:ascii="Times New Roman" w:cs="Times New Roman" w:eastAsia="Times New Roman" w:hAnsi="Times New Roman"/>
          <w:sz w:val="24"/>
          <w:szCs w:val="24"/>
        </w:rPr>
        <w:t xml:space="preserve">The model proposes that men develop adaptive responses—"safety valves"—to manage the stress of perpetual insufficiency. These adaptations are rational responses to an irrational situation, not character flaws.</w:t>
      </w:r>
    </w:p>
    <w:p>
      <w:pPr>
        <w:spacing w:after="240" w:line="480"/>
      </w:pPr>
      <w:r>
        <w:rPr>
          <w:rFonts w:ascii="Times New Roman" w:cs="Times New Roman" w:eastAsia="Times New Roman" w:hAnsi="Times New Roman"/>
          <w:sz w:val="24"/>
          <w:szCs w:val="24"/>
        </w:rPr>
        <w:t xml:space="preserve">Work addiction provides the only socially sanctioned route to masculine worth. By working excessively, men can demonstrate value through productivity and provision. The costs include stress-related illness, family absence, and cardiovascular disease.</w:t>
      </w:r>
    </w:p>
    <w:p>
      <w:pPr>
        <w:spacing w:after="240" w:line="480"/>
      </w:pPr>
      <w:r>
        <w:rPr>
          <w:rFonts w:ascii="Times New Roman" w:cs="Times New Roman" w:eastAsia="Times New Roman" w:hAnsi="Times New Roman"/>
          <w:sz w:val="24"/>
          <w:szCs w:val="24"/>
        </w:rPr>
        <w:t xml:space="preserve">Substance use—particularly alcohol—serves as self-medication for emotional pain that men are prohibited from expressing directly. The costs include liver disease, accidents, addiction, and violence.</w:t>
      </w:r>
    </w:p>
    <w:p>
      <w:pPr>
        <w:spacing w:after="240" w:line="480"/>
      </w:pPr>
      <w:r>
        <w:rPr>
          <w:rFonts w:ascii="Times New Roman" w:cs="Times New Roman" w:eastAsia="Times New Roman" w:hAnsi="Times New Roman"/>
          <w:sz w:val="24"/>
          <w:szCs w:val="24"/>
        </w:rPr>
        <w:t xml:space="preserve">Risk-taking allows demonstration of courage and invulnerability, core masculine traits. The costs include accidental death and injury.</w:t>
      </w:r>
    </w:p>
    <w:p>
      <w:pPr>
        <w:spacing w:after="240" w:line="480"/>
      </w:pPr>
      <w:r>
        <w:rPr>
          <w:rFonts w:ascii="Times New Roman" w:cs="Times New Roman" w:eastAsia="Times New Roman" w:hAnsi="Times New Roman"/>
          <w:sz w:val="24"/>
          <w:szCs w:val="24"/>
        </w:rPr>
        <w:t xml:space="preserve">Emotional suppression maintains the appearance of stoic masculinity. The costs include untreated depression, delayed medical help-seeking, and suicide.</w:t>
      </w:r>
    </w:p>
    <w:p>
      <w:pPr>
        <w:spacing w:after="240" w:line="480"/>
      </w:pPr>
      <w:r>
        <w:rPr>
          <w:rFonts w:ascii="Times New Roman" w:cs="Times New Roman" w:eastAsia="Times New Roman" w:hAnsi="Times New Roman"/>
          <w:sz w:val="24"/>
          <w:szCs w:val="24"/>
        </w:rPr>
        <w:t xml:space="preserve">Withdrawal and isolation reduce the pain of rejection and perceived inadequacy. The costs include loneliness, depression, and loss of social support networks.</w:t>
      </w:r>
    </w:p>
    <w:p>
      <w:pPr>
        <w:spacing w:after="240" w:line="480"/>
      </w:pPr>
      <w:r>
        <w:rPr>
          <w:rFonts w:ascii="Times New Roman" w:cs="Times New Roman" w:eastAsia="Times New Roman" w:hAnsi="Times New Roman"/>
          <w:sz w:val="24"/>
          <w:szCs w:val="24"/>
        </w:rPr>
        <w:t xml:space="preserve">These adaptations are commonly labeled "toxic" and targeted for elimination. The model suggests that targeting adaptations without addressing the underlying cause—the insufficiency loop itself—may be counterproductive. Removing coping mechanisms while maintaining the source of stress risks increasing, not decreasing, male suffering.</w:t>
      </w:r>
    </w:p>
    <w:p>
      <w:pPr>
        <w:pStyle w:val="Heading1"/>
      </w:pPr>
      <w:r>
        <w:rPr>
          <w:rFonts w:ascii="Times New Roman" w:cs="Times New Roman" w:eastAsia="Times New Roman" w:hAnsi="Times New Roman"/>
          <w:sz w:val="24"/>
          <w:szCs w:val="24"/>
        </w:rPr>
        <w:t xml:space="preserve">Evidence and Predictions</w:t>
      </w:r>
    </w:p>
    <w:p>
      <w:pPr>
        <w:pStyle w:val="Heading2"/>
      </w:pPr>
      <w:r>
        <w:rPr>
          <w:rFonts w:ascii="Times New Roman" w:cs="Times New Roman" w:eastAsia="Times New Roman" w:hAnsi="Times New Roman"/>
          <w:sz w:val="24"/>
          <w:szCs w:val="24"/>
        </w:rPr>
        <w:t xml:space="preserve">Supporting Evidence by Strength</w:t>
      </w:r>
    </w:p>
    <w:p>
      <w:pPr>
        <w:spacing w:after="240" w:line="480"/>
      </w:pPr>
      <w:r>
        <w:rPr>
          <w:rFonts w:ascii="Times New Roman" w:cs="Times New Roman" w:eastAsia="Times New Roman" w:hAnsi="Times New Roman"/>
          <w:sz w:val="24"/>
          <w:szCs w:val="24"/>
        </w:rPr>
        <w:t xml:space="preserve">The model's components rest on varying levels of empirical support, which we categorize using a five-level scale (A = strong meta-analytic support; B = multiple replicated studies; C = preliminary evidence requiring replication; D = theoretical inference requiring testing; E = speculation).</w:t>
      </w:r>
    </w:p>
    <w:p>
      <w:pPr>
        <w:spacing w:after="240" w:line="480"/>
      </w:pPr>
      <w:r>
        <w:rPr>
          <w:rFonts w:ascii="Times New Roman" w:cs="Times New Roman" w:eastAsia="Times New Roman" w:hAnsi="Times New Roman"/>
          <w:sz w:val="24"/>
          <w:szCs w:val="24"/>
        </w:rPr>
        <w:t xml:space="preserve">Level A evidence supports female mate selection power (Trivers, 1972; Buss, 1989, 2020; Walter et al., 2020), the structural composition of early childhood education (UNESCO, 2023), and time-use patterns showing maternal dominance in parental time (OECD, 2022). These findings rest on extensive cross-cultural replication and meta-analytic synthesis.</w:t>
      </w:r>
    </w:p>
    <w:p>
      <w:pPr>
        <w:spacing w:after="240" w:line="480"/>
      </w:pPr>
      <w:r>
        <w:rPr>
          <w:rFonts w:ascii="Times New Roman" w:cs="Times New Roman" w:eastAsia="Times New Roman" w:hAnsi="Times New Roman"/>
          <w:sz w:val="24"/>
          <w:szCs w:val="24"/>
        </w:rPr>
        <w:t xml:space="preserve">Level B evidence supports maternal implicit bias in emotional socialization (Thomassin et al., 2019), the function of monogamy in reducing male competition (Henrich et al., 2012), and bidirectional patterns in intimate partner violence (Whitaker et al., 2007; Archer, 2000). These findings have been replicated but require further cross-cultural testing.</w:t>
      </w:r>
    </w:p>
    <w:p>
      <w:pPr>
        <w:spacing w:after="240" w:line="480"/>
      </w:pPr>
      <w:r>
        <w:rPr>
          <w:rFonts w:ascii="Times New Roman" w:cs="Times New Roman" w:eastAsia="Times New Roman" w:hAnsi="Times New Roman"/>
          <w:sz w:val="24"/>
          <w:szCs w:val="24"/>
        </w:rPr>
        <w:t xml:space="preserve">Level C evidence supports the specific effect size of maternal versus paternal influence on gender norm internalization (Chhin et al., 2008) and the Nordic paradox findings suggesting that gender equality does not automatically reduce male mortality disadvantage (Backhans, Lundberg, &amp; Månsdotter, 2007).</w:t>
      </w:r>
    </w:p>
    <w:p>
      <w:pPr>
        <w:spacing w:after="240" w:line="480"/>
      </w:pPr>
      <w:r>
        <w:rPr>
          <w:rFonts w:ascii="Times New Roman" w:cs="Times New Roman" w:eastAsia="Times New Roman" w:hAnsi="Times New Roman"/>
          <w:sz w:val="24"/>
          <w:szCs w:val="24"/>
        </w:rPr>
        <w:t xml:space="preserve">Level D evidence applies to the hypothesis that patriarchal structures functioned as compensation for paternal time deficit. This is a theoretical inference from historical patterns (Smuts, 1995; Kandiyoti, 1988) requiring explicit empirical testing.</w:t>
      </w:r>
    </w:p>
    <w:p>
      <w:pPr>
        <w:spacing w:after="240" w:line="480"/>
      </w:pPr>
      <w:r>
        <w:rPr>
          <w:rFonts w:ascii="Times New Roman" w:cs="Times New Roman" w:eastAsia="Times New Roman" w:hAnsi="Times New Roman"/>
          <w:sz w:val="24"/>
          <w:szCs w:val="24"/>
        </w:rPr>
        <w:t xml:space="preserve">Level E (speculation) applies to specific predictions about intervention effects, which await experimental testing.</w:t>
      </w:r>
    </w:p>
    <w:p>
      <w:pPr>
        <w:pStyle w:val="Heading2"/>
      </w:pPr>
      <w:r>
        <w:rPr>
          <w:rFonts w:ascii="Times New Roman" w:cs="Times New Roman" w:eastAsia="Times New Roman" w:hAnsi="Times New Roman"/>
          <w:sz w:val="24"/>
          <w:szCs w:val="24"/>
        </w:rPr>
        <w:t xml:space="preserve">Cross-Cultural Predictions</w:t>
      </w:r>
    </w:p>
    <w:p>
      <w:pPr>
        <w:spacing w:after="240" w:line="480"/>
      </w:pPr>
      <w:r>
        <w:rPr>
          <w:rFonts w:ascii="Times New Roman" w:cs="Times New Roman" w:eastAsia="Times New Roman" w:hAnsi="Times New Roman"/>
          <w:sz w:val="24"/>
          <w:szCs w:val="24"/>
        </w:rPr>
        <w:t xml:space="preserve">The model generates cross-cultural predictions that can serve as partial tests. If the model is correct, countries with greater paternal involvement in childcare should show smaller male-female mortality gaps, controlling for economic development and healthcare access.</w:t>
      </w:r>
    </w:p>
    <w:p>
      <w:pPr>
        <w:spacing w:after="240" w:line="480"/>
      </w:pPr>
      <w:r>
        <w:rPr>
          <w:rFonts w:ascii="Times New Roman" w:cs="Times New Roman" w:eastAsia="Times New Roman" w:hAnsi="Times New Roman"/>
          <w:sz w:val="24"/>
          <w:szCs w:val="24"/>
        </w:rPr>
        <w:t xml:space="preserve">Preliminary data are consistent with this prediction. Sweden, with mandatory paternal leave (90 days reserved for fathers) and approximately 40% shared custody arrangements, shows a mortality gap of approximately 3.5 years—smaller than Poland (7.3 years) or Russia (&gt;10 years). Iceland, with the most extensive paternal leave policies (6 months reserved for fathers), shows similar patterns.</w:t>
      </w:r>
    </w:p>
    <w:p>
      <w:pPr>
        <w:spacing w:after="240" w:line="480"/>
      </w:pPr>
      <w:r>
        <w:rPr>
          <w:rFonts w:ascii="Times New Roman" w:cs="Times New Roman" w:eastAsia="Times New Roman" w:hAnsi="Times New Roman"/>
          <w:sz w:val="24"/>
          <w:szCs w:val="24"/>
        </w:rPr>
        <w:t xml:space="preserve">The Nordic paradox—the finding that highly gender-equal Nordic societies still show male mortality disadvantage—is sometimes cited as evidence against gender-norm explanations. However, the Loop of Insufficiency Model makes a more specific prediction: the relevant variable is not gender equality per se but rather (a) time allocation in childcare and (b) male representation in early education. Nordic countries have addressed (a) through paternal leave policies but have not substantially increased male representation in preschool teaching, which remains below 5%. The model predicts that further reductions in mortality gap would require addressing both factors.</w:t>
      </w:r>
    </w:p>
    <w:p>
      <w:pPr>
        <w:pStyle w:val="Heading2"/>
      </w:pPr>
      <w:r>
        <w:rPr>
          <w:rFonts w:ascii="Times New Roman" w:cs="Times New Roman" w:eastAsia="Times New Roman" w:hAnsi="Times New Roman"/>
          <w:sz w:val="24"/>
          <w:szCs w:val="24"/>
        </w:rPr>
        <w:t xml:space="preserve">Specific Testable Predictions</w:t>
      </w:r>
    </w:p>
    <w:p>
      <w:pPr>
        <w:spacing w:after="240" w:line="480"/>
      </w:pPr>
      <w:r>
        <w:rPr>
          <w:rFonts w:ascii="Times New Roman" w:cs="Times New Roman" w:eastAsia="Times New Roman" w:hAnsi="Times New Roman"/>
          <w:sz w:val="24"/>
          <w:szCs w:val="24"/>
        </w:rPr>
        <w:t xml:space="preserve">The model generates specific, falsifiable predictions:</w:t>
      </w:r>
    </w:p>
    <w:p>
      <w:pPr>
        <w:spacing w:after="240" w:line="480"/>
      </w:pPr>
      <w:r>
        <w:rPr>
          <w:rFonts w:ascii="Times New Roman" w:cs="Times New Roman" w:eastAsia="Times New Roman" w:hAnsi="Times New Roman"/>
          <w:sz w:val="24"/>
          <w:szCs w:val="24"/>
        </w:rPr>
        <w:t xml:space="preserve">Prediction 1: Paternal time with children during ages 0–6 will negatively correlate with masculine norm internalization in adolescence, controlling for socioeconomic status and paternal masculinity attitudes.</w:t>
      </w:r>
    </w:p>
    <w:p>
      <w:pPr>
        <w:spacing w:after="240" w:line="480"/>
      </w:pPr>
      <w:r>
        <w:rPr>
          <w:rFonts w:ascii="Times New Roman" w:cs="Times New Roman" w:eastAsia="Times New Roman" w:hAnsi="Times New Roman"/>
          <w:sz w:val="24"/>
          <w:szCs w:val="24"/>
        </w:rPr>
        <w:t xml:space="preserve">Prediction 2: The proportion of male early childhood educators in a country/region will negatively correlate with population-level masculine norm rigidity, as measured by validated instruments such as the Male Role Norms Inventory (Levant et al., 2013).</w:t>
      </w:r>
    </w:p>
    <w:p>
      <w:pPr>
        <w:spacing w:after="240" w:line="480"/>
      </w:pPr>
      <w:r>
        <w:rPr>
          <w:rFonts w:ascii="Times New Roman" w:cs="Times New Roman" w:eastAsia="Times New Roman" w:hAnsi="Times New Roman"/>
          <w:sz w:val="24"/>
          <w:szCs w:val="24"/>
        </w:rPr>
        <w:t xml:space="preserve">Prediction 3: Dating market competition intensity (measured through metrics such as sex ratio, dating app selectivity patterns) will positively correlate with male risk-taking behaviors and mortality rates.</w:t>
      </w:r>
    </w:p>
    <w:p>
      <w:pPr>
        <w:spacing w:after="240" w:line="480"/>
      </w:pPr>
      <w:r>
        <w:rPr>
          <w:rFonts w:ascii="Times New Roman" w:cs="Times New Roman" w:eastAsia="Times New Roman" w:hAnsi="Times New Roman"/>
          <w:sz w:val="24"/>
          <w:szCs w:val="24"/>
        </w:rPr>
        <w:t xml:space="preserve">Prediction 4: Educational interventions targeting parental implicit bias in gender socialization will reduce children's masculine norm internalization in longitudinal follow-up, particularly when targeting mothers of boys.</w:t>
      </w:r>
    </w:p>
    <w:p>
      <w:pPr>
        <w:spacing w:after="240" w:line="480"/>
      </w:pPr>
      <w:r>
        <w:rPr>
          <w:rFonts w:ascii="Times New Roman" w:cs="Times New Roman" w:eastAsia="Times New Roman" w:hAnsi="Times New Roman"/>
          <w:sz w:val="24"/>
          <w:szCs w:val="24"/>
        </w:rPr>
        <w:t xml:space="preserve">Prediction 5: Shared custody arrangements, compared to sole maternal custody, will be associated with reduced masculine norm rigidity in sons at adolescence, controlling for pre-divorce family characteristics.</w:t>
      </w:r>
    </w:p>
    <w:p>
      <w:pPr>
        <w:pStyle w:val="Heading2"/>
      </w:pPr>
      <w:r>
        <w:rPr>
          <w:rFonts w:ascii="Times New Roman" w:cs="Times New Roman" w:eastAsia="Times New Roman" w:hAnsi="Times New Roman"/>
          <w:sz w:val="24"/>
          <w:szCs w:val="24"/>
        </w:rPr>
        <w:t xml:space="preserve">Falsification Conditions</w:t>
      </w:r>
    </w:p>
    <w:p>
      <w:pPr>
        <w:spacing w:after="240" w:line="480"/>
      </w:pPr>
      <w:r>
        <w:rPr>
          <w:rFonts w:ascii="Times New Roman" w:cs="Times New Roman" w:eastAsia="Times New Roman" w:hAnsi="Times New Roman"/>
          <w:sz w:val="24"/>
          <w:szCs w:val="24"/>
        </w:rPr>
        <w:t xml:space="preserve">A theoretical framework must specify conditions under which it would be considered false. The Loop of Insufficiency Model would be falsified by the following findings:</w:t>
      </w:r>
    </w:p>
    <w:p>
      <w:pPr>
        <w:spacing w:after="240" w:line="480"/>
      </w:pPr>
      <w:r>
        <w:rPr>
          <w:rFonts w:ascii="Times New Roman" w:cs="Times New Roman" w:eastAsia="Times New Roman" w:hAnsi="Times New Roman"/>
          <w:sz w:val="24"/>
          <w:szCs w:val="24"/>
        </w:rPr>
        <w:t xml:space="preserve">Falsification 1: Countries with substantially higher paternal involvement in childcare (controlling for other factors) show no reduction in male-female mortality gap compared to countries with low paternal involvement.</w:t>
      </w:r>
    </w:p>
    <w:p>
      <w:pPr>
        <w:spacing w:after="240" w:line="480"/>
      </w:pPr>
      <w:r>
        <w:rPr>
          <w:rFonts w:ascii="Times New Roman" w:cs="Times New Roman" w:eastAsia="Times New Roman" w:hAnsi="Times New Roman"/>
          <w:sz w:val="24"/>
          <w:szCs w:val="24"/>
        </w:rPr>
        <w:t xml:space="preserve">Falsification 2: Societies that historically transitioned from polygyny to normative monogamy show no reduction in male intrasexual violence and competition.</w:t>
      </w:r>
    </w:p>
    <w:p>
      <w:pPr>
        <w:spacing w:after="240" w:line="480"/>
      </w:pPr>
      <w:r>
        <w:rPr>
          <w:rFonts w:ascii="Times New Roman" w:cs="Times New Roman" w:eastAsia="Times New Roman" w:hAnsi="Times New Roman"/>
          <w:sz w:val="24"/>
          <w:szCs w:val="24"/>
        </w:rPr>
        <w:t xml:space="preserve">Falsification 3: The maternal-paternal time ratio shows no correlation with children's gender norm internalization when controlling for other variables.</w:t>
      </w:r>
    </w:p>
    <w:p>
      <w:pPr>
        <w:spacing w:after="240" w:line="480"/>
      </w:pPr>
      <w:r>
        <w:rPr>
          <w:rFonts w:ascii="Times New Roman" w:cs="Times New Roman" w:eastAsia="Times New Roman" w:hAnsi="Times New Roman"/>
          <w:sz w:val="24"/>
          <w:szCs w:val="24"/>
        </w:rPr>
        <w:t xml:space="preserve">Falsification 4: Genetic and hormonal factors fully explain the mortality gap (current evidence suggests 15–25%; finding that it exceeds 50% would substantially weaken the model).</w:t>
      </w:r>
    </w:p>
    <w:p>
      <w:pPr>
        <w:spacing w:after="240" w:line="480"/>
      </w:pPr>
      <w:r>
        <w:rPr>
          <w:rFonts w:ascii="Times New Roman" w:cs="Times New Roman" w:eastAsia="Times New Roman" w:hAnsi="Times New Roman"/>
          <w:sz w:val="24"/>
          <w:szCs w:val="24"/>
        </w:rPr>
        <w:t xml:space="preserve">Falsification 5: Educational interventions targeting gender norm transmission show no effect on children's norm internalization or behavioral outcomes in well-designed longitudinal studies.</w:t>
      </w:r>
    </w:p>
    <w:p>
      <w:pPr>
        <w:pStyle w:val="Heading1"/>
      </w:pPr>
      <w:r>
        <w:rPr>
          <w:rFonts w:ascii="Times New Roman" w:cs="Times New Roman" w:eastAsia="Times New Roman" w:hAnsi="Times New Roman"/>
          <w:sz w:val="24"/>
          <w:szCs w:val="24"/>
        </w:rPr>
        <w:t xml:space="preserve">Discussion</w:t>
      </w:r>
    </w:p>
    <w:p>
      <w:pPr>
        <w:pStyle w:val="Heading2"/>
      </w:pPr>
      <w:r>
        <w:rPr>
          <w:rFonts w:ascii="Times New Roman" w:cs="Times New Roman" w:eastAsia="Times New Roman" w:hAnsi="Times New Roman"/>
          <w:sz w:val="24"/>
          <w:szCs w:val="24"/>
        </w:rPr>
        <w:t xml:space="preserve">Relation to Existing Frameworks</w:t>
      </w:r>
    </w:p>
    <w:p>
      <w:pPr>
        <w:spacing w:after="240" w:line="480"/>
      </w:pPr>
      <w:r>
        <w:rPr>
          <w:rFonts w:ascii="Times New Roman" w:cs="Times New Roman" w:eastAsia="Times New Roman" w:hAnsi="Times New Roman"/>
          <w:sz w:val="24"/>
          <w:szCs w:val="24"/>
        </w:rPr>
        <w:t xml:space="preserve">The Loop of Insufficiency Model is intended to complement, not replace, existing frameworks. Connell's (1995) concept of hegemonic masculinity accurately describes the hierarchical structure of masculine norms but does not fully explain transmission mechanisms. The present model proposes a specific transmission pathway through differential parental and educational exposure.</w:t>
      </w:r>
    </w:p>
    <w:p>
      <w:pPr>
        <w:spacing w:after="240" w:line="480"/>
      </w:pPr>
      <w:r>
        <w:rPr>
          <w:rFonts w:ascii="Times New Roman" w:cs="Times New Roman" w:eastAsia="Times New Roman" w:hAnsi="Times New Roman"/>
          <w:sz w:val="24"/>
          <w:szCs w:val="24"/>
        </w:rPr>
        <w:t xml:space="preserve">Feminist scholarship has documented historical female oppression and contemporary gender inequality. The present model does not contradict these findings but adds a parallel analysis: that both sexes suffer from the gender norm system in different ways. Women historically faced restrictions on autonomy, economic participation, and bodily integrity. Men face elevated mortality, emotional suppression mandates, and expendability in dangerous roles. Both patterns emerge from the same system.</w:t>
      </w:r>
    </w:p>
    <w:p>
      <w:pPr>
        <w:spacing w:after="240" w:line="480"/>
      </w:pPr>
      <w:r>
        <w:rPr>
          <w:rFonts w:ascii="Times New Roman" w:cs="Times New Roman" w:eastAsia="Times New Roman" w:hAnsi="Times New Roman"/>
          <w:sz w:val="24"/>
          <w:szCs w:val="24"/>
        </w:rPr>
        <w:t xml:space="preserve">Evolutionary psychology frameworks (Buss, 2019) have established that sex differences in mate preferences have deep evolutionary roots. The present model extends this analysis to consider how these preferences create selection pressure that maintains harmful masculine norms in contemporary environments where their adaptive value has diminished.</w:t>
      </w:r>
    </w:p>
    <w:p>
      <w:pPr>
        <w:pStyle w:val="Heading2"/>
      </w:pPr>
      <w:r>
        <w:rPr>
          <w:rFonts w:ascii="Times New Roman" w:cs="Times New Roman" w:eastAsia="Times New Roman" w:hAnsi="Times New Roman"/>
          <w:sz w:val="24"/>
          <w:szCs w:val="24"/>
        </w:rPr>
        <w:t xml:space="preserve">Addressing Potential Criticisms</w:t>
      </w:r>
    </w:p>
    <w:p>
      <w:pPr>
        <w:spacing w:after="240" w:line="480"/>
      </w:pPr>
      <w:r>
        <w:rPr>
          <w:rFonts w:ascii="Times New Roman" w:cs="Times New Roman" w:eastAsia="Times New Roman" w:hAnsi="Times New Roman"/>
          <w:sz w:val="24"/>
          <w:szCs w:val="24"/>
        </w:rPr>
        <w:t xml:space="preserve">Criticism 1: "This model blames women for male mortality."</w:t>
      </w:r>
    </w:p>
    <w:p>
      <w:pPr>
        <w:spacing w:after="240" w:line="480"/>
      </w:pPr>
      <w:r>
        <w:rPr>
          <w:rFonts w:ascii="Times New Roman" w:cs="Times New Roman" w:eastAsia="Times New Roman" w:hAnsi="Times New Roman"/>
          <w:sz w:val="24"/>
          <w:szCs w:val="24"/>
        </w:rPr>
        <w:t xml:space="preserve">Response: The model does not attribute blame. Women transmit norms they themselves received through the same mechanisms. Both sexes participate in norm transmission (Endendijk et al., 2013), though institutional asymmetries create differential exposure time. The framework explicitly notes that women also suffer consequences of the system—loneliness epidemic, autoimmune conditions associated with stress, loss of sons and partners to early death. Solutions require cooperation, not blame attribution.</w:t>
      </w:r>
    </w:p>
    <w:p>
      <w:pPr>
        <w:spacing w:after="240" w:line="480"/>
      </w:pPr>
      <w:r>
        <w:rPr>
          <w:rFonts w:ascii="Times New Roman" w:cs="Times New Roman" w:eastAsia="Times New Roman" w:hAnsi="Times New Roman"/>
          <w:sz w:val="24"/>
          <w:szCs w:val="24"/>
        </w:rPr>
        <w:t xml:space="preserve">Criticism 2: "This model justifies or defends patriarchy."</w:t>
      </w:r>
    </w:p>
    <w:p>
      <w:pPr>
        <w:spacing w:after="240" w:line="480"/>
      </w:pPr>
      <w:r>
        <w:rPr>
          <w:rFonts w:ascii="Times New Roman" w:cs="Times New Roman" w:eastAsia="Times New Roman" w:hAnsi="Times New Roman"/>
          <w:sz w:val="24"/>
          <w:szCs w:val="24"/>
        </w:rPr>
        <w:t xml:space="preserve">Response: Explaining historical function differs fundamentally from moral justification. Understanding why a system persisted helps design better alternatives. The model explicitly does not advocate returning to patriarchal structures but proposes new equilibria based on increased paternal involvement and gender-balanced education. This aligns with Kandiyoti's (1988) observation that women negotiated within patriarchy—recognizing historical bargains does not endorse them.</w:t>
      </w:r>
    </w:p>
    <w:p>
      <w:pPr>
        <w:spacing w:after="240" w:line="480"/>
      </w:pPr>
      <w:r>
        <w:rPr>
          <w:rFonts w:ascii="Times New Roman" w:cs="Times New Roman" w:eastAsia="Times New Roman" w:hAnsi="Times New Roman"/>
          <w:sz w:val="24"/>
          <w:szCs w:val="24"/>
        </w:rPr>
        <w:t xml:space="preserve">Criticism 3: "This is biological essentialism."</w:t>
      </w:r>
    </w:p>
    <w:p>
      <w:pPr>
        <w:spacing w:after="240" w:line="480"/>
      </w:pPr>
      <w:r>
        <w:rPr>
          <w:rFonts w:ascii="Times New Roman" w:cs="Times New Roman" w:eastAsia="Times New Roman" w:hAnsi="Times New Roman"/>
          <w:sz w:val="24"/>
          <w:szCs w:val="24"/>
        </w:rPr>
        <w:t xml:space="preserve">Response: The model is evolutionary but explicitly not deterministic. Following Smuts (1995), we emphasize behavioral plasticity and the potential for cultural change. Cross-cultural variation in mortality gaps—from 3.5 years in Sweden to 12+ years in Russia—demonstrates that outcomes are substantially modifiable. Biology may set parameters; culture and socialization determine where within those parameters societies fall.</w:t>
      </w:r>
    </w:p>
    <w:p>
      <w:pPr>
        <w:spacing w:after="240" w:line="480"/>
      </w:pPr>
      <w:r>
        <w:rPr>
          <w:rFonts w:ascii="Times New Roman" w:cs="Times New Roman" w:eastAsia="Times New Roman" w:hAnsi="Times New Roman"/>
          <w:sz w:val="24"/>
          <w:szCs w:val="24"/>
        </w:rPr>
        <w:t xml:space="preserve">Criticism 4: "This is Men's Rights Activist ideology."</w:t>
      </w:r>
    </w:p>
    <w:p>
      <w:pPr>
        <w:spacing w:after="240" w:line="480"/>
      </w:pPr>
      <w:r>
        <w:rPr>
          <w:rFonts w:ascii="Times New Roman" w:cs="Times New Roman" w:eastAsia="Times New Roman" w:hAnsi="Times New Roman"/>
          <w:sz w:val="24"/>
          <w:szCs w:val="24"/>
        </w:rPr>
        <w:t xml:space="preserve">Response: The model is grounded in mainstream evolutionary psychology (Trivers, Buss), feminist scholarship (Kandiyoti, Smuts), and peer-reviewed gender socialization research. It does not deny historical female oppression, does not oppose gender equality, and does not advocate for male dominance. The framework aims to reduce male mortality—a goal that benefits entire families: mothers who lose sons, wives who lose husbands, children who lose fathers.</w:t>
      </w:r>
    </w:p>
    <w:p>
      <w:pPr>
        <w:pStyle w:val="Heading2"/>
      </w:pPr>
      <w:r>
        <w:rPr>
          <w:rFonts w:ascii="Times New Roman" w:cs="Times New Roman" w:eastAsia="Times New Roman" w:hAnsi="Times New Roman"/>
          <w:sz w:val="24"/>
          <w:szCs w:val="24"/>
        </w:rPr>
        <w:t xml:space="preserve">Implications for Intervention</w:t>
      </w:r>
    </w:p>
    <w:p>
      <w:pPr>
        <w:spacing w:after="240" w:line="480"/>
      </w:pPr>
      <w:r>
        <w:rPr>
          <w:rFonts w:ascii="Times New Roman" w:cs="Times New Roman" w:eastAsia="Times New Roman" w:hAnsi="Times New Roman"/>
          <w:sz w:val="24"/>
          <w:szCs w:val="24"/>
        </w:rPr>
        <w:t xml:space="preserve">If the Loop of Insufficiency Model is valid, effective interventions must target norm transmission mechanisms rather than individual behavior change alone. We propose several intervention categories:</w:t>
      </w:r>
    </w:p>
    <w:p>
      <w:pPr>
        <w:spacing w:after="240" w:line="480"/>
      </w:pPr>
      <w:r>
        <w:rPr>
          <w:rFonts w:ascii="Times New Roman" w:cs="Times New Roman" w:eastAsia="Times New Roman" w:hAnsi="Times New Roman"/>
          <w:sz w:val="24"/>
          <w:szCs w:val="24"/>
        </w:rPr>
        <w:t xml:space="preserve">Increased paternal involvement policies: Mandatory paternal leave, following the Icelandic model (6 months reserved specifically for fathers), increases father-child contact time. This could rebalance the transmission asymmetry by increasing children's exposure to male caregivers.</w:t>
      </w:r>
    </w:p>
    <w:p>
      <w:pPr>
        <w:spacing w:after="240" w:line="480"/>
      </w:pPr>
      <w:r>
        <w:rPr>
          <w:rFonts w:ascii="Times New Roman" w:cs="Times New Roman" w:eastAsia="Times New Roman" w:hAnsi="Times New Roman"/>
          <w:sz w:val="24"/>
          <w:szCs w:val="24"/>
        </w:rPr>
        <w:t xml:space="preserve">Gender diversification in early education: Targeted recruitment of male preschool and primary teachers (currently 3–6% globally) could provide alternative models of masculinity during critical developmental windows.</w:t>
      </w:r>
    </w:p>
    <w:p>
      <w:pPr>
        <w:spacing w:after="240" w:line="480"/>
      </w:pPr>
      <w:r>
        <w:rPr>
          <w:rFonts w:ascii="Times New Roman" w:cs="Times New Roman" w:eastAsia="Times New Roman" w:hAnsi="Times New Roman"/>
          <w:sz w:val="24"/>
          <w:szCs w:val="24"/>
        </w:rPr>
        <w:t xml:space="preserve">Conscious transmission education: Training programs for parents and educators about implicit gender bias in socialization, informed by findings such as Thomassin et al. (2019), could reduce unconscious norm transmission.</w:t>
      </w:r>
    </w:p>
    <w:p>
      <w:pPr>
        <w:spacing w:after="240" w:line="480"/>
      </w:pPr>
      <w:r>
        <w:rPr>
          <w:rFonts w:ascii="Times New Roman" w:cs="Times New Roman" w:eastAsia="Times New Roman" w:hAnsi="Times New Roman"/>
          <w:sz w:val="24"/>
          <w:szCs w:val="24"/>
        </w:rPr>
        <w:t xml:space="preserve">Updated "behavioral algorithm": Public health messaging that reframes masculinity norms as culturally constructed and modifiable, rather than biologically fixed, could reduce the perceived inevitability of male suffering.</w:t>
      </w:r>
    </w:p>
    <w:p>
      <w:pPr>
        <w:spacing w:after="240" w:line="480"/>
      </w:pPr>
      <w:r>
        <w:rPr>
          <w:rFonts w:ascii="Times New Roman" w:cs="Times New Roman" w:eastAsia="Times New Roman" w:hAnsi="Times New Roman"/>
          <w:sz w:val="24"/>
          <w:szCs w:val="24"/>
        </w:rPr>
        <w:t xml:space="preserve">These interventions require empirical testing through randomized controlled trials measuring norm internalization, behavioral outcomes, and ultimately mortality indicators.</w:t>
      </w:r>
    </w:p>
    <w:p>
      <w:pPr>
        <w:pStyle w:val="Heading2"/>
      </w:pPr>
      <w:r>
        <w:rPr>
          <w:rFonts w:ascii="Times New Roman" w:cs="Times New Roman" w:eastAsia="Times New Roman" w:hAnsi="Times New Roman"/>
          <w:sz w:val="24"/>
          <w:szCs w:val="24"/>
        </w:rPr>
        <w:t xml:space="preserve">Limitations</w:t>
      </w:r>
    </w:p>
    <w:p>
      <w:pPr>
        <w:spacing w:after="240" w:line="480"/>
      </w:pPr>
      <w:r>
        <w:rPr>
          <w:rFonts w:ascii="Times New Roman" w:cs="Times New Roman" w:eastAsia="Times New Roman" w:hAnsi="Times New Roman"/>
          <w:sz w:val="24"/>
          <w:szCs w:val="24"/>
        </w:rPr>
        <w:t xml:space="preserve">The model has several important limitations requiring acknowledgment.</w:t>
      </w:r>
    </w:p>
    <w:p>
      <w:pPr>
        <w:spacing w:after="240" w:line="480"/>
      </w:pPr>
      <w:r>
        <w:rPr>
          <w:rFonts w:ascii="Times New Roman" w:cs="Times New Roman" w:eastAsia="Times New Roman" w:hAnsi="Times New Roman"/>
          <w:sz w:val="24"/>
          <w:szCs w:val="24"/>
        </w:rPr>
        <w:t xml:space="preserve">First, the causal relationship between socialization structure and mortality outcomes rests primarily on correlational data. Natural experiments exploiting policy changes (such as paternal leave implementation) as instrumental variables are needed but have not been conducted.</w:t>
      </w:r>
    </w:p>
    <w:p>
      <w:pPr>
        <w:spacing w:after="240" w:line="480"/>
      </w:pPr>
      <w:r>
        <w:rPr>
          <w:rFonts w:ascii="Times New Roman" w:cs="Times New Roman" w:eastAsia="Times New Roman" w:hAnsi="Times New Roman"/>
          <w:sz w:val="24"/>
          <w:szCs w:val="24"/>
        </w:rPr>
        <w:t xml:space="preserve">Second, only one study (Thomassin et al., 2019) has used the Implicit Association Test to compare maternal and paternal implicit bias in emotional socialization. Replication across cultures is essential before drawing strong conclusions.</w:t>
      </w:r>
    </w:p>
    <w:p>
      <w:pPr>
        <w:spacing w:after="240" w:line="480"/>
      </w:pPr>
      <w:r>
        <w:rPr>
          <w:rFonts w:ascii="Times New Roman" w:cs="Times New Roman" w:eastAsia="Times New Roman" w:hAnsi="Times New Roman"/>
          <w:sz w:val="24"/>
          <w:szCs w:val="24"/>
        </w:rPr>
        <w:t xml:space="preserve">Third, the historical counterbalance hypotheses (regarding monogamy and patriarchy) rest on theoretical inference rather than direct empirical test. While consistent with historical and anthropological evidence, they require more rigorous examination.</w:t>
      </w:r>
    </w:p>
    <w:p>
      <w:pPr>
        <w:spacing w:after="240" w:line="480"/>
      </w:pPr>
      <w:r>
        <w:rPr>
          <w:rFonts w:ascii="Times New Roman" w:cs="Times New Roman" w:eastAsia="Times New Roman" w:hAnsi="Times New Roman"/>
          <w:sz w:val="24"/>
          <w:szCs w:val="24"/>
        </w:rPr>
        <w:t xml:space="preserve">Fourth, most evidence comes from Western, Educated, Industrialized, Rich, and Democratic (WEIRD) populations (Henrich et al., 2010). Generalization to other cultural contexts requires caution and cross-cultural replication.</w:t>
      </w:r>
    </w:p>
    <w:p>
      <w:pPr>
        <w:spacing w:after="240" w:line="480"/>
      </w:pPr>
      <w:r>
        <w:rPr>
          <w:rFonts w:ascii="Times New Roman" w:cs="Times New Roman" w:eastAsia="Times New Roman" w:hAnsi="Times New Roman"/>
          <w:sz w:val="24"/>
          <w:szCs w:val="24"/>
        </w:rPr>
        <w:t xml:space="preserve">Fifth, where effect sizes for gender-differentiated parenting are reported, they tend to be small (d &lt; 0.3). Small effects can still be meaningful at population level, but individual prediction remains limited.</w:t>
      </w:r>
    </w:p>
    <w:p>
      <w:pPr>
        <w:pStyle w:val="Heading1"/>
      </w:pPr>
      <w:r>
        <w:rPr>
          <w:rFonts w:ascii="Times New Roman" w:cs="Times New Roman" w:eastAsia="Times New Roman" w:hAnsi="Times New Roman"/>
          <w:sz w:val="24"/>
          <w:szCs w:val="24"/>
        </w:rPr>
        <w:t xml:space="preserve">Conclusion</w:t>
      </w:r>
    </w:p>
    <w:p>
      <w:pPr>
        <w:spacing w:after="240" w:line="480"/>
      </w:pPr>
      <w:r>
        <w:rPr>
          <w:rFonts w:ascii="Times New Roman" w:cs="Times New Roman" w:eastAsia="Times New Roman" w:hAnsi="Times New Roman"/>
          <w:sz w:val="24"/>
          <w:szCs w:val="24"/>
        </w:rPr>
        <w:t xml:space="preserve">Men die earlier than women by a margin far exceeding biological determination. This paper has proposed the Loop of Insufficiency Model as a theoretical framework for understanding this mortality gap through the lens of gender norm transmission. The model advances three core hypotheses: that women possess dual power over mate selection and early socialization; that historical structures (monogamy and patriarchy) functioned as counterbalances to these powers; and that asymmetric dissolution of these structures in modernity has accelerated harmful norm transmission.</w:t>
      </w:r>
    </w:p>
    <w:p>
      <w:pPr>
        <w:spacing w:after="240" w:line="480"/>
      </w:pPr>
      <w:r>
        <w:rPr>
          <w:rFonts w:ascii="Times New Roman" w:cs="Times New Roman" w:eastAsia="Times New Roman" w:hAnsi="Times New Roman"/>
          <w:sz w:val="24"/>
          <w:szCs w:val="24"/>
        </w:rPr>
        <w:t xml:space="preserve">The model is explicitly theoretical—a set of hypotheses requiring empirical testing, not established fact. We have specified falsification conditions and testable predictions. We have acknowledged limitations in current evidence, particularly for the more speculative historical hypotheses.</w:t>
      </w:r>
    </w:p>
    <w:p>
      <w:pPr>
        <w:spacing w:after="240" w:line="480"/>
      </w:pPr>
      <w:r>
        <w:rPr>
          <w:rFonts w:ascii="Times New Roman" w:cs="Times New Roman" w:eastAsia="Times New Roman" w:hAnsi="Times New Roman"/>
          <w:sz w:val="24"/>
          <w:szCs w:val="24"/>
        </w:rPr>
        <w:t xml:space="preserve">If the model proves valid, it suggests that addressing male mortality requires interventions at the transmission level—increasing paternal involvement, diversifying gender in early education, and making norm transmission conscious rather than automatic. Individual behavior change programs that leave the transmission system intact are likely to prove insufficient.</w:t>
      </w:r>
    </w:p>
    <w:p>
      <w:pPr>
        <w:spacing w:after="240" w:line="480"/>
      </w:pPr>
      <w:r>
        <w:rPr>
          <w:rFonts w:ascii="Times New Roman" w:cs="Times New Roman" w:eastAsia="Times New Roman" w:hAnsi="Times New Roman"/>
          <w:sz w:val="24"/>
          <w:szCs w:val="24"/>
        </w:rPr>
        <w:t xml:space="preserve">Importantly, the model frames both sexes as participants in—and victims of—a self-perpetuating system. Men suffer elevated mortality, emotional truncation, and expendability. Women suffer loneliness, the loss of partners and sons to early death, and the burden of serving as primary caregivers in a system that devalues their labor. Solutions lie not in assigning blame but in understanding mechanisms and designing interventions that benefit all.</w:t>
      </w:r>
    </w:p>
    <w:p>
      <w:pPr>
        <w:spacing w:after="240" w:line="480"/>
      </w:pPr>
      <w:r>
        <w:rPr>
          <w:rFonts w:ascii="Times New Roman" w:cs="Times New Roman" w:eastAsia="Times New Roman" w:hAnsi="Times New Roman"/>
          <w:sz w:val="24"/>
          <w:szCs w:val="24"/>
        </w:rPr>
        <w:t xml:space="preserve">We invite empirical researchers to test the model's predictions and, where evidence warrants, to refine or reject its hypotheses. Understanding why men die early is a precondition for reducing this suffering.</w:t>
      </w:r>
    </w:p>
    <w:p>
      <w:r>
        <w:br w:type="page"/>
      </w:r>
    </w:p>
    <w:p>
      <w:pPr>
        <w:pStyle w:val="Heading1"/>
      </w:pPr>
      <w:r>
        <w:rPr>
          <w:rFonts w:ascii="Times New Roman" w:cs="Times New Roman" w:eastAsia="Times New Roman" w:hAnsi="Times New Roman"/>
          <w:sz w:val="24"/>
          <w:szCs w:val="24"/>
        </w:rPr>
        <w:t xml:space="preserve">References</w:t>
      </w:r>
    </w:p>
    <w:p>
      <w:pPr>
        <w:spacing w:after="240" w:line="480"/>
      </w:pPr>
      <w:r>
        <w:rPr>
          <w:rFonts w:ascii="Times New Roman" w:cs="Times New Roman" w:eastAsia="Times New Roman" w:hAnsi="Times New Roman"/>
          <w:sz w:val="24"/>
          <w:szCs w:val="24"/>
        </w:rPr>
        <w:t xml:space="preserve">Archer, J. (2000). Sex differences in aggression between heterosexual partners: A meta-analytic review. </w:t>
      </w:r>
      <w:r>
        <w:rPr>
          <w:rFonts w:ascii="Times New Roman" w:cs="Times New Roman" w:eastAsia="Times New Roman" w:hAnsi="Times New Roman"/>
          <w:i/>
          <w:iCs/>
          <w:sz w:val="24"/>
          <w:szCs w:val="24"/>
        </w:rPr>
        <w:t xml:space="preserve">Psychological Bulletin, 126</w:t>
      </w:r>
      <w:r>
        <w:rPr>
          <w:rFonts w:ascii="Times New Roman" w:cs="Times New Roman" w:eastAsia="Times New Roman" w:hAnsi="Times New Roman"/>
          <w:sz w:val="24"/>
          <w:szCs w:val="24"/>
        </w:rPr>
        <w:t xml:space="preserve">(5), 651–680. https://doi.org/10.1037/0033-2909.126.5.651</w:t>
      </w:r>
    </w:p>
    <w:p>
      <w:pPr>
        <w:spacing w:after="240" w:line="480"/>
      </w:pPr>
      <w:r>
        <w:rPr>
          <w:rFonts w:ascii="Times New Roman" w:cs="Times New Roman" w:eastAsia="Times New Roman" w:hAnsi="Times New Roman"/>
          <w:sz w:val="24"/>
          <w:szCs w:val="24"/>
        </w:rPr>
        <w:t xml:space="preserve">Archer, J. (2004). Sex differences in aggression in real-world settings: A meta-analytic review. </w:t>
      </w:r>
      <w:r>
        <w:rPr>
          <w:rFonts w:ascii="Times New Roman" w:cs="Times New Roman" w:eastAsia="Times New Roman" w:hAnsi="Times New Roman"/>
          <w:i/>
          <w:iCs/>
          <w:sz w:val="24"/>
          <w:szCs w:val="24"/>
        </w:rPr>
        <w:t xml:space="preserve">Review of General Psychology, 8</w:t>
      </w:r>
      <w:r>
        <w:rPr>
          <w:rFonts w:ascii="Times New Roman" w:cs="Times New Roman" w:eastAsia="Times New Roman" w:hAnsi="Times New Roman"/>
          <w:sz w:val="24"/>
          <w:szCs w:val="24"/>
        </w:rPr>
        <w:t xml:space="preserve">(4), 291–322. https://doi.org/10.1037/1089-2680.8.4.291</w:t>
      </w:r>
    </w:p>
    <w:p>
      <w:pPr>
        <w:spacing w:after="240" w:line="480"/>
      </w:pPr>
      <w:r>
        <w:rPr>
          <w:rFonts w:ascii="Times New Roman" w:cs="Times New Roman" w:eastAsia="Times New Roman" w:hAnsi="Times New Roman"/>
          <w:sz w:val="24"/>
          <w:szCs w:val="24"/>
        </w:rPr>
        <w:t xml:space="preserve">Backhans, M. C., Lundberg, M., &amp; Månsdotter, A. (2007). Does increased gender equality lead to a convergence of health outcomes for men and women? A study of Swedish municipalities. </w:t>
      </w:r>
      <w:r>
        <w:rPr>
          <w:rFonts w:ascii="Times New Roman" w:cs="Times New Roman" w:eastAsia="Times New Roman" w:hAnsi="Times New Roman"/>
          <w:i/>
          <w:iCs/>
          <w:sz w:val="24"/>
          <w:szCs w:val="24"/>
        </w:rPr>
        <w:t xml:space="preserve">Social Science &amp; Medicine, 64</w:t>
      </w:r>
      <w:r>
        <w:rPr>
          <w:rFonts w:ascii="Times New Roman" w:cs="Times New Roman" w:eastAsia="Times New Roman" w:hAnsi="Times New Roman"/>
          <w:sz w:val="24"/>
          <w:szCs w:val="24"/>
        </w:rPr>
        <w:t xml:space="preserve">(9), 1892–1903. https://doi.org/10.1016/j.socscimed.2007.01.016</w:t>
      </w:r>
    </w:p>
    <w:p>
      <w:pPr>
        <w:spacing w:after="240" w:line="480"/>
      </w:pPr>
      <w:r>
        <w:rPr>
          <w:rFonts w:ascii="Times New Roman" w:cs="Times New Roman" w:eastAsia="Times New Roman" w:hAnsi="Times New Roman"/>
          <w:sz w:val="24"/>
          <w:szCs w:val="24"/>
        </w:rPr>
        <w:t xml:space="preserve">Baumeister, R. F., &amp; Vohs, K. D. (2004). Sexual economics: Sex as female resource for social exchange in heterosexual interactions. </w:t>
      </w:r>
      <w:r>
        <w:rPr>
          <w:rFonts w:ascii="Times New Roman" w:cs="Times New Roman" w:eastAsia="Times New Roman" w:hAnsi="Times New Roman"/>
          <w:i/>
          <w:iCs/>
          <w:sz w:val="24"/>
          <w:szCs w:val="24"/>
        </w:rPr>
        <w:t xml:space="preserve">Personality and Social Psychology Review, 8</w:t>
      </w:r>
      <w:r>
        <w:rPr>
          <w:rFonts w:ascii="Times New Roman" w:cs="Times New Roman" w:eastAsia="Times New Roman" w:hAnsi="Times New Roman"/>
          <w:sz w:val="24"/>
          <w:szCs w:val="24"/>
        </w:rPr>
        <w:t xml:space="preserve">(4), 339–363. https://doi.org/10.1207/s15327957pspr0804_2</w:t>
      </w:r>
    </w:p>
    <w:p>
      <w:pPr>
        <w:spacing w:after="240" w:line="480"/>
      </w:pPr>
      <w:r>
        <w:rPr>
          <w:rFonts w:ascii="Times New Roman" w:cs="Times New Roman" w:eastAsia="Times New Roman" w:hAnsi="Times New Roman"/>
          <w:sz w:val="24"/>
          <w:szCs w:val="24"/>
        </w:rPr>
        <w:t xml:space="preserve">Betzig, L. (1986). </w:t>
      </w:r>
      <w:r>
        <w:rPr>
          <w:rFonts w:ascii="Times New Roman" w:cs="Times New Roman" w:eastAsia="Times New Roman" w:hAnsi="Times New Roman"/>
          <w:i/>
          <w:iCs/>
          <w:sz w:val="24"/>
          <w:szCs w:val="24"/>
        </w:rPr>
        <w:t xml:space="preserve">Despotism and differential reproduction: A Darwinian view of history</w:t>
      </w:r>
      <w:r>
        <w:rPr>
          <w:rFonts w:ascii="Times New Roman" w:cs="Times New Roman" w:eastAsia="Times New Roman" w:hAnsi="Times New Roman"/>
          <w:sz w:val="24"/>
          <w:szCs w:val="24"/>
        </w:rPr>
        <w:t xml:space="preserve">. Aldine Publishing.</w:t>
      </w:r>
    </w:p>
    <w:p>
      <w:pPr>
        <w:spacing w:after="240" w:line="480"/>
      </w:pPr>
      <w:r>
        <w:rPr>
          <w:rFonts w:ascii="Times New Roman" w:cs="Times New Roman" w:eastAsia="Times New Roman" w:hAnsi="Times New Roman"/>
          <w:sz w:val="24"/>
          <w:szCs w:val="24"/>
        </w:rPr>
        <w:t xml:space="preserve">Buss, D. M. (1989). Sex differences in human mate preferences: Evolutionary hypotheses tested in 37 cultures. </w:t>
      </w:r>
      <w:r>
        <w:rPr>
          <w:rFonts w:ascii="Times New Roman" w:cs="Times New Roman" w:eastAsia="Times New Roman" w:hAnsi="Times New Roman"/>
          <w:i/>
          <w:iCs/>
          <w:sz w:val="24"/>
          <w:szCs w:val="24"/>
        </w:rPr>
        <w:t xml:space="preserve">Behavioral and Brain Sciences, 12</w:t>
      </w:r>
      <w:r>
        <w:rPr>
          <w:rFonts w:ascii="Times New Roman" w:cs="Times New Roman" w:eastAsia="Times New Roman" w:hAnsi="Times New Roman"/>
          <w:sz w:val="24"/>
          <w:szCs w:val="24"/>
        </w:rPr>
        <w:t xml:space="preserve">(1), 1–49. https://doi.org/10.1017/S0140525X00023992</w:t>
      </w:r>
    </w:p>
    <w:p>
      <w:pPr>
        <w:spacing w:after="240" w:line="480"/>
      </w:pPr>
      <w:r>
        <w:rPr>
          <w:rFonts w:ascii="Times New Roman" w:cs="Times New Roman" w:eastAsia="Times New Roman" w:hAnsi="Times New Roman"/>
          <w:sz w:val="24"/>
          <w:szCs w:val="24"/>
        </w:rPr>
        <w:t xml:space="preserve">Buss, D. M. (2019). </w:t>
      </w:r>
      <w:r>
        <w:rPr>
          <w:rFonts w:ascii="Times New Roman" w:cs="Times New Roman" w:eastAsia="Times New Roman" w:hAnsi="Times New Roman"/>
          <w:i/>
          <w:iCs/>
          <w:sz w:val="24"/>
          <w:szCs w:val="24"/>
        </w:rPr>
        <w:t xml:space="preserve">Evolutionary psychology: The new science of the mind</w:t>
      </w:r>
      <w:r>
        <w:rPr>
          <w:rFonts w:ascii="Times New Roman" w:cs="Times New Roman" w:eastAsia="Times New Roman" w:hAnsi="Times New Roman"/>
          <w:sz w:val="24"/>
          <w:szCs w:val="24"/>
        </w:rPr>
        <w:t xml:space="preserve"> (6th ed.). Routledge.</w:t>
      </w:r>
    </w:p>
    <w:p>
      <w:pPr>
        <w:spacing w:after="240" w:line="480"/>
      </w:pPr>
      <w:r>
        <w:rPr>
          <w:rFonts w:ascii="Times New Roman" w:cs="Times New Roman" w:eastAsia="Times New Roman" w:hAnsi="Times New Roman"/>
          <w:sz w:val="24"/>
          <w:szCs w:val="24"/>
        </w:rPr>
        <w:t xml:space="preserve">Buss, D. M. (2020). </w:t>
      </w:r>
      <w:r>
        <w:rPr>
          <w:rFonts w:ascii="Times New Roman" w:cs="Times New Roman" w:eastAsia="Times New Roman" w:hAnsi="Times New Roman"/>
          <w:i/>
          <w:iCs/>
          <w:sz w:val="24"/>
          <w:szCs w:val="24"/>
        </w:rPr>
        <w:t xml:space="preserve">The evolution of desire: Strategies of human mating</w:t>
      </w:r>
      <w:r>
        <w:rPr>
          <w:rFonts w:ascii="Times New Roman" w:cs="Times New Roman" w:eastAsia="Times New Roman" w:hAnsi="Times New Roman"/>
          <w:sz w:val="24"/>
          <w:szCs w:val="24"/>
        </w:rPr>
        <w:t xml:space="preserve"> (revised ed.). Basic Books.</w:t>
      </w:r>
    </w:p>
    <w:p>
      <w:pPr>
        <w:spacing w:after="240" w:line="480"/>
      </w:pPr>
      <w:r>
        <w:rPr>
          <w:rFonts w:ascii="Times New Roman" w:cs="Times New Roman" w:eastAsia="Times New Roman" w:hAnsi="Times New Roman"/>
          <w:sz w:val="24"/>
          <w:szCs w:val="24"/>
        </w:rPr>
        <w:t xml:space="preserve">Campbell, A. (2004). Female competition: Causes, constraints, content, and contexts. </w:t>
      </w:r>
      <w:r>
        <w:rPr>
          <w:rFonts w:ascii="Times New Roman" w:cs="Times New Roman" w:eastAsia="Times New Roman" w:hAnsi="Times New Roman"/>
          <w:i/>
          <w:iCs/>
          <w:sz w:val="24"/>
          <w:szCs w:val="24"/>
        </w:rPr>
        <w:t xml:space="preserve">Journal of Sex Research, 41</w:t>
      </w:r>
      <w:r>
        <w:rPr>
          <w:rFonts w:ascii="Times New Roman" w:cs="Times New Roman" w:eastAsia="Times New Roman" w:hAnsi="Times New Roman"/>
          <w:sz w:val="24"/>
          <w:szCs w:val="24"/>
        </w:rPr>
        <w:t xml:space="preserve">(1), 16–26. https://doi.org/10.1080/00224490409552210</w:t>
      </w:r>
    </w:p>
    <w:p>
      <w:pPr>
        <w:spacing w:after="240" w:line="480"/>
      </w:pPr>
      <w:r>
        <w:rPr>
          <w:rFonts w:ascii="Times New Roman" w:cs="Times New Roman" w:eastAsia="Times New Roman" w:hAnsi="Times New Roman"/>
          <w:sz w:val="24"/>
          <w:szCs w:val="24"/>
        </w:rPr>
        <w:t xml:space="preserve">Case, A., &amp; Deaton, A. (2020). </w:t>
      </w:r>
      <w:r>
        <w:rPr>
          <w:rFonts w:ascii="Times New Roman" w:cs="Times New Roman" w:eastAsia="Times New Roman" w:hAnsi="Times New Roman"/>
          <w:i/>
          <w:iCs/>
          <w:sz w:val="24"/>
          <w:szCs w:val="24"/>
        </w:rPr>
        <w:t xml:space="preserve">Deaths of despair and the future of capitalism</w:t>
      </w:r>
      <w:r>
        <w:rPr>
          <w:rFonts w:ascii="Times New Roman" w:cs="Times New Roman" w:eastAsia="Times New Roman" w:hAnsi="Times New Roman"/>
          <w:sz w:val="24"/>
          <w:szCs w:val="24"/>
        </w:rPr>
        <w:t xml:space="preserve">. Princeton University Press.</w:t>
      </w:r>
    </w:p>
    <w:p>
      <w:pPr>
        <w:spacing w:after="240" w:line="480"/>
      </w:pPr>
      <w:r>
        <w:rPr>
          <w:rFonts w:ascii="Times New Roman" w:cs="Times New Roman" w:eastAsia="Times New Roman" w:hAnsi="Times New Roman"/>
          <w:sz w:val="24"/>
          <w:szCs w:val="24"/>
        </w:rPr>
        <w:t xml:space="preserve">Central Statistical Office of Poland (GUS). (2023). </w:t>
      </w:r>
      <w:r>
        <w:rPr>
          <w:rFonts w:ascii="Times New Roman" w:cs="Times New Roman" w:eastAsia="Times New Roman" w:hAnsi="Times New Roman"/>
          <w:i/>
          <w:iCs/>
          <w:sz w:val="24"/>
          <w:szCs w:val="24"/>
        </w:rPr>
        <w:t xml:space="preserve">Demographic yearbook of Poland 2023</w:t>
      </w:r>
      <w:r>
        <w:rPr>
          <w:rFonts w:ascii="Times New Roman" w:cs="Times New Roman" w:eastAsia="Times New Roman" w:hAnsi="Times New Roman"/>
          <w:sz w:val="24"/>
          <w:szCs w:val="24"/>
        </w:rPr>
        <w:t xml:space="preserve">. GUS.</w:t>
      </w:r>
    </w:p>
    <w:p>
      <w:pPr>
        <w:spacing w:after="240" w:line="480"/>
      </w:pPr>
      <w:r>
        <w:rPr>
          <w:rFonts w:ascii="Times New Roman" w:cs="Times New Roman" w:eastAsia="Times New Roman" w:hAnsi="Times New Roman"/>
          <w:sz w:val="24"/>
          <w:szCs w:val="24"/>
        </w:rPr>
        <w:t xml:space="preserve">Chhin, C. S., Bleeker, M. M., &amp; Jacobs, J. E. (2008). Gender-typed occupational choices: The long-term impact of parents' beliefs and expectations. In H. M. G. Watt &amp; J. S. Eccles (Eds.), </w:t>
      </w:r>
      <w:r>
        <w:rPr>
          <w:rFonts w:ascii="Times New Roman" w:cs="Times New Roman" w:eastAsia="Times New Roman" w:hAnsi="Times New Roman"/>
          <w:i/>
          <w:iCs/>
          <w:sz w:val="24"/>
          <w:szCs w:val="24"/>
        </w:rPr>
        <w:t xml:space="preserve">Gender and occupational outcomes: Longitudinal assessments of individual, social, and cultural influences</w:t>
      </w:r>
      <w:r>
        <w:rPr>
          <w:rFonts w:ascii="Times New Roman" w:cs="Times New Roman" w:eastAsia="Times New Roman" w:hAnsi="Times New Roman"/>
          <w:sz w:val="24"/>
          <w:szCs w:val="24"/>
        </w:rPr>
        <w:t xml:space="preserve"> (pp. 215–234). American Psychological Association.</w:t>
      </w:r>
    </w:p>
    <w:p>
      <w:pPr>
        <w:spacing w:after="240" w:line="480"/>
      </w:pPr>
      <w:r>
        <w:rPr>
          <w:rFonts w:ascii="Times New Roman" w:cs="Times New Roman" w:eastAsia="Times New Roman" w:hAnsi="Times New Roman"/>
          <w:sz w:val="24"/>
          <w:szCs w:val="24"/>
        </w:rPr>
        <w:t xml:space="preserve">Connell, R. W. (1995). </w:t>
      </w:r>
      <w:r>
        <w:rPr>
          <w:rFonts w:ascii="Times New Roman" w:cs="Times New Roman" w:eastAsia="Times New Roman" w:hAnsi="Times New Roman"/>
          <w:i/>
          <w:iCs/>
          <w:sz w:val="24"/>
          <w:szCs w:val="24"/>
        </w:rPr>
        <w:t xml:space="preserve">Masculinities</w:t>
      </w:r>
      <w:r>
        <w:rPr>
          <w:rFonts w:ascii="Times New Roman" w:cs="Times New Roman" w:eastAsia="Times New Roman" w:hAnsi="Times New Roman"/>
          <w:sz w:val="24"/>
          <w:szCs w:val="24"/>
        </w:rPr>
        <w:t xml:space="preserve">. University of California Press.</w:t>
      </w:r>
    </w:p>
    <w:p>
      <w:pPr>
        <w:spacing w:after="240" w:line="480"/>
      </w:pPr>
      <w:r>
        <w:rPr>
          <w:rFonts w:ascii="Times New Roman" w:cs="Times New Roman" w:eastAsia="Times New Roman" w:hAnsi="Times New Roman"/>
          <w:sz w:val="24"/>
          <w:szCs w:val="24"/>
        </w:rPr>
        <w:t xml:space="preserve">Courtenay, W. H. (2000). Constructions of masculinity and their influence on men's well-being: A theory of gender and health. </w:t>
      </w:r>
      <w:r>
        <w:rPr>
          <w:rFonts w:ascii="Times New Roman" w:cs="Times New Roman" w:eastAsia="Times New Roman" w:hAnsi="Times New Roman"/>
          <w:i/>
          <w:iCs/>
          <w:sz w:val="24"/>
          <w:szCs w:val="24"/>
        </w:rPr>
        <w:t xml:space="preserve">Social Science &amp; Medicine, 50</w:t>
      </w:r>
      <w:r>
        <w:rPr>
          <w:rFonts w:ascii="Times New Roman" w:cs="Times New Roman" w:eastAsia="Times New Roman" w:hAnsi="Times New Roman"/>
          <w:sz w:val="24"/>
          <w:szCs w:val="24"/>
        </w:rPr>
        <w:t xml:space="preserve">(10), 1385–1401. https://doi.org/10.1016/S0277-9536(99)00390-1</w:t>
      </w:r>
    </w:p>
    <w:p>
      <w:pPr>
        <w:spacing w:after="240" w:line="480"/>
      </w:pPr>
      <w:r>
        <w:rPr>
          <w:rFonts w:ascii="Times New Roman" w:cs="Times New Roman" w:eastAsia="Times New Roman" w:hAnsi="Times New Roman"/>
          <w:sz w:val="24"/>
          <w:szCs w:val="24"/>
        </w:rPr>
        <w:t xml:space="preserve">Endendijk, J. J., Groeneveld, M. G., Bakermans-Kranenburg, M. J., &amp; Mesman, J. (2016). Gender-differentiated parenting revisited: Meta-analysis reveals very few differences in parental control of boys and girls. </w:t>
      </w:r>
      <w:r>
        <w:rPr>
          <w:rFonts w:ascii="Times New Roman" w:cs="Times New Roman" w:eastAsia="Times New Roman" w:hAnsi="Times New Roman"/>
          <w:i/>
          <w:iCs/>
          <w:sz w:val="24"/>
          <w:szCs w:val="24"/>
        </w:rPr>
        <w:t xml:space="preserve">PLOS ONE, 11</w:t>
      </w:r>
      <w:r>
        <w:rPr>
          <w:rFonts w:ascii="Times New Roman" w:cs="Times New Roman" w:eastAsia="Times New Roman" w:hAnsi="Times New Roman"/>
          <w:sz w:val="24"/>
          <w:szCs w:val="24"/>
        </w:rPr>
        <w:t xml:space="preserve">(7), e0159193. https://doi.org/10.1371/journal.pone.0159193</w:t>
      </w:r>
    </w:p>
    <w:p>
      <w:pPr>
        <w:spacing w:after="240" w:line="480"/>
      </w:pPr>
      <w:r>
        <w:rPr>
          <w:rFonts w:ascii="Times New Roman" w:cs="Times New Roman" w:eastAsia="Times New Roman" w:hAnsi="Times New Roman"/>
          <w:sz w:val="24"/>
          <w:szCs w:val="24"/>
        </w:rPr>
        <w:t xml:space="preserve">Endendijk, J. J., Groeneveld, M. G., van Berkel, S. R., Hallers-Haalboom, E. T., Mesman, J., &amp; Bakermans-Kranenburg, M. J. (2013). Gender stereotypes in the family context: Mothers, fathers, and siblings. </w:t>
      </w:r>
      <w:r>
        <w:rPr>
          <w:rFonts w:ascii="Times New Roman" w:cs="Times New Roman" w:eastAsia="Times New Roman" w:hAnsi="Times New Roman"/>
          <w:i/>
          <w:iCs/>
          <w:sz w:val="24"/>
          <w:szCs w:val="24"/>
        </w:rPr>
        <w:t xml:space="preserve">Sex Roles, 68</w:t>
      </w:r>
      <w:r>
        <w:rPr>
          <w:rFonts w:ascii="Times New Roman" w:cs="Times New Roman" w:eastAsia="Times New Roman" w:hAnsi="Times New Roman"/>
          <w:sz w:val="24"/>
          <w:szCs w:val="24"/>
        </w:rPr>
        <w:t xml:space="preserve">(9–10), 577–590. https://doi.org/10.1007/s11199-013-0265-4</w:t>
      </w:r>
    </w:p>
    <w:p>
      <w:pPr>
        <w:spacing w:after="240" w:line="480"/>
      </w:pPr>
      <w:r>
        <w:rPr>
          <w:rFonts w:ascii="Times New Roman" w:cs="Times New Roman" w:eastAsia="Times New Roman" w:hAnsi="Times New Roman"/>
          <w:sz w:val="24"/>
          <w:szCs w:val="24"/>
        </w:rPr>
        <w:t xml:space="preserve">Henrich, J., Boyd, R., &amp; Richerson, P. J. (2012). The puzzle of monogamous marriage. </w:t>
      </w:r>
      <w:r>
        <w:rPr>
          <w:rFonts w:ascii="Times New Roman" w:cs="Times New Roman" w:eastAsia="Times New Roman" w:hAnsi="Times New Roman"/>
          <w:i/>
          <w:iCs/>
          <w:sz w:val="24"/>
          <w:szCs w:val="24"/>
        </w:rPr>
        <w:t xml:space="preserve">Philosophical Transactions of the Royal Society B: Biological Sciences, 367</w:t>
      </w:r>
      <w:r>
        <w:rPr>
          <w:rFonts w:ascii="Times New Roman" w:cs="Times New Roman" w:eastAsia="Times New Roman" w:hAnsi="Times New Roman"/>
          <w:sz w:val="24"/>
          <w:szCs w:val="24"/>
        </w:rPr>
        <w:t xml:space="preserve">(1589), 657–669. https://doi.org/10.1098/rstb.2011.0290</w:t>
      </w:r>
    </w:p>
    <w:p>
      <w:pPr>
        <w:spacing w:after="240" w:line="480"/>
      </w:pPr>
      <w:r>
        <w:rPr>
          <w:rFonts w:ascii="Times New Roman" w:cs="Times New Roman" w:eastAsia="Times New Roman" w:hAnsi="Times New Roman"/>
          <w:sz w:val="24"/>
          <w:szCs w:val="24"/>
        </w:rPr>
        <w:t xml:space="preserve">Henrich, J., Heine, S. J., &amp; Norenzayan, A. (2010). The weirdest people in the world? </w:t>
      </w:r>
      <w:r>
        <w:rPr>
          <w:rFonts w:ascii="Times New Roman" w:cs="Times New Roman" w:eastAsia="Times New Roman" w:hAnsi="Times New Roman"/>
          <w:i/>
          <w:iCs/>
          <w:sz w:val="24"/>
          <w:szCs w:val="24"/>
        </w:rPr>
        <w:t xml:space="preserve">Behavioral and Brain Sciences, 33</w:t>
      </w:r>
      <w:r>
        <w:rPr>
          <w:rFonts w:ascii="Times New Roman" w:cs="Times New Roman" w:eastAsia="Times New Roman" w:hAnsi="Times New Roman"/>
          <w:sz w:val="24"/>
          <w:szCs w:val="24"/>
        </w:rPr>
        <w:t xml:space="preserve">(2–3), 61–83. https://doi.org/10.1017/S0140525X0999152X</w:t>
      </w:r>
    </w:p>
    <w:p>
      <w:pPr>
        <w:spacing w:after="240" w:line="480"/>
      </w:pPr>
      <w:r>
        <w:rPr>
          <w:rFonts w:ascii="Times New Roman" w:cs="Times New Roman" w:eastAsia="Times New Roman" w:hAnsi="Times New Roman"/>
          <w:sz w:val="24"/>
          <w:szCs w:val="24"/>
        </w:rPr>
        <w:t xml:space="preserve">Herskind, A. M., McGue, M., Holm, N. V., Sørensen, T. I., Harvald, B., &amp; Vaupel, J. W. (1996). The heritability of human longevity: A population-based study of 2872 Danish twin pairs born 1870–1900. </w:t>
      </w:r>
      <w:r>
        <w:rPr>
          <w:rFonts w:ascii="Times New Roman" w:cs="Times New Roman" w:eastAsia="Times New Roman" w:hAnsi="Times New Roman"/>
          <w:i/>
          <w:iCs/>
          <w:sz w:val="24"/>
          <w:szCs w:val="24"/>
        </w:rPr>
        <w:t xml:space="preserve">Human Genetics, 97</w:t>
      </w:r>
      <w:r>
        <w:rPr>
          <w:rFonts w:ascii="Times New Roman" w:cs="Times New Roman" w:eastAsia="Times New Roman" w:hAnsi="Times New Roman"/>
          <w:sz w:val="24"/>
          <w:szCs w:val="24"/>
        </w:rPr>
        <w:t xml:space="preserve">(3), 319–323. https://doi.org/10.1007/BF02185763</w:t>
      </w:r>
    </w:p>
    <w:p>
      <w:pPr>
        <w:spacing w:after="240" w:line="480"/>
      </w:pPr>
      <w:r>
        <w:rPr>
          <w:rFonts w:ascii="Times New Roman" w:cs="Times New Roman" w:eastAsia="Times New Roman" w:hAnsi="Times New Roman"/>
          <w:sz w:val="24"/>
          <w:szCs w:val="24"/>
        </w:rPr>
        <w:t xml:space="preserve">Kågesten, A., Gibbs, S., Blum, R. W., Moreau, C., Chandra-Mouli, V., Herbert, A., &amp; Amin, A. (2016). Understanding factors that shape gender attitudes in early adolescence globally: A mixed-methods systematic review. </w:t>
      </w:r>
      <w:r>
        <w:rPr>
          <w:rFonts w:ascii="Times New Roman" w:cs="Times New Roman" w:eastAsia="Times New Roman" w:hAnsi="Times New Roman"/>
          <w:i/>
          <w:iCs/>
          <w:sz w:val="24"/>
          <w:szCs w:val="24"/>
        </w:rPr>
        <w:t xml:space="preserve">PLOS ONE, 11</w:t>
      </w:r>
      <w:r>
        <w:rPr>
          <w:rFonts w:ascii="Times New Roman" w:cs="Times New Roman" w:eastAsia="Times New Roman" w:hAnsi="Times New Roman"/>
          <w:sz w:val="24"/>
          <w:szCs w:val="24"/>
        </w:rPr>
        <w:t xml:space="preserve">(6), e0157805. https://doi.org/10.1371/journal.pone.0157805</w:t>
      </w:r>
    </w:p>
    <w:p>
      <w:pPr>
        <w:spacing w:after="240" w:line="480"/>
      </w:pPr>
      <w:r>
        <w:rPr>
          <w:rFonts w:ascii="Times New Roman" w:cs="Times New Roman" w:eastAsia="Times New Roman" w:hAnsi="Times New Roman"/>
          <w:sz w:val="24"/>
          <w:szCs w:val="24"/>
        </w:rPr>
        <w:t xml:space="preserve">Kandiyoti, D. (1988). Bargaining with patriarchy. </w:t>
      </w:r>
      <w:r>
        <w:rPr>
          <w:rFonts w:ascii="Times New Roman" w:cs="Times New Roman" w:eastAsia="Times New Roman" w:hAnsi="Times New Roman"/>
          <w:i/>
          <w:iCs/>
          <w:sz w:val="24"/>
          <w:szCs w:val="24"/>
        </w:rPr>
        <w:t xml:space="preserve">Gender &amp; Society, 2</w:t>
      </w:r>
      <w:r>
        <w:rPr>
          <w:rFonts w:ascii="Times New Roman" w:cs="Times New Roman" w:eastAsia="Times New Roman" w:hAnsi="Times New Roman"/>
          <w:sz w:val="24"/>
          <w:szCs w:val="24"/>
        </w:rPr>
        <w:t xml:space="preserve">(3), 274–290. https://doi.org/10.1177/089124388002003004</w:t>
      </w:r>
    </w:p>
    <w:p>
      <w:pPr>
        <w:spacing w:after="240" w:line="480"/>
      </w:pPr>
      <w:r>
        <w:rPr>
          <w:rFonts w:ascii="Times New Roman" w:cs="Times New Roman" w:eastAsia="Times New Roman" w:hAnsi="Times New Roman"/>
          <w:sz w:val="24"/>
          <w:szCs w:val="24"/>
        </w:rPr>
        <w:t xml:space="preserve">Levant, R. F., Hall, R. J., &amp; Rankin, T. J. (2013). Male Role Norms Inventory–Short Form (MRNI-SF): Development, confirmatory factor analytic investigation of structure, and measurement invariance across gender. </w:t>
      </w:r>
      <w:r>
        <w:rPr>
          <w:rFonts w:ascii="Times New Roman" w:cs="Times New Roman" w:eastAsia="Times New Roman" w:hAnsi="Times New Roman"/>
          <w:i/>
          <w:iCs/>
          <w:sz w:val="24"/>
          <w:szCs w:val="24"/>
        </w:rPr>
        <w:t xml:space="preserve">Journal of Counseling Psychology, 60</w:t>
      </w:r>
      <w:r>
        <w:rPr>
          <w:rFonts w:ascii="Times New Roman" w:cs="Times New Roman" w:eastAsia="Times New Roman" w:hAnsi="Times New Roman"/>
          <w:sz w:val="24"/>
          <w:szCs w:val="24"/>
        </w:rPr>
        <w:t xml:space="preserve">(2), 228–238. https://doi.org/10.1037/a0031545</w:t>
      </w:r>
    </w:p>
    <w:p>
      <w:pPr>
        <w:spacing w:after="240" w:line="480"/>
      </w:pPr>
      <w:r>
        <w:rPr>
          <w:rFonts w:ascii="Times New Roman" w:cs="Times New Roman" w:eastAsia="Times New Roman" w:hAnsi="Times New Roman"/>
          <w:sz w:val="24"/>
          <w:szCs w:val="24"/>
        </w:rPr>
        <w:t xml:space="preserve">Luy, M. (2003). Causes of male excess mortality: Insights from cloistered populations. </w:t>
      </w:r>
      <w:r>
        <w:rPr>
          <w:rFonts w:ascii="Times New Roman" w:cs="Times New Roman" w:eastAsia="Times New Roman" w:hAnsi="Times New Roman"/>
          <w:i/>
          <w:iCs/>
          <w:sz w:val="24"/>
          <w:szCs w:val="24"/>
        </w:rPr>
        <w:t xml:space="preserve">Population and Development Review, 29</w:t>
      </w:r>
      <w:r>
        <w:rPr>
          <w:rFonts w:ascii="Times New Roman" w:cs="Times New Roman" w:eastAsia="Times New Roman" w:hAnsi="Times New Roman"/>
          <w:sz w:val="24"/>
          <w:szCs w:val="24"/>
        </w:rPr>
        <w:t xml:space="preserve">(4), 647–676. https://doi.org/10.1111/j.1728-4457.2003.00647.x</w:t>
      </w:r>
    </w:p>
    <w:p>
      <w:pPr>
        <w:spacing w:after="240" w:line="480"/>
      </w:pPr>
      <w:r>
        <w:rPr>
          <w:rFonts w:ascii="Times New Roman" w:cs="Times New Roman" w:eastAsia="Times New Roman" w:hAnsi="Times New Roman"/>
          <w:sz w:val="24"/>
          <w:szCs w:val="24"/>
        </w:rPr>
        <w:t xml:space="preserve">OECD. (2022). </w:t>
      </w:r>
      <w:r>
        <w:rPr>
          <w:rFonts w:ascii="Times New Roman" w:cs="Times New Roman" w:eastAsia="Times New Roman" w:hAnsi="Times New Roman"/>
          <w:i/>
          <w:iCs/>
          <w:sz w:val="24"/>
          <w:szCs w:val="24"/>
        </w:rPr>
        <w:t xml:space="preserve">OECD family database: Time use across the world</w:t>
      </w:r>
      <w:r>
        <w:rPr>
          <w:rFonts w:ascii="Times New Roman" w:cs="Times New Roman" w:eastAsia="Times New Roman" w:hAnsi="Times New Roman"/>
          <w:sz w:val="24"/>
          <w:szCs w:val="24"/>
        </w:rPr>
        <w:t xml:space="preserve">. OECD Publishing. https://www.oecd.org/els/family/database.htm</w:t>
      </w:r>
    </w:p>
    <w:p>
      <w:pPr>
        <w:spacing w:after="240" w:line="480"/>
      </w:pPr>
      <w:r>
        <w:rPr>
          <w:rFonts w:ascii="Times New Roman" w:cs="Times New Roman" w:eastAsia="Times New Roman" w:hAnsi="Times New Roman"/>
          <w:sz w:val="24"/>
          <w:szCs w:val="24"/>
        </w:rPr>
        <w:t xml:space="preserve">Rudman, L. A., &amp; Fetterolf, J. C. (2014). How accurate are metaperceptions of sexism? Evidence for the illusion of antagonism. </w:t>
      </w:r>
      <w:r>
        <w:rPr>
          <w:rFonts w:ascii="Times New Roman" w:cs="Times New Roman" w:eastAsia="Times New Roman" w:hAnsi="Times New Roman"/>
          <w:i/>
          <w:iCs/>
          <w:sz w:val="24"/>
          <w:szCs w:val="24"/>
        </w:rPr>
        <w:t xml:space="preserve">Group Processes &amp; Intergroup Relations, 17</w:t>
      </w:r>
      <w:r>
        <w:rPr>
          <w:rFonts w:ascii="Times New Roman" w:cs="Times New Roman" w:eastAsia="Times New Roman" w:hAnsi="Times New Roman"/>
          <w:sz w:val="24"/>
          <w:szCs w:val="24"/>
        </w:rPr>
        <w:t xml:space="preserve">(3), 275–287. https://doi.org/10.1177/1368430213516761</w:t>
      </w:r>
    </w:p>
    <w:p>
      <w:pPr>
        <w:spacing w:after="240" w:line="480"/>
      </w:pPr>
      <w:r>
        <w:rPr>
          <w:rFonts w:ascii="Times New Roman" w:cs="Times New Roman" w:eastAsia="Times New Roman" w:hAnsi="Times New Roman"/>
          <w:sz w:val="24"/>
          <w:szCs w:val="24"/>
        </w:rPr>
        <w:t xml:space="preserve">Smuts, B. (1995). The evolutionary origins of patriarchy. </w:t>
      </w:r>
      <w:r>
        <w:rPr>
          <w:rFonts w:ascii="Times New Roman" w:cs="Times New Roman" w:eastAsia="Times New Roman" w:hAnsi="Times New Roman"/>
          <w:i/>
          <w:iCs/>
          <w:sz w:val="24"/>
          <w:szCs w:val="24"/>
        </w:rPr>
        <w:t xml:space="preserve">Human Nature, 6</w:t>
      </w:r>
      <w:r>
        <w:rPr>
          <w:rFonts w:ascii="Times New Roman" w:cs="Times New Roman" w:eastAsia="Times New Roman" w:hAnsi="Times New Roman"/>
          <w:sz w:val="24"/>
          <w:szCs w:val="24"/>
        </w:rPr>
        <w:t xml:space="preserve">(1), 1–32. https://doi.org/10.1007/BF02734133</w:t>
      </w:r>
    </w:p>
    <w:p>
      <w:pPr>
        <w:spacing w:after="240" w:line="480"/>
      </w:pPr>
      <w:r>
        <w:rPr>
          <w:rFonts w:ascii="Times New Roman" w:cs="Times New Roman" w:eastAsia="Times New Roman" w:hAnsi="Times New Roman"/>
          <w:sz w:val="24"/>
          <w:szCs w:val="24"/>
        </w:rPr>
        <w:t xml:space="preserve">Thomassin, K., Bucsea, O., Madigan, S., &amp; Bhalodia, P. (2019). Implicit parenting biases in emotion socialization: Differential associations with boys and girls. </w:t>
      </w:r>
      <w:r>
        <w:rPr>
          <w:rFonts w:ascii="Times New Roman" w:cs="Times New Roman" w:eastAsia="Times New Roman" w:hAnsi="Times New Roman"/>
          <w:i/>
          <w:iCs/>
          <w:sz w:val="24"/>
          <w:szCs w:val="24"/>
        </w:rPr>
        <w:t xml:space="preserve">Canadian Journal of Behavioural Science, 51</w:t>
      </w:r>
      <w:r>
        <w:rPr>
          <w:rFonts w:ascii="Times New Roman" w:cs="Times New Roman" w:eastAsia="Times New Roman" w:hAnsi="Times New Roman"/>
          <w:sz w:val="24"/>
          <w:szCs w:val="24"/>
        </w:rPr>
        <w:t xml:space="preserve">(2), 141–149. https://doi.org/10.1037/cbs0000120</w:t>
      </w:r>
    </w:p>
    <w:p>
      <w:pPr>
        <w:spacing w:after="240" w:line="480"/>
      </w:pPr>
      <w:r>
        <w:rPr>
          <w:rFonts w:ascii="Times New Roman" w:cs="Times New Roman" w:eastAsia="Times New Roman" w:hAnsi="Times New Roman"/>
          <w:sz w:val="24"/>
          <w:szCs w:val="24"/>
        </w:rPr>
        <w:t xml:space="preserve">Trivers, R. L. (1972). Parental investment and sexual selection. In B. Campbell (Ed.), </w:t>
      </w:r>
      <w:r>
        <w:rPr>
          <w:rFonts w:ascii="Times New Roman" w:cs="Times New Roman" w:eastAsia="Times New Roman" w:hAnsi="Times New Roman"/>
          <w:i/>
          <w:iCs/>
          <w:sz w:val="24"/>
          <w:szCs w:val="24"/>
        </w:rPr>
        <w:t xml:space="preserve">Sexual selection and the descent of man, 1871–1971</w:t>
      </w:r>
      <w:r>
        <w:rPr>
          <w:rFonts w:ascii="Times New Roman" w:cs="Times New Roman" w:eastAsia="Times New Roman" w:hAnsi="Times New Roman"/>
          <w:sz w:val="24"/>
          <w:szCs w:val="24"/>
        </w:rPr>
        <w:t xml:space="preserve"> (pp. 136–179). Aldine Publishing.</w:t>
      </w:r>
    </w:p>
    <w:p>
      <w:pPr>
        <w:spacing w:after="240" w:line="480"/>
      </w:pPr>
      <w:r>
        <w:rPr>
          <w:rFonts w:ascii="Times New Roman" w:cs="Times New Roman" w:eastAsia="Times New Roman" w:hAnsi="Times New Roman"/>
          <w:sz w:val="24"/>
          <w:szCs w:val="24"/>
        </w:rPr>
        <w:t xml:space="preserve">Tyson, G., Perta, V. C., Haddadi, H., &amp; Seto, M. C. (2016). A first look at user activity on Tinder. </w:t>
      </w:r>
      <w:r>
        <w:rPr>
          <w:rFonts w:ascii="Times New Roman" w:cs="Times New Roman" w:eastAsia="Times New Roman" w:hAnsi="Times New Roman"/>
          <w:i/>
          <w:iCs/>
          <w:sz w:val="24"/>
          <w:szCs w:val="24"/>
        </w:rPr>
        <w:t xml:space="preserve">Proceedings of the 2016 IEEE/ACM International Conference on Advances in Social Networks Analysis and Mining</w:t>
      </w:r>
      <w:r>
        <w:rPr>
          <w:rFonts w:ascii="Times New Roman" w:cs="Times New Roman" w:eastAsia="Times New Roman" w:hAnsi="Times New Roman"/>
          <w:sz w:val="24"/>
          <w:szCs w:val="24"/>
        </w:rPr>
        <w:t xml:space="preserve">, 461–466. https://doi.org/10.1109/ASONAM.2016.7752275</w:t>
      </w:r>
    </w:p>
    <w:p>
      <w:pPr>
        <w:spacing w:after="240" w:line="480"/>
      </w:pPr>
      <w:r>
        <w:rPr>
          <w:rFonts w:ascii="Times New Roman" w:cs="Times New Roman" w:eastAsia="Times New Roman" w:hAnsi="Times New Roman"/>
          <w:sz w:val="24"/>
          <w:szCs w:val="24"/>
        </w:rPr>
        <w:t xml:space="preserve">UNESCO. (2023). </w:t>
      </w:r>
      <w:r>
        <w:rPr>
          <w:rFonts w:ascii="Times New Roman" w:cs="Times New Roman" w:eastAsia="Times New Roman" w:hAnsi="Times New Roman"/>
          <w:i/>
          <w:iCs/>
          <w:sz w:val="24"/>
          <w:szCs w:val="24"/>
        </w:rPr>
        <w:t xml:space="preserve">Global education monitoring report 2023: Gender report</w:t>
      </w:r>
      <w:r>
        <w:rPr>
          <w:rFonts w:ascii="Times New Roman" w:cs="Times New Roman" w:eastAsia="Times New Roman" w:hAnsi="Times New Roman"/>
          <w:sz w:val="24"/>
          <w:szCs w:val="24"/>
        </w:rPr>
        <w:t xml:space="preserve">. UNESCO Publishing.</w:t>
      </w:r>
    </w:p>
    <w:p>
      <w:pPr>
        <w:spacing w:after="240" w:line="480"/>
      </w:pPr>
      <w:r>
        <w:rPr>
          <w:rFonts w:ascii="Times New Roman" w:cs="Times New Roman" w:eastAsia="Times New Roman" w:hAnsi="Times New Roman"/>
          <w:sz w:val="24"/>
          <w:szCs w:val="24"/>
        </w:rPr>
        <w:t xml:space="preserve">Vaillancourt, T. (2013). Do human females use indirect aggression as an intrasexual competition strategy? </w:t>
      </w:r>
      <w:r>
        <w:rPr>
          <w:rFonts w:ascii="Times New Roman" w:cs="Times New Roman" w:eastAsia="Times New Roman" w:hAnsi="Times New Roman"/>
          <w:i/>
          <w:iCs/>
          <w:sz w:val="24"/>
          <w:szCs w:val="24"/>
        </w:rPr>
        <w:t xml:space="preserve">Philosophical Transactions of the Royal Society B: Biological Sciences, 368</w:t>
      </w:r>
      <w:r>
        <w:rPr>
          <w:rFonts w:ascii="Times New Roman" w:cs="Times New Roman" w:eastAsia="Times New Roman" w:hAnsi="Times New Roman"/>
          <w:sz w:val="24"/>
          <w:szCs w:val="24"/>
        </w:rPr>
        <w:t xml:space="preserve">(1631), 20130080. https://doi.org/10.1098/rstb.2013.0080</w:t>
      </w:r>
    </w:p>
    <w:p>
      <w:pPr>
        <w:spacing w:after="240" w:line="480"/>
      </w:pPr>
      <w:r>
        <w:rPr>
          <w:rFonts w:ascii="Times New Roman" w:cs="Times New Roman" w:eastAsia="Times New Roman" w:hAnsi="Times New Roman"/>
          <w:sz w:val="24"/>
          <w:szCs w:val="24"/>
        </w:rPr>
        <w:t xml:space="preserve">Walter, K. V., Conroy-Beam, D., Buss, D. M., Asao, K., Sorokowska, A., Sorokowski, P., ... &amp; Zupančič, M. (2020). Sex differences in mate preferences across 45 countries: A large-scale replication. </w:t>
      </w:r>
      <w:r>
        <w:rPr>
          <w:rFonts w:ascii="Times New Roman" w:cs="Times New Roman" w:eastAsia="Times New Roman" w:hAnsi="Times New Roman"/>
          <w:i/>
          <w:iCs/>
          <w:sz w:val="24"/>
          <w:szCs w:val="24"/>
        </w:rPr>
        <w:t xml:space="preserve">Psychological Science, 31</w:t>
      </w:r>
      <w:r>
        <w:rPr>
          <w:rFonts w:ascii="Times New Roman" w:cs="Times New Roman" w:eastAsia="Times New Roman" w:hAnsi="Times New Roman"/>
          <w:sz w:val="24"/>
          <w:szCs w:val="24"/>
        </w:rPr>
        <w:t xml:space="preserve">(4), 408–423. https://doi.org/10.1177/0956797620904154</w:t>
      </w:r>
    </w:p>
    <w:p>
      <w:pPr>
        <w:spacing w:after="240" w:line="480"/>
      </w:pPr>
      <w:r>
        <w:rPr>
          <w:rFonts w:ascii="Times New Roman" w:cs="Times New Roman" w:eastAsia="Times New Roman" w:hAnsi="Times New Roman"/>
          <w:sz w:val="24"/>
          <w:szCs w:val="24"/>
        </w:rPr>
        <w:t xml:space="preserve">Whitaker, D. J., Haileyesus, T., Swahn, M., &amp; Saltzman, L. S. (2007). Differences in frequency of violence and reported injury between relationships with reciprocal and nonreciprocal intimate partner violence. </w:t>
      </w:r>
      <w:r>
        <w:rPr>
          <w:rFonts w:ascii="Times New Roman" w:cs="Times New Roman" w:eastAsia="Times New Roman" w:hAnsi="Times New Roman"/>
          <w:i/>
          <w:iCs/>
          <w:sz w:val="24"/>
          <w:szCs w:val="24"/>
        </w:rPr>
        <w:t xml:space="preserve">American Journal of Public Health, 97</w:t>
      </w:r>
      <w:r>
        <w:rPr>
          <w:rFonts w:ascii="Times New Roman" w:cs="Times New Roman" w:eastAsia="Times New Roman" w:hAnsi="Times New Roman"/>
          <w:sz w:val="24"/>
          <w:szCs w:val="24"/>
        </w:rPr>
        <w:t xml:space="preserve">(5), 941–947. https://doi.org/10.2105/AJPH.2005.079020</w:t>
      </w:r>
    </w:p>
    <w:p>
      <w:pPr>
        <w:spacing w:after="240" w:line="480"/>
      </w:pPr>
      <w:r>
        <w:rPr>
          <w:rFonts w:ascii="Times New Roman" w:cs="Times New Roman" w:eastAsia="Times New Roman" w:hAnsi="Times New Roman"/>
          <w:sz w:val="24"/>
          <w:szCs w:val="24"/>
        </w:rPr>
        <w:t xml:space="preserve">Wilson, M., &amp; Daly, M. (1985). Competitiveness, risk taking, and violence: The young male syndrome. </w:t>
      </w:r>
      <w:r>
        <w:rPr>
          <w:rFonts w:ascii="Times New Roman" w:cs="Times New Roman" w:eastAsia="Times New Roman" w:hAnsi="Times New Roman"/>
          <w:i/>
          <w:iCs/>
          <w:sz w:val="24"/>
          <w:szCs w:val="24"/>
        </w:rPr>
        <w:t xml:space="preserve">Ethology and Sociobiology, 6</w:t>
      </w:r>
      <w:r>
        <w:rPr>
          <w:rFonts w:ascii="Times New Roman" w:cs="Times New Roman" w:eastAsia="Times New Roman" w:hAnsi="Times New Roman"/>
          <w:sz w:val="24"/>
          <w:szCs w:val="24"/>
        </w:rPr>
        <w:t xml:space="preserve">(1), 59–73. https://doi.org/10.1016/0162-3095(85)90041-X</w:t>
      </w:r>
    </w:p>
    <w:p>
      <w:pPr>
        <w:spacing w:after="240" w:line="480"/>
      </w:pPr>
      <w:r>
        <w:rPr>
          <w:rFonts w:ascii="Times New Roman" w:cs="Times New Roman" w:eastAsia="Times New Roman" w:hAnsi="Times New Roman"/>
          <w:sz w:val="24"/>
          <w:szCs w:val="24"/>
        </w:rPr>
        <w:t xml:space="preserve">World Health Organization. (2019). </w:t>
      </w:r>
      <w:r>
        <w:rPr>
          <w:rFonts w:ascii="Times New Roman" w:cs="Times New Roman" w:eastAsia="Times New Roman" w:hAnsi="Times New Roman"/>
          <w:i/>
          <w:iCs/>
          <w:sz w:val="24"/>
          <w:szCs w:val="24"/>
        </w:rPr>
        <w:t xml:space="preserve">Suicide in the world: Global health estimates</w:t>
      </w:r>
      <w:r>
        <w:rPr>
          <w:rFonts w:ascii="Times New Roman" w:cs="Times New Roman" w:eastAsia="Times New Roman" w:hAnsi="Times New Roman"/>
          <w:sz w:val="24"/>
          <w:szCs w:val="24"/>
        </w:rPr>
        <w:t xml:space="preserve">. WHO.</w:t>
      </w:r>
    </w:p>
    <w:p>
      <w:pPr>
        <w:spacing w:after="240" w:line="480"/>
      </w:pPr>
      <w:r>
        <w:rPr>
          <w:rFonts w:ascii="Times New Roman" w:cs="Times New Roman" w:eastAsia="Times New Roman" w:hAnsi="Times New Roman"/>
          <w:sz w:val="24"/>
          <w:szCs w:val="24"/>
        </w:rPr>
        <w:t xml:space="preserve">World Health Organization. (2023). </w:t>
      </w:r>
      <w:r>
        <w:rPr>
          <w:rFonts w:ascii="Times New Roman" w:cs="Times New Roman" w:eastAsia="Times New Roman" w:hAnsi="Times New Roman"/>
          <w:i/>
          <w:iCs/>
          <w:sz w:val="24"/>
          <w:szCs w:val="24"/>
        </w:rPr>
        <w:t xml:space="preserve">World health statistics 2023: Monitoring health for the SDGs</w:t>
      </w:r>
      <w:r>
        <w:rPr>
          <w:rFonts w:ascii="Times New Roman" w:cs="Times New Roman" w:eastAsia="Times New Roman" w:hAnsi="Times New Roman"/>
          <w:sz w:val="24"/>
          <w:szCs w:val="24"/>
        </w:rPr>
        <w:t xml:space="preserve">. WHO.</w:t>
      </w:r>
    </w:p>
    <w:sectPr>
      <w:headerReference w:type="default" r:id="rId6"/>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LOOP OF INSUFFICIENCY</w:t>
    </w:r>
    <w:r>
      <w:rPr>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8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480" w:after="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480" w:after="240"/>
      <w:jc w:val="left"/>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before="240" w:after="120"/>
      <w:ind w:firstLine="7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2025-12-04T01:46:48.493Z</dcterms:created>
  <dcterms:modified xsi:type="dcterms:W3CDTF">2025-12-04T01:46:48.494Z</dcterms:modified>
</cp:coreProperties>
</file>

<file path=docProps/custom.xml><?xml version="1.0" encoding="utf-8"?>
<Properties xmlns="http://schemas.openxmlformats.org/officeDocument/2006/custom-properties" xmlns:vt="http://schemas.openxmlformats.org/officeDocument/2006/docPropsVTypes"/>
</file>