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810C4" w14:textId="1B75EDF8" w:rsidR="00B962D2" w:rsidRDefault="00C45E18">
      <w:pPr>
        <w:rPr>
          <w:lang w:val="pl-PL"/>
        </w:rPr>
      </w:pPr>
      <w:r>
        <w:rPr>
          <w:lang w:val="pl-PL"/>
        </w:rPr>
        <w:t>Ale kłamiesz</w:t>
      </w:r>
    </w:p>
    <w:p w14:paraId="2DBC433D" w14:textId="77777777" w:rsidR="00531779" w:rsidRPr="00531779" w:rsidRDefault="00531779" w:rsidP="00531779">
      <w:pPr>
        <w:spacing w:before="100" w:beforeAutospacing="1" w:after="100" w:afterAutospacing="1" w:line="240" w:lineRule="auto"/>
        <w:rPr>
          <w:rFonts w:ascii="Times New Roman" w:eastAsia="Times New Roman" w:hAnsi="Times New Roman" w:cs="Times New Roman"/>
          <w:kern w:val="0"/>
          <w:lang w:val="pl-PL"/>
          <w14:ligatures w14:val="none"/>
        </w:rPr>
      </w:pPr>
      <w:proofErr w:type="spellStart"/>
      <w:r w:rsidRPr="00531779">
        <w:rPr>
          <w:rFonts w:ascii="Times New Roman" w:eastAsia="Times New Roman" w:hAnsi="Times New Roman" w:cs="Times New Roman"/>
          <w:kern w:val="0"/>
          <w:lang w:val="pl-PL"/>
          <w14:ligatures w14:val="none"/>
        </w:rPr>
        <w:t>rgumenty</w:t>
      </w:r>
      <w:proofErr w:type="spellEnd"/>
      <w:r w:rsidRPr="00531779">
        <w:rPr>
          <w:rFonts w:ascii="Times New Roman" w:eastAsia="Times New Roman" w:hAnsi="Times New Roman" w:cs="Times New Roman"/>
          <w:kern w:val="0"/>
          <w:lang w:val="pl-PL"/>
          <w14:ligatures w14:val="none"/>
        </w:rPr>
        <w:t xml:space="preserve"> biologiczne twierdzą, że znaczna część różnicy jest nieunikniona. Dowody na komponenty genetyczne (XX vs XY chromosomy), hormonalne (ochronne efekty estrogenu) i immunologiczne (silniejsze systemy immunologiczne kobiet) są solidne. Różnice międzygatunkowe – u wszystkich gatunków ssaków, gdzie samce są większe niż samice, samce mają niższą długość życia – sugerują biologiczne podstawy przekraczające kulturę ludzką. Badania klasztornych populacji (zakonnice i zakonnicy) nadal pokazują przewagę żeńskiej długości życia, choć zmniejszoną (1,1 roku vs 5-6 lat w populacji ogólnej), sugerując pewien nieredukowalny komponent biologiczny. Nawet obrońcy wyjaśnień biologicznych przyznają jednak, że czynniki </w:t>
      </w:r>
      <w:proofErr w:type="spellStart"/>
      <w:r w:rsidRPr="00531779">
        <w:rPr>
          <w:rFonts w:ascii="Times New Roman" w:eastAsia="Times New Roman" w:hAnsi="Times New Roman" w:cs="Times New Roman"/>
          <w:kern w:val="0"/>
          <w:lang w:val="pl-PL"/>
          <w14:ligatures w14:val="none"/>
        </w:rPr>
        <w:t>niebiologiczne</w:t>
      </w:r>
      <w:proofErr w:type="spellEnd"/>
      <w:r w:rsidRPr="00531779">
        <w:rPr>
          <w:rFonts w:ascii="Times New Roman" w:eastAsia="Times New Roman" w:hAnsi="Times New Roman" w:cs="Times New Roman"/>
          <w:kern w:val="0"/>
          <w:lang w:val="pl-PL"/>
          <w14:ligatures w14:val="none"/>
        </w:rPr>
        <w:t xml:space="preserve"> stanowią </w:t>
      </w:r>
      <w:r w:rsidRPr="00531779">
        <w:rPr>
          <w:rFonts w:ascii="Times New Roman" w:eastAsia="Times New Roman" w:hAnsi="Times New Roman" w:cs="Times New Roman"/>
          <w:b/>
          <w:bCs/>
          <w:kern w:val="0"/>
          <w:lang w:val="pl-PL"/>
          <w14:ligatures w14:val="none"/>
        </w:rPr>
        <w:t>&gt;75% różnicy w długości życia</w:t>
      </w:r>
      <w:r w:rsidRPr="00531779">
        <w:rPr>
          <w:rFonts w:ascii="Times New Roman" w:eastAsia="Times New Roman" w:hAnsi="Times New Roman" w:cs="Times New Roman"/>
          <w:kern w:val="0"/>
          <w:lang w:val="pl-PL"/>
          <w14:ligatures w14:val="none"/>
        </w:rPr>
        <w:t xml:space="preserve"> – pytanie brzmi, czy pozostały komponent biologiczny czyni pełną równość niemożliwą lub niepożądaną.</w:t>
      </w:r>
    </w:p>
    <w:p w14:paraId="2A6C4D35" w14:textId="77777777" w:rsidR="00531779" w:rsidRPr="00531779" w:rsidRDefault="00531779" w:rsidP="00531779">
      <w:pPr>
        <w:spacing w:before="100" w:beforeAutospacing="1" w:after="100" w:afterAutospacing="1" w:line="240" w:lineRule="auto"/>
        <w:rPr>
          <w:rFonts w:ascii="Times New Roman" w:eastAsia="Times New Roman" w:hAnsi="Times New Roman" w:cs="Times New Roman"/>
          <w:kern w:val="0"/>
          <w:lang w:val="pl-PL"/>
          <w14:ligatures w14:val="none"/>
        </w:rPr>
      </w:pPr>
      <w:r w:rsidRPr="00531779">
        <w:rPr>
          <w:rFonts w:ascii="Times New Roman" w:eastAsia="Times New Roman" w:hAnsi="Times New Roman" w:cs="Times New Roman"/>
          <w:kern w:val="0"/>
          <w:lang w:val="pl-PL"/>
          <w14:ligatures w14:val="none"/>
        </w:rPr>
        <w:t>Niektórzy argumentują, że zamknięcie różnicy nie jest wykonalne lub pożądane: wymagałoby masowej inżynierii społecznej do zmiany norm męskich, niebezpieczna praca musi być wykonana przez kogoś, koszty interwencji mogą przekraczać korzyści, a wysiłki zmiany norm męskich mogą mieć niezamierzone konsekwencje. Niektóre cechy męskie (odwaga, podejmowanie ryzyka, poświęcenie) mają wartość społeczną, i może być paternalistyczne mówić mężczyznom, że nie powinni dokonywać ryzykownych wyborów. Mniejszościowy pogląd filozoficzny argumentuje, że ocenianie jakości życia nad ilość – krótkie, intensywne życie celu może być bardziej wartościowe niż dekady bezpiecznej przeciętności.</w:t>
      </w:r>
    </w:p>
    <w:p w14:paraId="17DAC020" w14:textId="77777777" w:rsidR="00531779" w:rsidRPr="00531779" w:rsidRDefault="00531779" w:rsidP="00531779">
      <w:pPr>
        <w:spacing w:before="100" w:beforeAutospacing="1" w:after="100" w:afterAutospacing="1" w:line="240" w:lineRule="auto"/>
        <w:outlineLvl w:val="1"/>
        <w:rPr>
          <w:rFonts w:ascii="Times New Roman" w:eastAsia="Times New Roman" w:hAnsi="Times New Roman" w:cs="Times New Roman"/>
          <w:b/>
          <w:bCs/>
          <w:kern w:val="0"/>
          <w:sz w:val="36"/>
          <w:szCs w:val="36"/>
          <w:lang w:val="pl-PL"/>
          <w14:ligatures w14:val="none"/>
        </w:rPr>
      </w:pPr>
      <w:r w:rsidRPr="00531779">
        <w:rPr>
          <w:rFonts w:ascii="Times New Roman" w:eastAsia="Times New Roman" w:hAnsi="Times New Roman" w:cs="Times New Roman"/>
          <w:b/>
          <w:bCs/>
          <w:kern w:val="0"/>
          <w:sz w:val="36"/>
          <w:szCs w:val="36"/>
          <w:lang w:val="pl-PL"/>
          <w14:ligatures w14:val="none"/>
        </w:rPr>
        <w:t>10. Dowody wysiłków i udanych interwencji</w:t>
      </w:r>
    </w:p>
    <w:p w14:paraId="3E09453F" w14:textId="77777777" w:rsidR="00531779" w:rsidRPr="00531779" w:rsidRDefault="00531779" w:rsidP="00531779">
      <w:pPr>
        <w:spacing w:before="100" w:beforeAutospacing="1" w:after="100" w:afterAutospacing="1" w:line="240" w:lineRule="auto"/>
        <w:rPr>
          <w:rFonts w:ascii="Times New Roman" w:eastAsia="Times New Roman" w:hAnsi="Times New Roman" w:cs="Times New Roman"/>
          <w:kern w:val="0"/>
          <w:lang w:val="pl-PL"/>
          <w14:ligatures w14:val="none"/>
        </w:rPr>
      </w:pPr>
      <w:r w:rsidRPr="00531779">
        <w:rPr>
          <w:rFonts w:ascii="Times New Roman" w:eastAsia="Times New Roman" w:hAnsi="Times New Roman" w:cs="Times New Roman"/>
          <w:kern w:val="0"/>
          <w:lang w:val="pl-PL"/>
          <w14:ligatures w14:val="none"/>
        </w:rPr>
        <w:t xml:space="preserve">Czy społeczeństwo PRÓBUJE zmniejszyć różnicę? Dowody są mieszane. Australia, Brazylia, Irlandia, Iran, Malezja, Mongolia, RPA i Quebec (Kanada) opracowały konkretne polityki zdrowia mężczyzn, a Anglia ogłosiła pierwszą strategię zdrowia mężczyzn w 2025. WHO Region Europejski ma ramy zdrowia mężczyzn. USA mają </w:t>
      </w:r>
      <w:proofErr w:type="spellStart"/>
      <w:r w:rsidRPr="00531779">
        <w:rPr>
          <w:rFonts w:ascii="Times New Roman" w:eastAsia="Times New Roman" w:hAnsi="Times New Roman" w:cs="Times New Roman"/>
          <w:kern w:val="0"/>
          <w:lang w:val="pl-PL"/>
          <w14:ligatures w14:val="none"/>
        </w:rPr>
        <w:t>Healthy</w:t>
      </w:r>
      <w:proofErr w:type="spellEnd"/>
      <w:r w:rsidRPr="00531779">
        <w:rPr>
          <w:rFonts w:ascii="Times New Roman" w:eastAsia="Times New Roman" w:hAnsi="Times New Roman" w:cs="Times New Roman"/>
          <w:kern w:val="0"/>
          <w:lang w:val="pl-PL"/>
          <w14:ligatures w14:val="none"/>
        </w:rPr>
        <w:t xml:space="preserve"> People 2030 obejmujące cele zdrowia mężczyzn, a w 2023 wprowadzono w Kongresie Ustawę o Świadomości i Poprawie Zdrowia Mężczyzn. Istnieje Sieć Zdrowia Mężczyzn i Tydzień Zdrowia Mężczyzn.</w:t>
      </w:r>
    </w:p>
    <w:p w14:paraId="04B24F84" w14:textId="77777777" w:rsidR="00531779" w:rsidRPr="00531779" w:rsidRDefault="00531779" w:rsidP="00531779">
      <w:pPr>
        <w:spacing w:before="100" w:beforeAutospacing="1" w:after="100" w:afterAutospacing="1" w:line="240" w:lineRule="auto"/>
        <w:rPr>
          <w:rFonts w:ascii="Times New Roman" w:eastAsia="Times New Roman" w:hAnsi="Times New Roman" w:cs="Times New Roman"/>
          <w:kern w:val="0"/>
          <w:lang w:val="pl-PL"/>
          <w14:ligatures w14:val="none"/>
        </w:rPr>
      </w:pPr>
      <w:r w:rsidRPr="00531779">
        <w:rPr>
          <w:rFonts w:ascii="Times New Roman" w:eastAsia="Times New Roman" w:hAnsi="Times New Roman" w:cs="Times New Roman"/>
          <w:kern w:val="0"/>
          <w:lang w:val="pl-PL"/>
          <w14:ligatures w14:val="none"/>
        </w:rPr>
        <w:t xml:space="preserve">Jednak te wysiłki są </w:t>
      </w:r>
      <w:r w:rsidRPr="00531779">
        <w:rPr>
          <w:rFonts w:ascii="Times New Roman" w:eastAsia="Times New Roman" w:hAnsi="Times New Roman" w:cs="Times New Roman"/>
          <w:b/>
          <w:bCs/>
          <w:kern w:val="0"/>
          <w:lang w:val="pl-PL"/>
          <w14:ligatures w14:val="none"/>
        </w:rPr>
        <w:t>znacznie niedofinansowane</w:t>
      </w:r>
      <w:r w:rsidRPr="00531779">
        <w:rPr>
          <w:rFonts w:ascii="Times New Roman" w:eastAsia="Times New Roman" w:hAnsi="Times New Roman" w:cs="Times New Roman"/>
          <w:kern w:val="0"/>
          <w:lang w:val="pl-PL"/>
          <w14:ligatures w14:val="none"/>
        </w:rPr>
        <w:t xml:space="preserve"> w porównaniu z inicjatywami zdrowia kobiet. USA mają Biuro Zdrowia Kobiet w NIH (utworzone w 1990), ale </w:t>
      </w:r>
      <w:r w:rsidRPr="00531779">
        <w:rPr>
          <w:rFonts w:ascii="Times New Roman" w:eastAsia="Times New Roman" w:hAnsi="Times New Roman" w:cs="Times New Roman"/>
          <w:b/>
          <w:bCs/>
          <w:kern w:val="0"/>
          <w:lang w:val="pl-PL"/>
          <w14:ligatures w14:val="none"/>
        </w:rPr>
        <w:t>brak równoważnego Biura Zdrowia Mężczyzn</w:t>
      </w:r>
      <w:r w:rsidRPr="00531779">
        <w:rPr>
          <w:rFonts w:ascii="Times New Roman" w:eastAsia="Times New Roman" w:hAnsi="Times New Roman" w:cs="Times New Roman"/>
          <w:kern w:val="0"/>
          <w:lang w:val="pl-PL"/>
          <w14:ligatures w14:val="none"/>
        </w:rPr>
        <w:t>. Większość inicjatyw "zdrowia płciowego" zrównuje płeć z kobietami. Finansowanie badań nad zdrowiem mężczyzn otrzymuje "znacznie mniejszą uwagę". Te ograniczone wysiłki pokazują, że zdrowie męskie nie jest priorytetem, nie że społeczeństwo aktywnie próbuje (ale jest niedofinansowane).</w:t>
      </w:r>
    </w:p>
    <w:p w14:paraId="47A13552" w14:textId="77777777" w:rsidR="00531779" w:rsidRPr="00531779" w:rsidRDefault="00531779" w:rsidP="00531779">
      <w:pPr>
        <w:spacing w:before="100" w:beforeAutospacing="1" w:after="100" w:afterAutospacing="1" w:line="240" w:lineRule="auto"/>
        <w:rPr>
          <w:rFonts w:ascii="Times New Roman" w:eastAsia="Times New Roman" w:hAnsi="Times New Roman" w:cs="Times New Roman"/>
          <w:kern w:val="0"/>
          <w:lang w:val="pl-PL"/>
          <w14:ligatures w14:val="none"/>
        </w:rPr>
      </w:pPr>
      <w:r w:rsidRPr="00531779">
        <w:rPr>
          <w:rFonts w:ascii="Times New Roman" w:eastAsia="Times New Roman" w:hAnsi="Times New Roman" w:cs="Times New Roman"/>
          <w:kern w:val="0"/>
          <w:lang w:val="pl-PL"/>
          <w14:ligatures w14:val="none"/>
        </w:rPr>
        <w:t xml:space="preserve">Interwencje oparte na dowodach, które działają, obejmują: </w:t>
      </w:r>
      <w:r w:rsidRPr="00531779">
        <w:rPr>
          <w:rFonts w:ascii="Times New Roman" w:eastAsia="Times New Roman" w:hAnsi="Times New Roman" w:cs="Times New Roman"/>
          <w:b/>
          <w:bCs/>
          <w:kern w:val="0"/>
          <w:lang w:val="pl-PL"/>
          <w14:ligatures w14:val="none"/>
        </w:rPr>
        <w:t>kampanie antynikotynowe</w:t>
      </w:r>
      <w:r w:rsidRPr="00531779">
        <w:rPr>
          <w:rFonts w:ascii="Times New Roman" w:eastAsia="Times New Roman" w:hAnsi="Times New Roman" w:cs="Times New Roman"/>
          <w:kern w:val="0"/>
          <w:lang w:val="pl-PL"/>
          <w14:ligatures w14:val="none"/>
        </w:rPr>
        <w:t xml:space="preserve"> (doprowadziły do dramatycznych spadków wskaźników śmiertelności na raka płuc u mężczyzn; USA różnica w długości życia zmniejszyła się z 7,7 lat w latach 70. do 5,2 lat w 2004 głównie z powodu zmian w paleniu); </w:t>
      </w:r>
      <w:r w:rsidRPr="00531779">
        <w:rPr>
          <w:rFonts w:ascii="Times New Roman" w:eastAsia="Times New Roman" w:hAnsi="Times New Roman" w:cs="Times New Roman"/>
          <w:b/>
          <w:bCs/>
          <w:kern w:val="0"/>
          <w:lang w:val="pl-PL"/>
          <w14:ligatures w14:val="none"/>
        </w:rPr>
        <w:t>interwencje chorób sercowo-naczyniowych</w:t>
      </w:r>
      <w:r w:rsidRPr="00531779">
        <w:rPr>
          <w:rFonts w:ascii="Times New Roman" w:eastAsia="Times New Roman" w:hAnsi="Times New Roman" w:cs="Times New Roman"/>
          <w:kern w:val="0"/>
          <w:lang w:val="pl-PL"/>
          <w14:ligatures w14:val="none"/>
        </w:rPr>
        <w:t xml:space="preserve"> (program Birmingham, Anglia przesiewowo sprawdził 10,000+ mężczyzn powyżej 40 lat pod kątem ryzyka CVD w najbardziej pozbawionych obszarach, skuteczny w zmniejszaniu śmiertelności); </w:t>
      </w:r>
      <w:r w:rsidRPr="00531779">
        <w:rPr>
          <w:rFonts w:ascii="Times New Roman" w:eastAsia="Times New Roman" w:hAnsi="Times New Roman" w:cs="Times New Roman"/>
          <w:b/>
          <w:bCs/>
          <w:kern w:val="0"/>
          <w:lang w:val="pl-PL"/>
          <w14:ligatures w14:val="none"/>
        </w:rPr>
        <w:t>poprawa bezpieczeństwa w miejscu pracy</w:t>
      </w:r>
      <w:r w:rsidRPr="00531779">
        <w:rPr>
          <w:rFonts w:ascii="Times New Roman" w:eastAsia="Times New Roman" w:hAnsi="Times New Roman" w:cs="Times New Roman"/>
          <w:kern w:val="0"/>
          <w:lang w:val="pl-PL"/>
          <w14:ligatures w14:val="none"/>
        </w:rPr>
        <w:t xml:space="preserve"> (OSHA i równoważne agencje znacznie zmniejszyły wskaźniki śmierci w miejscu pracy od lat 70., choć egzekwowanie osłabiło się w ostatnich </w:t>
      </w:r>
      <w:r w:rsidRPr="00531779">
        <w:rPr>
          <w:rFonts w:ascii="Times New Roman" w:eastAsia="Times New Roman" w:hAnsi="Times New Roman" w:cs="Times New Roman"/>
          <w:kern w:val="0"/>
          <w:lang w:val="pl-PL"/>
          <w14:ligatures w14:val="none"/>
        </w:rPr>
        <w:lastRenderedPageBreak/>
        <w:t xml:space="preserve">latach); oraz </w:t>
      </w:r>
      <w:r w:rsidRPr="00531779">
        <w:rPr>
          <w:rFonts w:ascii="Times New Roman" w:eastAsia="Times New Roman" w:hAnsi="Times New Roman" w:cs="Times New Roman"/>
          <w:b/>
          <w:bCs/>
          <w:kern w:val="0"/>
          <w:lang w:val="pl-PL"/>
          <w14:ligatures w14:val="none"/>
        </w:rPr>
        <w:t>projektowanie programu zdrowia wrażliwego na płeć</w:t>
      </w:r>
      <w:r w:rsidRPr="00531779">
        <w:rPr>
          <w:rFonts w:ascii="Times New Roman" w:eastAsia="Times New Roman" w:hAnsi="Times New Roman" w:cs="Times New Roman"/>
          <w:kern w:val="0"/>
          <w:lang w:val="pl-PL"/>
          <w14:ligatures w14:val="none"/>
        </w:rPr>
        <w:t xml:space="preserve"> (programy zgodne z wartościami męskimi – fizyczna aktywność oparta na sporcie, elementy konkurencyjne – pokazują lepszą męską </w:t>
      </w:r>
      <w:proofErr w:type="spellStart"/>
      <w:r w:rsidRPr="00531779">
        <w:rPr>
          <w:rFonts w:ascii="Times New Roman" w:eastAsia="Times New Roman" w:hAnsi="Times New Roman" w:cs="Times New Roman"/>
          <w:kern w:val="0"/>
          <w:lang w:val="pl-PL"/>
          <w14:ligatures w14:val="none"/>
        </w:rPr>
        <w:t>angażację</w:t>
      </w:r>
      <w:proofErr w:type="spellEnd"/>
      <w:r w:rsidRPr="00531779">
        <w:rPr>
          <w:rFonts w:ascii="Times New Roman" w:eastAsia="Times New Roman" w:hAnsi="Times New Roman" w:cs="Times New Roman"/>
          <w:kern w:val="0"/>
          <w:lang w:val="pl-PL"/>
          <w14:ligatures w14:val="none"/>
        </w:rPr>
        <w:t>; interwencje prowadzone przez rówieśników wykorzystują męskie sieci społeczne).</w:t>
      </w:r>
    </w:p>
    <w:p w14:paraId="0E8777BD" w14:textId="77777777" w:rsidR="00531779" w:rsidRPr="00531779" w:rsidRDefault="00531779" w:rsidP="00531779">
      <w:pPr>
        <w:spacing w:before="100" w:beforeAutospacing="1" w:after="100" w:afterAutospacing="1" w:line="240" w:lineRule="auto"/>
        <w:rPr>
          <w:rFonts w:ascii="Times New Roman" w:eastAsia="Times New Roman" w:hAnsi="Times New Roman" w:cs="Times New Roman"/>
          <w:kern w:val="0"/>
          <w:lang w:val="pl-PL"/>
          <w14:ligatures w14:val="none"/>
        </w:rPr>
      </w:pPr>
      <w:r w:rsidRPr="00531779">
        <w:rPr>
          <w:rFonts w:ascii="Times New Roman" w:eastAsia="Times New Roman" w:hAnsi="Times New Roman" w:cs="Times New Roman"/>
          <w:kern w:val="0"/>
          <w:lang w:val="pl-PL"/>
          <w14:ligatures w14:val="none"/>
        </w:rPr>
        <w:t>Kraje ze zmniejszającymi się różnicami obejmują Szwecję (jeden z najmniejszych różnic w Europie, przypisywany kompleksowym środkom zdrowia publicznego, poprawie bezpieczeństwa w miejscu pracy, uniwersalnemu dostępowi do opieki zdrowotnej) i Australię (różnica w długości życia zmniejszyła się od lat 80.; męska śmiertelność zmniejszyła się szybciej niż żeńska; interwencje zdrowia publicznego w zakresie tytoniu i bezpieczeństwa drogowego; zauważalnie, Australia ma narodową politykę zdrowia mężczyzn). Co nie działa: ogólne kampanie "neutralne płciowo" często nie docierają do mężczyzn, czyste podejścia edukacyjne bez adresowania barier strukturalnych, interwencje ignorujące normy i preferencje męskie, niedofinansowane, krótkoterminowe programy bez trwałości.</w:t>
      </w:r>
    </w:p>
    <w:p w14:paraId="7E09452E" w14:textId="77777777" w:rsidR="00531779" w:rsidRPr="00531779" w:rsidRDefault="00531779" w:rsidP="00531779">
      <w:pPr>
        <w:spacing w:before="100" w:beforeAutospacing="1" w:after="100" w:afterAutospacing="1" w:line="240" w:lineRule="auto"/>
        <w:outlineLvl w:val="1"/>
        <w:rPr>
          <w:rFonts w:ascii="Times New Roman" w:eastAsia="Times New Roman" w:hAnsi="Times New Roman" w:cs="Times New Roman"/>
          <w:b/>
          <w:bCs/>
          <w:kern w:val="0"/>
          <w:sz w:val="36"/>
          <w:szCs w:val="36"/>
          <w:lang w:val="pl-PL"/>
          <w14:ligatures w14:val="none"/>
        </w:rPr>
      </w:pPr>
      <w:r w:rsidRPr="00531779">
        <w:rPr>
          <w:rFonts w:ascii="Times New Roman" w:eastAsia="Times New Roman" w:hAnsi="Times New Roman" w:cs="Times New Roman"/>
          <w:b/>
          <w:bCs/>
          <w:kern w:val="0"/>
          <w:sz w:val="36"/>
          <w:szCs w:val="36"/>
          <w:lang w:val="pl-PL"/>
          <w14:ligatures w14:val="none"/>
        </w:rPr>
        <w:t>Wnioski: systematyczne niedocenianie życia mężczyzn</w:t>
      </w:r>
    </w:p>
    <w:p w14:paraId="44AFE667" w14:textId="77777777" w:rsidR="00531779" w:rsidRPr="00531779" w:rsidRDefault="00531779" w:rsidP="00531779">
      <w:pPr>
        <w:spacing w:before="100" w:beforeAutospacing="1" w:after="100" w:afterAutospacing="1" w:line="240" w:lineRule="auto"/>
        <w:rPr>
          <w:rFonts w:ascii="Times New Roman" w:eastAsia="Times New Roman" w:hAnsi="Times New Roman" w:cs="Times New Roman"/>
          <w:kern w:val="0"/>
          <w:lang w:val="pl-PL"/>
          <w14:ligatures w14:val="none"/>
        </w:rPr>
      </w:pPr>
      <w:r w:rsidRPr="00531779">
        <w:rPr>
          <w:rFonts w:ascii="Times New Roman" w:eastAsia="Times New Roman" w:hAnsi="Times New Roman" w:cs="Times New Roman"/>
          <w:kern w:val="0"/>
          <w:lang w:val="pl-PL"/>
          <w14:ligatures w14:val="none"/>
        </w:rPr>
        <w:t xml:space="preserve">Dowody rysują niezaprzeczalny obraz: mężczyźni umierają </w:t>
      </w:r>
      <w:r w:rsidRPr="00531779">
        <w:rPr>
          <w:rFonts w:ascii="Times New Roman" w:eastAsia="Times New Roman" w:hAnsi="Times New Roman" w:cs="Times New Roman"/>
          <w:b/>
          <w:bCs/>
          <w:kern w:val="0"/>
          <w:lang w:val="pl-PL"/>
          <w14:ligatures w14:val="none"/>
        </w:rPr>
        <w:t>5-6 lat wcześniej</w:t>
      </w:r>
      <w:r w:rsidRPr="00531779">
        <w:rPr>
          <w:rFonts w:ascii="Times New Roman" w:eastAsia="Times New Roman" w:hAnsi="Times New Roman" w:cs="Times New Roman"/>
          <w:kern w:val="0"/>
          <w:lang w:val="pl-PL"/>
          <w14:ligatures w14:val="none"/>
        </w:rPr>
        <w:t xml:space="preserve"> niż kobiety globalnie, z różnicami </w:t>
      </w:r>
      <w:r w:rsidRPr="00531779">
        <w:rPr>
          <w:rFonts w:ascii="Times New Roman" w:eastAsia="Times New Roman" w:hAnsi="Times New Roman" w:cs="Times New Roman"/>
          <w:b/>
          <w:bCs/>
          <w:kern w:val="0"/>
          <w:lang w:val="pl-PL"/>
          <w14:ligatures w14:val="none"/>
        </w:rPr>
        <w:t>rosnącymi w wielu krajach rozwiniętych</w:t>
      </w:r>
      <w:r w:rsidRPr="00531779">
        <w:rPr>
          <w:rFonts w:ascii="Times New Roman" w:eastAsia="Times New Roman" w:hAnsi="Times New Roman" w:cs="Times New Roman"/>
          <w:kern w:val="0"/>
          <w:lang w:val="pl-PL"/>
          <w14:ligatures w14:val="none"/>
        </w:rPr>
        <w:t xml:space="preserve"> od 2010 roku, głównie z powodu </w:t>
      </w:r>
      <w:r w:rsidRPr="00531779">
        <w:rPr>
          <w:rFonts w:ascii="Times New Roman" w:eastAsia="Times New Roman" w:hAnsi="Times New Roman" w:cs="Times New Roman"/>
          <w:b/>
          <w:bCs/>
          <w:kern w:val="0"/>
          <w:lang w:val="pl-PL"/>
          <w14:ligatures w14:val="none"/>
        </w:rPr>
        <w:t>czynników społecznych (75%), nie biologicznych (25%)</w:t>
      </w:r>
      <w:r w:rsidRPr="00531779">
        <w:rPr>
          <w:rFonts w:ascii="Times New Roman" w:eastAsia="Times New Roman" w:hAnsi="Times New Roman" w:cs="Times New Roman"/>
          <w:kern w:val="0"/>
          <w:lang w:val="pl-PL"/>
          <w14:ligatures w14:val="none"/>
        </w:rPr>
        <w:t xml:space="preserve">. Tysiące przedwczesnych zgonów mężczyzn rocznie wynikają z: </w:t>
      </w:r>
      <w:r w:rsidRPr="00531779">
        <w:rPr>
          <w:rFonts w:ascii="Times New Roman" w:eastAsia="Times New Roman" w:hAnsi="Times New Roman" w:cs="Times New Roman"/>
          <w:b/>
          <w:bCs/>
          <w:kern w:val="0"/>
          <w:lang w:val="pl-PL"/>
          <w14:ligatures w14:val="none"/>
        </w:rPr>
        <w:t>93% zgonów w miejscu pracy</w:t>
      </w:r>
      <w:r w:rsidRPr="00531779">
        <w:rPr>
          <w:rFonts w:ascii="Times New Roman" w:eastAsia="Times New Roman" w:hAnsi="Times New Roman" w:cs="Times New Roman"/>
          <w:kern w:val="0"/>
          <w:lang w:val="pl-PL"/>
          <w14:ligatures w14:val="none"/>
        </w:rPr>
        <w:t xml:space="preserve">, </w:t>
      </w:r>
      <w:r w:rsidRPr="00531779">
        <w:rPr>
          <w:rFonts w:ascii="Times New Roman" w:eastAsia="Times New Roman" w:hAnsi="Times New Roman" w:cs="Times New Roman"/>
          <w:b/>
          <w:bCs/>
          <w:kern w:val="0"/>
          <w:lang w:val="pl-PL"/>
          <w14:ligatures w14:val="none"/>
        </w:rPr>
        <w:t>80% samobójstw</w:t>
      </w:r>
      <w:r w:rsidRPr="00531779">
        <w:rPr>
          <w:rFonts w:ascii="Times New Roman" w:eastAsia="Times New Roman" w:hAnsi="Times New Roman" w:cs="Times New Roman"/>
          <w:kern w:val="0"/>
          <w:lang w:val="pl-PL"/>
          <w14:ligatures w14:val="none"/>
        </w:rPr>
        <w:t xml:space="preserve">, </w:t>
      </w:r>
      <w:r w:rsidRPr="00531779">
        <w:rPr>
          <w:rFonts w:ascii="Times New Roman" w:eastAsia="Times New Roman" w:hAnsi="Times New Roman" w:cs="Times New Roman"/>
          <w:b/>
          <w:bCs/>
          <w:kern w:val="0"/>
          <w:lang w:val="pl-PL"/>
          <w14:ligatures w14:val="none"/>
        </w:rPr>
        <w:t>81% ofiar zabójstw</w:t>
      </w:r>
      <w:r w:rsidRPr="00531779">
        <w:rPr>
          <w:rFonts w:ascii="Times New Roman" w:eastAsia="Times New Roman" w:hAnsi="Times New Roman" w:cs="Times New Roman"/>
          <w:kern w:val="0"/>
          <w:lang w:val="pl-PL"/>
          <w14:ligatures w14:val="none"/>
        </w:rPr>
        <w:t xml:space="preserve">, </w:t>
      </w:r>
      <w:r w:rsidRPr="00531779">
        <w:rPr>
          <w:rFonts w:ascii="Times New Roman" w:eastAsia="Times New Roman" w:hAnsi="Times New Roman" w:cs="Times New Roman"/>
          <w:b/>
          <w:bCs/>
          <w:kern w:val="0"/>
          <w:lang w:val="pl-PL"/>
          <w14:ligatures w14:val="none"/>
        </w:rPr>
        <w:t>77% zgonów związanych z alkoholem</w:t>
      </w:r>
      <w:r w:rsidRPr="00531779">
        <w:rPr>
          <w:rFonts w:ascii="Times New Roman" w:eastAsia="Times New Roman" w:hAnsi="Times New Roman" w:cs="Times New Roman"/>
          <w:kern w:val="0"/>
          <w:lang w:val="pl-PL"/>
          <w14:ligatures w14:val="none"/>
        </w:rPr>
        <w:t xml:space="preserve">, </w:t>
      </w:r>
      <w:r w:rsidRPr="00531779">
        <w:rPr>
          <w:rFonts w:ascii="Times New Roman" w:eastAsia="Times New Roman" w:hAnsi="Times New Roman" w:cs="Times New Roman"/>
          <w:b/>
          <w:bCs/>
          <w:kern w:val="0"/>
          <w:lang w:val="pl-PL"/>
          <w14:ligatures w14:val="none"/>
        </w:rPr>
        <w:t xml:space="preserve">2-3x wyższe wskaźniki </w:t>
      </w:r>
      <w:proofErr w:type="spellStart"/>
      <w:r w:rsidRPr="00531779">
        <w:rPr>
          <w:rFonts w:ascii="Times New Roman" w:eastAsia="Times New Roman" w:hAnsi="Times New Roman" w:cs="Times New Roman"/>
          <w:b/>
          <w:bCs/>
          <w:kern w:val="0"/>
          <w:lang w:val="pl-PL"/>
          <w14:ligatures w14:val="none"/>
        </w:rPr>
        <w:t>przedawkowań</w:t>
      </w:r>
      <w:proofErr w:type="spellEnd"/>
      <w:r w:rsidRPr="00531779">
        <w:rPr>
          <w:rFonts w:ascii="Times New Roman" w:eastAsia="Times New Roman" w:hAnsi="Times New Roman" w:cs="Times New Roman"/>
          <w:b/>
          <w:bCs/>
          <w:kern w:val="0"/>
          <w:lang w:val="pl-PL"/>
          <w14:ligatures w14:val="none"/>
        </w:rPr>
        <w:t xml:space="preserve"> narkotyków</w:t>
      </w:r>
      <w:r w:rsidRPr="00531779">
        <w:rPr>
          <w:rFonts w:ascii="Times New Roman" w:eastAsia="Times New Roman" w:hAnsi="Times New Roman" w:cs="Times New Roman"/>
          <w:kern w:val="0"/>
          <w:lang w:val="pl-PL"/>
          <w14:ligatures w14:val="none"/>
        </w:rPr>
        <w:t xml:space="preserve"> i </w:t>
      </w:r>
      <w:r w:rsidRPr="00531779">
        <w:rPr>
          <w:rFonts w:ascii="Times New Roman" w:eastAsia="Times New Roman" w:hAnsi="Times New Roman" w:cs="Times New Roman"/>
          <w:b/>
          <w:bCs/>
          <w:kern w:val="0"/>
          <w:lang w:val="pl-PL"/>
          <w14:ligatures w14:val="none"/>
        </w:rPr>
        <w:t>obowiązkowej służby wojskowej w 93% krajów z poborem</w:t>
      </w:r>
      <w:r w:rsidRPr="00531779">
        <w:rPr>
          <w:rFonts w:ascii="Times New Roman" w:eastAsia="Times New Roman" w:hAnsi="Times New Roman" w:cs="Times New Roman"/>
          <w:kern w:val="0"/>
          <w:lang w:val="pl-PL"/>
          <w14:ligatures w14:val="none"/>
        </w:rPr>
        <w:t xml:space="preserve">. Te dysproporcje wynikają z norm męskich oczekujących ryzyka, stoicyzmu, poświęcenia i ekonomicznej konieczności, </w:t>
      </w:r>
      <w:proofErr w:type="gramStart"/>
      <w:r w:rsidRPr="00531779">
        <w:rPr>
          <w:rFonts w:ascii="Times New Roman" w:eastAsia="Times New Roman" w:hAnsi="Times New Roman" w:cs="Times New Roman"/>
          <w:kern w:val="0"/>
          <w:lang w:val="pl-PL"/>
          <w14:ligatures w14:val="none"/>
        </w:rPr>
        <w:t>nie czysto</w:t>
      </w:r>
      <w:proofErr w:type="gramEnd"/>
      <w:r w:rsidRPr="00531779">
        <w:rPr>
          <w:rFonts w:ascii="Times New Roman" w:eastAsia="Times New Roman" w:hAnsi="Times New Roman" w:cs="Times New Roman"/>
          <w:kern w:val="0"/>
          <w:lang w:val="pl-PL"/>
          <w14:ligatures w14:val="none"/>
        </w:rPr>
        <w:t xml:space="preserve"> dobrowolnych wyborów.</w:t>
      </w:r>
    </w:p>
    <w:p w14:paraId="2B26DE74" w14:textId="77777777" w:rsidR="00531779" w:rsidRPr="00531779" w:rsidRDefault="00531779" w:rsidP="00531779">
      <w:pPr>
        <w:spacing w:before="100" w:beforeAutospacing="1" w:after="100" w:afterAutospacing="1" w:line="240" w:lineRule="auto"/>
        <w:rPr>
          <w:rFonts w:ascii="Times New Roman" w:eastAsia="Times New Roman" w:hAnsi="Times New Roman" w:cs="Times New Roman"/>
          <w:kern w:val="0"/>
          <w:lang w:val="pl-PL"/>
          <w14:ligatures w14:val="none"/>
        </w:rPr>
      </w:pPr>
      <w:r w:rsidRPr="00531779">
        <w:rPr>
          <w:rFonts w:ascii="Times New Roman" w:eastAsia="Times New Roman" w:hAnsi="Times New Roman" w:cs="Times New Roman"/>
          <w:kern w:val="0"/>
          <w:lang w:val="pl-PL"/>
          <w14:ligatures w14:val="none"/>
        </w:rPr>
        <w:t xml:space="preserve">Mimo tej dramatycznej skali śmiertelności, społeczeństwo wykazuje </w:t>
      </w:r>
      <w:r w:rsidRPr="00531779">
        <w:rPr>
          <w:rFonts w:ascii="Times New Roman" w:eastAsia="Times New Roman" w:hAnsi="Times New Roman" w:cs="Times New Roman"/>
          <w:b/>
          <w:bCs/>
          <w:kern w:val="0"/>
          <w:lang w:val="pl-PL"/>
          <w14:ligatures w14:val="none"/>
        </w:rPr>
        <w:t>minimalną uwagę medialną, polityczną lub finansowanie badań</w:t>
      </w:r>
      <w:r w:rsidRPr="00531779">
        <w:rPr>
          <w:rFonts w:ascii="Times New Roman" w:eastAsia="Times New Roman" w:hAnsi="Times New Roman" w:cs="Times New Roman"/>
          <w:kern w:val="0"/>
          <w:lang w:val="pl-PL"/>
          <w14:ligatures w14:val="none"/>
        </w:rPr>
        <w:t xml:space="preserve"> w porównaniu z mniejszymi niekorzystnymi sytuacjami wpływającymi na kobiety. Różnica płacowa (15-17%, zmniejszająca się) otrzymuje masywne roczne kampanie, organizacje </w:t>
      </w:r>
      <w:proofErr w:type="spellStart"/>
      <w:r w:rsidRPr="00531779">
        <w:rPr>
          <w:rFonts w:ascii="Times New Roman" w:eastAsia="Times New Roman" w:hAnsi="Times New Roman" w:cs="Times New Roman"/>
          <w:kern w:val="0"/>
          <w:lang w:val="pl-PL"/>
          <w14:ligatures w14:val="none"/>
        </w:rPr>
        <w:t>rzecznicze</w:t>
      </w:r>
      <w:proofErr w:type="spellEnd"/>
      <w:r w:rsidRPr="00531779">
        <w:rPr>
          <w:rFonts w:ascii="Times New Roman" w:eastAsia="Times New Roman" w:hAnsi="Times New Roman" w:cs="Times New Roman"/>
          <w:kern w:val="0"/>
          <w:lang w:val="pl-PL"/>
          <w14:ligatures w14:val="none"/>
        </w:rPr>
        <w:t xml:space="preserve"> i pokrycie medialne, podczas gdy różnica w długości życia (5-6 lat, rosnąca) otrzymuje głównie raporty statystyczne. Tylko </w:t>
      </w:r>
      <w:r w:rsidRPr="00531779">
        <w:rPr>
          <w:rFonts w:ascii="Times New Roman" w:eastAsia="Times New Roman" w:hAnsi="Times New Roman" w:cs="Times New Roman"/>
          <w:b/>
          <w:bCs/>
          <w:kern w:val="0"/>
          <w:lang w:val="pl-PL"/>
          <w14:ligatures w14:val="none"/>
        </w:rPr>
        <w:t>4 kraje</w:t>
      </w:r>
      <w:r w:rsidRPr="00531779">
        <w:rPr>
          <w:rFonts w:ascii="Times New Roman" w:eastAsia="Times New Roman" w:hAnsi="Times New Roman" w:cs="Times New Roman"/>
          <w:kern w:val="0"/>
          <w:lang w:val="pl-PL"/>
          <w14:ligatures w14:val="none"/>
        </w:rPr>
        <w:t xml:space="preserve"> mają kompleksowe strategie zdrowia mężczyzn vs liczne międzynarodowe ramy kobiet. Finansowanie raka piersi przewyższa rak prostaty </w:t>
      </w:r>
      <w:r w:rsidRPr="00531779">
        <w:rPr>
          <w:rFonts w:ascii="Times New Roman" w:eastAsia="Times New Roman" w:hAnsi="Times New Roman" w:cs="Times New Roman"/>
          <w:b/>
          <w:bCs/>
          <w:kern w:val="0"/>
          <w:lang w:val="pl-PL"/>
          <w14:ligatures w14:val="none"/>
        </w:rPr>
        <w:t>2:1</w:t>
      </w:r>
      <w:r w:rsidRPr="00531779">
        <w:rPr>
          <w:rFonts w:ascii="Times New Roman" w:eastAsia="Times New Roman" w:hAnsi="Times New Roman" w:cs="Times New Roman"/>
          <w:kern w:val="0"/>
          <w:lang w:val="pl-PL"/>
          <w14:ligatures w14:val="none"/>
        </w:rPr>
        <w:t xml:space="preserve"> pomimo podobnego obciążenia chorobą. System wymiaru sprawiedliwości daje mężczyznom </w:t>
      </w:r>
      <w:r w:rsidRPr="00531779">
        <w:rPr>
          <w:rFonts w:ascii="Times New Roman" w:eastAsia="Times New Roman" w:hAnsi="Times New Roman" w:cs="Times New Roman"/>
          <w:b/>
          <w:bCs/>
          <w:kern w:val="0"/>
          <w:lang w:val="pl-PL"/>
          <w14:ligatures w14:val="none"/>
        </w:rPr>
        <w:t>63% dłuższe wyroki</w:t>
      </w:r>
      <w:r w:rsidRPr="00531779">
        <w:rPr>
          <w:rFonts w:ascii="Times New Roman" w:eastAsia="Times New Roman" w:hAnsi="Times New Roman" w:cs="Times New Roman"/>
          <w:kern w:val="0"/>
          <w:lang w:val="pl-PL"/>
          <w14:ligatures w14:val="none"/>
        </w:rPr>
        <w:t xml:space="preserve">, podczas gdy </w:t>
      </w:r>
      <w:r w:rsidRPr="00531779">
        <w:rPr>
          <w:rFonts w:ascii="Times New Roman" w:eastAsia="Times New Roman" w:hAnsi="Times New Roman" w:cs="Times New Roman"/>
          <w:b/>
          <w:bCs/>
          <w:kern w:val="0"/>
          <w:lang w:val="pl-PL"/>
          <w14:ligatures w14:val="none"/>
        </w:rPr>
        <w:t>97% odbiorców alimentów to kobiety</w:t>
      </w:r>
      <w:r w:rsidRPr="00531779">
        <w:rPr>
          <w:rFonts w:ascii="Times New Roman" w:eastAsia="Times New Roman" w:hAnsi="Times New Roman" w:cs="Times New Roman"/>
          <w:kern w:val="0"/>
          <w:lang w:val="pl-PL"/>
          <w14:ligatures w14:val="none"/>
        </w:rPr>
        <w:t xml:space="preserve"> i </w:t>
      </w:r>
      <w:r w:rsidRPr="00531779">
        <w:rPr>
          <w:rFonts w:ascii="Times New Roman" w:eastAsia="Times New Roman" w:hAnsi="Times New Roman" w:cs="Times New Roman"/>
          <w:b/>
          <w:bCs/>
          <w:kern w:val="0"/>
          <w:lang w:val="pl-PL"/>
          <w14:ligatures w14:val="none"/>
        </w:rPr>
        <w:t>80% rodziców sprawujących opiekę to matki</w:t>
      </w:r>
      <w:r w:rsidRPr="00531779">
        <w:rPr>
          <w:rFonts w:ascii="Times New Roman" w:eastAsia="Times New Roman" w:hAnsi="Times New Roman" w:cs="Times New Roman"/>
          <w:kern w:val="0"/>
          <w:lang w:val="pl-PL"/>
          <w14:ligatures w14:val="none"/>
        </w:rPr>
        <w:t>.</w:t>
      </w:r>
    </w:p>
    <w:p w14:paraId="0D30C43D" w14:textId="77777777" w:rsidR="00531779" w:rsidRPr="00531779" w:rsidRDefault="00531779" w:rsidP="00531779">
      <w:pPr>
        <w:spacing w:before="100" w:beforeAutospacing="1" w:after="100" w:afterAutospacing="1" w:line="240" w:lineRule="auto"/>
        <w:rPr>
          <w:rFonts w:ascii="Times New Roman" w:eastAsia="Times New Roman" w:hAnsi="Times New Roman" w:cs="Times New Roman"/>
          <w:kern w:val="0"/>
          <w:lang w:val="pl-PL"/>
          <w14:ligatures w14:val="none"/>
        </w:rPr>
      </w:pPr>
      <w:r w:rsidRPr="00531779">
        <w:rPr>
          <w:rFonts w:ascii="Times New Roman" w:eastAsia="Times New Roman" w:hAnsi="Times New Roman" w:cs="Times New Roman"/>
          <w:kern w:val="0"/>
          <w:lang w:val="pl-PL"/>
          <w14:ligatures w14:val="none"/>
        </w:rPr>
        <w:t xml:space="preserve">Równocześnie, kobiety są </w:t>
      </w:r>
      <w:r w:rsidRPr="00531779">
        <w:rPr>
          <w:rFonts w:ascii="Times New Roman" w:eastAsia="Times New Roman" w:hAnsi="Times New Roman" w:cs="Times New Roman"/>
          <w:b/>
          <w:bCs/>
          <w:kern w:val="0"/>
          <w:lang w:val="pl-PL"/>
          <w14:ligatures w14:val="none"/>
        </w:rPr>
        <w:t>netto beneficjentkami systemów emerytalnych i zdrowotnych</w:t>
      </w:r>
      <w:r w:rsidRPr="00531779">
        <w:rPr>
          <w:rFonts w:ascii="Times New Roman" w:eastAsia="Times New Roman" w:hAnsi="Times New Roman" w:cs="Times New Roman"/>
          <w:kern w:val="0"/>
          <w:lang w:val="pl-PL"/>
          <w14:ligatures w14:val="none"/>
        </w:rPr>
        <w:t xml:space="preserve"> mimo krótszego okresu pracy: zbierają </w:t>
      </w:r>
      <w:proofErr w:type="spellStart"/>
      <w:r w:rsidRPr="00531779">
        <w:rPr>
          <w:rFonts w:ascii="Times New Roman" w:eastAsia="Times New Roman" w:hAnsi="Times New Roman" w:cs="Times New Roman"/>
          <w:kern w:val="0"/>
          <w:lang w:val="pl-PL"/>
          <w14:ligatures w14:val="none"/>
        </w:rPr>
        <w:t>Social</w:t>
      </w:r>
      <w:proofErr w:type="spellEnd"/>
      <w:r w:rsidRPr="00531779">
        <w:rPr>
          <w:rFonts w:ascii="Times New Roman" w:eastAsia="Times New Roman" w:hAnsi="Times New Roman" w:cs="Times New Roman"/>
          <w:kern w:val="0"/>
          <w:lang w:val="pl-PL"/>
          <w14:ligatures w14:val="none"/>
        </w:rPr>
        <w:t xml:space="preserve"> Security przez </w:t>
      </w:r>
      <w:r w:rsidRPr="00531779">
        <w:rPr>
          <w:rFonts w:ascii="Times New Roman" w:eastAsia="Times New Roman" w:hAnsi="Times New Roman" w:cs="Times New Roman"/>
          <w:b/>
          <w:bCs/>
          <w:kern w:val="0"/>
          <w:lang w:val="pl-PL"/>
          <w14:ligatures w14:val="none"/>
        </w:rPr>
        <w:t>38% więcej lat</w:t>
      </w:r>
      <w:r w:rsidRPr="00531779">
        <w:rPr>
          <w:rFonts w:ascii="Times New Roman" w:eastAsia="Times New Roman" w:hAnsi="Times New Roman" w:cs="Times New Roman"/>
          <w:kern w:val="0"/>
          <w:lang w:val="pl-PL"/>
          <w14:ligatures w14:val="none"/>
        </w:rPr>
        <w:t xml:space="preserve">, otrzymują </w:t>
      </w:r>
      <w:r w:rsidRPr="00531779">
        <w:rPr>
          <w:rFonts w:ascii="Times New Roman" w:eastAsia="Times New Roman" w:hAnsi="Times New Roman" w:cs="Times New Roman"/>
          <w:b/>
          <w:bCs/>
          <w:kern w:val="0"/>
          <w:lang w:val="pl-PL"/>
          <w14:ligatures w14:val="none"/>
        </w:rPr>
        <w:t>33% więcej wydatków na opiekę zdrowotną przez życie</w:t>
      </w:r>
      <w:r w:rsidRPr="00531779">
        <w:rPr>
          <w:rFonts w:ascii="Times New Roman" w:eastAsia="Times New Roman" w:hAnsi="Times New Roman" w:cs="Times New Roman"/>
          <w:kern w:val="0"/>
          <w:lang w:val="pl-PL"/>
          <w14:ligatures w14:val="none"/>
        </w:rPr>
        <w:t xml:space="preserve">, dziedziczą </w:t>
      </w:r>
      <w:r w:rsidRPr="00531779">
        <w:rPr>
          <w:rFonts w:ascii="Times New Roman" w:eastAsia="Times New Roman" w:hAnsi="Times New Roman" w:cs="Times New Roman"/>
          <w:b/>
          <w:bCs/>
          <w:kern w:val="0"/>
          <w:lang w:val="pl-PL"/>
          <w14:ligatures w14:val="none"/>
        </w:rPr>
        <w:t>95% z 54 bilionów dolarów transferów małżeńskich</w:t>
      </w:r>
      <w:r w:rsidRPr="00531779">
        <w:rPr>
          <w:rFonts w:ascii="Times New Roman" w:eastAsia="Times New Roman" w:hAnsi="Times New Roman" w:cs="Times New Roman"/>
          <w:kern w:val="0"/>
          <w:lang w:val="pl-PL"/>
          <w14:ligatures w14:val="none"/>
        </w:rPr>
        <w:t xml:space="preserve"> i płacą </w:t>
      </w:r>
      <w:r w:rsidRPr="00531779">
        <w:rPr>
          <w:rFonts w:ascii="Times New Roman" w:eastAsia="Times New Roman" w:hAnsi="Times New Roman" w:cs="Times New Roman"/>
          <w:b/>
          <w:bCs/>
          <w:kern w:val="0"/>
          <w:lang w:val="pl-PL"/>
          <w14:ligatures w14:val="none"/>
        </w:rPr>
        <w:t>10-20% mniej za ubezpieczenie na życie</w:t>
      </w:r>
      <w:r w:rsidRPr="00531779">
        <w:rPr>
          <w:rFonts w:ascii="Times New Roman" w:eastAsia="Times New Roman" w:hAnsi="Times New Roman" w:cs="Times New Roman"/>
          <w:kern w:val="0"/>
          <w:lang w:val="pl-PL"/>
          <w14:ligatures w14:val="none"/>
        </w:rPr>
        <w:t>. Te korzyści ekonomiczne są finansowane przez ogólne podatki, do których mężczyźni wpłacają proporcjonalnie więcej, ale czerpią mniej ze względu na wcześniejszą śmierć. Tworzy to nieuznawany transfer netto od mężczyzn do kobiet przez systemy społecznego zabezpieczenia, częściowo "sfinansowany" przez 5-letnią różnicę w długości życia.</w:t>
      </w:r>
    </w:p>
    <w:p w14:paraId="22E4FF33" w14:textId="77777777" w:rsidR="00531779" w:rsidRPr="00531779" w:rsidRDefault="00531779" w:rsidP="00531779">
      <w:pPr>
        <w:spacing w:before="100" w:beforeAutospacing="1" w:after="100" w:afterAutospacing="1" w:line="240" w:lineRule="auto"/>
        <w:rPr>
          <w:rFonts w:ascii="Times New Roman" w:eastAsia="Times New Roman" w:hAnsi="Times New Roman" w:cs="Times New Roman"/>
          <w:kern w:val="0"/>
          <w:lang w:val="pl-PL"/>
          <w14:ligatures w14:val="none"/>
        </w:rPr>
      </w:pPr>
      <w:r w:rsidRPr="00531779">
        <w:rPr>
          <w:rFonts w:ascii="Times New Roman" w:eastAsia="Times New Roman" w:hAnsi="Times New Roman" w:cs="Times New Roman"/>
          <w:kern w:val="0"/>
          <w:lang w:val="pl-PL"/>
          <w14:ligatures w14:val="none"/>
        </w:rPr>
        <w:lastRenderedPageBreak/>
        <w:t>Czy retoryka o "równości płci" jest spójna z tymi rzeczywistościami? Dowody sugerują głęboką niespójność. Społeczeństwa, które głoszą równość płci, jednocześnie: akceptują, że mężczyźni umierają masowo w miejscu pracy (93%), pobierają tylko mężczyzn do walki w wojnach (93% krajów), dają mężczyznom znacznie surowsze kary więzienia (63% dłuższe), zapewniają minimalne dedykowane finansowanie zdrowia mężczyzn, i traktują męską śmiertelność jako normalny koszt prowadzenia biznesu. Pytanie etyczne pozostaje otwarte, ale dane sugerują systematyczne niedocenianie życia mężczyzn w społeczeństwach, które jednocześnie inwestują znaczne zasoby w adresowanie mniejszych niekorzystnych sytuacji wpływających na kobiety.</w:t>
      </w:r>
    </w:p>
    <w:p w14:paraId="461F135B" w14:textId="77777777" w:rsidR="00531779" w:rsidRPr="00531779" w:rsidRDefault="00531779" w:rsidP="00531779">
      <w:pPr>
        <w:spacing w:before="100" w:beforeAutospacing="1" w:after="100" w:afterAutospacing="1" w:line="240" w:lineRule="auto"/>
        <w:rPr>
          <w:rFonts w:ascii="Times New Roman" w:eastAsia="Times New Roman" w:hAnsi="Times New Roman" w:cs="Times New Roman"/>
          <w:kern w:val="0"/>
          <w:lang w:val="pl-PL"/>
          <w14:ligatures w14:val="none"/>
        </w:rPr>
      </w:pPr>
      <w:r w:rsidRPr="00531779">
        <w:rPr>
          <w:rFonts w:ascii="Times New Roman" w:eastAsia="Times New Roman" w:hAnsi="Times New Roman" w:cs="Times New Roman"/>
          <w:kern w:val="0"/>
          <w:lang w:val="pl-PL"/>
          <w14:ligatures w14:val="none"/>
        </w:rPr>
        <w:t xml:space="preserve">Feministyczne perspektywy dzielą się: niektórzy argumentują, że tradycyjne role płciowe szkodzą obu płciom, a feminizm powinien rozwiązać ograniczające normy męskie; inni utrzymują, że "przywilej męski" oznacza, że kwestie mężczyzn nie powinny być </w:t>
      </w:r>
      <w:proofErr w:type="spellStart"/>
      <w:r w:rsidRPr="00531779">
        <w:rPr>
          <w:rFonts w:ascii="Times New Roman" w:eastAsia="Times New Roman" w:hAnsi="Times New Roman" w:cs="Times New Roman"/>
          <w:kern w:val="0"/>
          <w:lang w:val="pl-PL"/>
          <w14:ligatures w14:val="none"/>
        </w:rPr>
        <w:t>priorytetyzowane</w:t>
      </w:r>
      <w:proofErr w:type="spellEnd"/>
      <w:r w:rsidRPr="00531779">
        <w:rPr>
          <w:rFonts w:ascii="Times New Roman" w:eastAsia="Times New Roman" w:hAnsi="Times New Roman" w:cs="Times New Roman"/>
          <w:kern w:val="0"/>
          <w:lang w:val="pl-PL"/>
          <w14:ligatures w14:val="none"/>
        </w:rPr>
        <w:t>. Prawda jest bardziej złożona niż którakolwiek z ram: indywidualne męskie niedogodności i zbiorowa męska przewaga mogą współistnieć w sposoby, których uproszczone ramy "patriarchatu" lub "przywileju męskiego" nie wychwytują. Mężczyźni mają więcej formalnych pozycji władzy, ale również umierają młodsi, otrzymują surowsze wyroki, są pobierani wyłącznie do wojen i wykazują minimalną troskę o ich dobrobyt w politykach publicznych.</w:t>
      </w:r>
    </w:p>
    <w:p w14:paraId="31365D01" w14:textId="77777777" w:rsidR="00531779" w:rsidRDefault="00531779" w:rsidP="00531779">
      <w:pPr>
        <w:spacing w:before="100" w:beforeAutospacing="1" w:after="100" w:afterAutospacing="1" w:line="240" w:lineRule="auto"/>
        <w:rPr>
          <w:rFonts w:ascii="Times New Roman" w:eastAsia="Times New Roman" w:hAnsi="Times New Roman" w:cs="Times New Roman"/>
          <w:kern w:val="0"/>
          <w:lang w:val="pl-PL"/>
          <w14:ligatures w14:val="none"/>
        </w:rPr>
      </w:pPr>
      <w:r w:rsidRPr="00531779">
        <w:rPr>
          <w:rFonts w:ascii="Times New Roman" w:eastAsia="Times New Roman" w:hAnsi="Times New Roman" w:cs="Times New Roman"/>
          <w:kern w:val="0"/>
          <w:lang w:val="pl-PL"/>
          <w14:ligatures w14:val="none"/>
        </w:rPr>
        <w:t xml:space="preserve">Najbardziej zrównoważony wniosek: różnica w długości życia między płciami reprezentuje </w:t>
      </w:r>
      <w:r w:rsidRPr="00531779">
        <w:rPr>
          <w:rFonts w:ascii="Times New Roman" w:eastAsia="Times New Roman" w:hAnsi="Times New Roman" w:cs="Times New Roman"/>
          <w:b/>
          <w:bCs/>
          <w:kern w:val="0"/>
          <w:lang w:val="pl-PL"/>
          <w14:ligatures w14:val="none"/>
        </w:rPr>
        <w:t>znaczącą, częściowo naprawialną dysproporcję zdrowotną zasługującą na poważną uwagę obok innych priorytetów równości zdrowotnej</w:t>
      </w:r>
      <w:r w:rsidRPr="00531779">
        <w:rPr>
          <w:rFonts w:ascii="Times New Roman" w:eastAsia="Times New Roman" w:hAnsi="Times New Roman" w:cs="Times New Roman"/>
          <w:kern w:val="0"/>
          <w:lang w:val="pl-PL"/>
          <w14:ligatures w14:val="none"/>
        </w:rPr>
        <w:t>, nie "najbardziej pilny kryzys" ani "to nie ma znaczenia". Ponad 75% będąc społecznie określonym, znaczne zmniejszenia są osiągalne poprzez: interwencje bezpieczeństwa w miejscu pracy, reformę norm męskich, aby umożliwić wyszukiwanie pomocy, interwencje zdrowia psychicznego kierowane na mężczyzn, programy zapobiegania samobójstwom, redukcję używania substancji, lepszy dostęp do opieki zdrowotnej i traktowanie męskiej śmiertelności jako problemu zdrowia publicznego wymagającego rozwiązania, nie nieuniknionej normalności. Dane wyraźnie pokazują, że obecne poziomy uwagi, finansowania i odpowiedzi politycznej są dramatycznie nieadekwatne do skali problemu.</w:t>
      </w:r>
    </w:p>
    <w:p w14:paraId="7D734D22" w14:textId="77777777" w:rsidR="00A375B0" w:rsidRPr="00531779" w:rsidRDefault="00A375B0" w:rsidP="00531779">
      <w:pPr>
        <w:spacing w:before="100" w:beforeAutospacing="1" w:after="100" w:afterAutospacing="1" w:line="240" w:lineRule="auto"/>
        <w:rPr>
          <w:rFonts w:ascii="Times New Roman" w:eastAsia="Times New Roman" w:hAnsi="Times New Roman" w:cs="Times New Roman"/>
          <w:kern w:val="0"/>
          <w:lang w:val="pl-PL"/>
          <w14:ligatures w14:val="none"/>
        </w:rPr>
      </w:pPr>
    </w:p>
    <w:p w14:paraId="3274A0A1" w14:textId="77777777" w:rsidR="00531779" w:rsidRPr="00F53451" w:rsidRDefault="00531779">
      <w:pPr>
        <w:rPr>
          <w:lang w:val="pl-PL"/>
        </w:rPr>
      </w:pPr>
    </w:p>
    <w:sectPr w:rsidR="00531779" w:rsidRPr="00F534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51"/>
    <w:rsid w:val="00373CD6"/>
    <w:rsid w:val="00401205"/>
    <w:rsid w:val="00521F4D"/>
    <w:rsid w:val="00531779"/>
    <w:rsid w:val="00610B43"/>
    <w:rsid w:val="00621CF6"/>
    <w:rsid w:val="006F6D54"/>
    <w:rsid w:val="0089589A"/>
    <w:rsid w:val="00954DBB"/>
    <w:rsid w:val="00A375B0"/>
    <w:rsid w:val="00AC3BBC"/>
    <w:rsid w:val="00B962D2"/>
    <w:rsid w:val="00C45E18"/>
    <w:rsid w:val="00CD5835"/>
    <w:rsid w:val="00F53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B089"/>
  <w15:chartTrackingRefBased/>
  <w15:docId w15:val="{2F12586B-0FFF-4B60-BC2A-077266E4F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53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53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5345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5345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5345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5345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5345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5345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5345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5345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5345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5345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5345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5345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5345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5345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5345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53451"/>
    <w:rPr>
      <w:rFonts w:eastAsiaTheme="majorEastAsia" w:cstheme="majorBidi"/>
      <w:color w:val="272727" w:themeColor="text1" w:themeTint="D8"/>
    </w:rPr>
  </w:style>
  <w:style w:type="paragraph" w:styleId="Tytu">
    <w:name w:val="Title"/>
    <w:basedOn w:val="Normalny"/>
    <w:next w:val="Normalny"/>
    <w:link w:val="TytuZnak"/>
    <w:uiPriority w:val="10"/>
    <w:qFormat/>
    <w:rsid w:val="00F53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5345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5345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5345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53451"/>
    <w:pPr>
      <w:spacing w:before="160"/>
      <w:jc w:val="center"/>
    </w:pPr>
    <w:rPr>
      <w:i/>
      <w:iCs/>
      <w:color w:val="404040" w:themeColor="text1" w:themeTint="BF"/>
    </w:rPr>
  </w:style>
  <w:style w:type="character" w:customStyle="1" w:styleId="CytatZnak">
    <w:name w:val="Cytat Znak"/>
    <w:basedOn w:val="Domylnaczcionkaakapitu"/>
    <w:link w:val="Cytat"/>
    <w:uiPriority w:val="29"/>
    <w:rsid w:val="00F53451"/>
    <w:rPr>
      <w:i/>
      <w:iCs/>
      <w:color w:val="404040" w:themeColor="text1" w:themeTint="BF"/>
    </w:rPr>
  </w:style>
  <w:style w:type="paragraph" w:styleId="Akapitzlist">
    <w:name w:val="List Paragraph"/>
    <w:basedOn w:val="Normalny"/>
    <w:uiPriority w:val="34"/>
    <w:qFormat/>
    <w:rsid w:val="00F53451"/>
    <w:pPr>
      <w:ind w:left="720"/>
      <w:contextualSpacing/>
    </w:pPr>
  </w:style>
  <w:style w:type="character" w:styleId="Wyrnienieintensywne">
    <w:name w:val="Intense Emphasis"/>
    <w:basedOn w:val="Domylnaczcionkaakapitu"/>
    <w:uiPriority w:val="21"/>
    <w:qFormat/>
    <w:rsid w:val="00F53451"/>
    <w:rPr>
      <w:i/>
      <w:iCs/>
      <w:color w:val="0F4761" w:themeColor="accent1" w:themeShade="BF"/>
    </w:rPr>
  </w:style>
  <w:style w:type="paragraph" w:styleId="Cytatintensywny">
    <w:name w:val="Intense Quote"/>
    <w:basedOn w:val="Normalny"/>
    <w:next w:val="Normalny"/>
    <w:link w:val="CytatintensywnyZnak"/>
    <w:uiPriority w:val="30"/>
    <w:qFormat/>
    <w:rsid w:val="00F53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53451"/>
    <w:rPr>
      <w:i/>
      <w:iCs/>
      <w:color w:val="0F4761" w:themeColor="accent1" w:themeShade="BF"/>
    </w:rPr>
  </w:style>
  <w:style w:type="character" w:styleId="Odwoanieintensywne">
    <w:name w:val="Intense Reference"/>
    <w:basedOn w:val="Domylnaczcionkaakapitu"/>
    <w:uiPriority w:val="32"/>
    <w:qFormat/>
    <w:rsid w:val="00F53451"/>
    <w:rPr>
      <w:b/>
      <w:bCs/>
      <w:smallCaps/>
      <w:color w:val="0F4761" w:themeColor="accent1" w:themeShade="BF"/>
      <w:spacing w:val="5"/>
    </w:rPr>
  </w:style>
  <w:style w:type="character" w:styleId="Tekstzastpczy">
    <w:name w:val="Placeholder Text"/>
    <w:basedOn w:val="Domylnaczcionkaakapitu"/>
    <w:uiPriority w:val="99"/>
    <w:semiHidden/>
    <w:rsid w:val="00AC3BB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545</TotalTime>
  <Pages>1</Pages>
  <Words>1302</Words>
  <Characters>7427</Characters>
  <Application>Microsoft Office Word</Application>
  <DocSecurity>0</DocSecurity>
  <Lines>61</Lines>
  <Paragraphs>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Bogumił Jankiewicz</dc:creator>
  <cp:keywords/>
  <dc:description/>
  <cp:lastModifiedBy>Bogumił Jankiewicz</cp:lastModifiedBy>
  <cp:revision>2</cp:revision>
  <dcterms:created xsi:type="dcterms:W3CDTF">2025-10-04T01:57:00Z</dcterms:created>
  <dcterms:modified xsi:type="dcterms:W3CDTF">2025-10-05T05:38:00Z</dcterms:modified>
</cp:coreProperties>
</file>