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SYTUACJA FINANSOWA KOBIET I MEZCZYZN W POLSCE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Kredyty, zadluzenie, upadlosci i transfery systemowe</w:t>
      </w:r>
    </w:p>
    <w:p>
      <w:pPr>
        <w:spacing w:after="600"/>
        <w:jc w:val="center"/>
      </w:pPr>
      <w:r>
        <w:rPr>
          <w:color w:val="808080"/>
          <w:sz w:val="20"/>
          <w:szCs w:val="20"/>
        </w:rPr>
        <w:t xml:space="preserve">Analiza dla projektu Kontrakt Plci | Listopad 2025</w:t>
      </w:r>
    </w:p>
    <w:p>
      <w:pPr>
        <w:pStyle w:val="Heading1"/>
      </w:pPr>
      <w:r>
        <w:t xml:space="preserve">STRESZCZENIE WYKONAWCZE</w:t>
      </w:r>
    </w:p>
    <w:p>
      <w:pPr>
        <w:spacing w:after="200"/>
      </w:pPr>
      <w:r>
        <w:t xml:space="preserve">Analiza sytuacji finansowej wedlug plci w Polsce ujawnia zlozony obraz, w ktorym </w:t>
      </w:r>
      <w:r>
        <w:rPr>
          <w:b/>
          <w:bCs/>
        </w:rPr>
        <w:t xml:space="preserve">mezczyzni dominuja wsrod dluznikow</w:t>
      </w:r>
      <w:r>
        <w:t xml:space="preserve"> pod kazdym wzgledem: stanowia 62% osob z zaleglosciami, maja o 21% wyzsze srednie zadluzenie i sa prawie dwukrotnie bardziej narazeni na wpadniecie w spirale dlugow (11% vs 6,2% populacji). Rownoczesnie jednak, w perspektywie calozyciowei, kobiety otrzymuja </w:t>
      </w:r>
      <w:r>
        <w:rPr>
          <w:b/>
          <w:bCs/>
        </w:rPr>
        <w:t xml:space="preserve">szacunkowo 15-20% wiecej transferow publicznych</w:t>
      </w:r>
      <w:r>
        <w:t xml:space="preserve"> - glownie dzieki dluzszemu zyciu i dominacji wsrod beneficjentow rent rodzinnych.</w:t>
      </w:r>
    </w:p>
    <w:p>
      <w:pPr>
        <w:spacing w:after="200"/>
      </w:pPr>
      <w:r>
        <w:t xml:space="preserve">Szczegolnie wyrazista asymetria jest struktura dlugow alimentacyjnych: </w:t>
      </w:r>
      <w:r>
        <w:rPr>
          <w:b/>
          <w:bCs/>
        </w:rPr>
        <w:t xml:space="preserve">96% dluznikow to ojcowie</w:t>
      </w:r>
      <w:r>
        <w:t xml:space="preserve">, a laczne zaleglosci przekraczaja 16,8 mld zl. System swietnie egzekwuje obowiazki finansowe ojcow, ale fatalnie egzekwuje ich prawa do kontaktu z dziecmi - co stanowi fundamentalna nierownosc kontraktowa.</w:t>
      </w:r>
    </w:p>
    <w:p>
      <w:pPr>
        <w:pStyle w:val="Heading1"/>
      </w:pPr>
      <w:r>
        <w:t xml:space="preserve">1. OGOLNY OBRAZ ZADLUZENIA</w:t>
      </w:r>
    </w:p>
    <w:p>
      <w:pPr>
        <w:spacing w:after="200"/>
      </w:pPr>
      <w:r>
        <w:t xml:space="preserve">Dane z rejestrow dluznikow (BIG InfoMonitor, KRD, Intrum) rysuja spojny obraz, w ktorym mezczyzni dominuja wsrod dluznikow pod kazdym wzgledem: liczbowo, kwotowo i strukturalnie. Na koniec 2024 roku w rejestrach figurowalo 2,54 mln dluznikow z lacznym zadluzeniem 84,7 mld zl.</w:t>
      </w:r>
    </w:p>
    <w:p>
      <w:pPr>
        <w:pStyle w:val="Heading2"/>
      </w:pPr>
      <w:r>
        <w:t xml:space="preserve">1.1. Podstawowe proporcje wedlug plci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Wskaznik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Mezczyzni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Kobiety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Udzial wsrod dluznikow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Srednie zadluzenie (BIG+BIK)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29 200 zl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24 100 zl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Odsetek populacji z problemami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6,2%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Udzial w dlugach alimentacyjnych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96%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4%</w:t>
            </w:r>
          </w:p>
        </w:tc>
      </w:tr>
    </w:tbl>
    <w:p>
      <w:pPr>
        <w:spacing w:before="200" w:after="200"/>
      </w:pPr>
      <w:r>
        <w:rPr>
          <w:i/>
          <w:iCs/>
          <w:sz w:val="20"/>
          <w:szCs w:val="20"/>
        </w:rPr>
        <w:t xml:space="preserve">Zrodla: </w:t>
      </w:r>
      <w:r>
        <w:rPr>
          <w:i/>
          <w:iCs/>
          <w:color w:val="666666"/>
          <w:sz w:val="20"/>
          <w:szCs w:val="20"/>
        </w:rPr>
        <w:t xml:space="preserve">BIG InfoMonitor, KRD, Intrum - dane za 2024 rok</w:t>
      </w:r>
    </w:p>
    <w:p>
      <w:pPr>
        <w:pStyle w:val="Heading1"/>
      </w:pPr>
      <w:r>
        <w:t xml:space="preserve">2. KREDYTY - KTO BIERZE I KTO SPLACA</w:t>
      </w:r>
    </w:p>
    <w:p>
      <w:pPr>
        <w:spacing w:after="200"/>
      </w:pPr>
      <w:r>
        <w:t xml:space="preserve">Wedlug danych BIK, poziom ukredytowania jest zblizony miedzy plciami: 50% mezczyzn i 47% kobiet posiada aktywny kredyt. Roznice pojawiaja sie jednak w jakosci splat i zachowaniach przy problemach finansowych.</w:t>
      </w:r>
    </w:p>
    <w:p>
      <w:pPr>
        <w:pStyle w:val="Heading2"/>
      </w:pPr>
      <w:r>
        <w:t xml:space="preserve">2.1. Jakosc splat kredytow hipotecznych</w:t>
      </w:r>
    </w:p>
    <w:p>
      <w:pPr>
        <w:spacing w:after="200"/>
      </w:pPr>
      <w:r>
        <w:t xml:space="preserve">Dane BIK ujawniaja wyrazna roznice w terminowosci splat w zaleznosci od struktury kredytobiorcow:</w:t>
      </w:r>
    </w:p>
    <w:p>
      <w:pPr>
        <w:pStyle w:val="ListParagraph"/>
        <w:numPr>
          <w:ilvl w:val="0"/>
          <w:numId w:val="2"/>
        </w:numPr>
      </w:pPr>
      <w:r>
        <w:t xml:space="preserve">Kredyt zaciagniety przez pare - zaleglosci tylko 1,7%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Kredyt zaciagniety przez samotnego mezczyzne - zaleglosci 5,5%</w:t>
      </w:r>
    </w:p>
    <w:p>
      <w:pPr>
        <w:pStyle w:val="ListParagraph"/>
        <w:numPr>
          <w:ilvl w:val="0"/>
          <w:numId w:val="2"/>
        </w:numPr>
      </w:pPr>
      <w:r>
        <w:t xml:space="preserve">Kredyt zaciagniety przez samotna kobiete - znacznie lepiej niz samotni mezczyzni</w:t>
      </w:r>
    </w:p>
    <w:p>
      <w:pPr>
        <w:spacing w:before="200" w:after="200"/>
      </w:pPr>
      <w:r>
        <w:t xml:space="preserve">Kobiety-single radza sobie ze splata kredytow hipotecznych wyraznie lepiej niz mezczyzni-single. Moze to sugerowac wieksza dyscypline finansowa lub ostrozniejsze podejmowanie decyzji kredytowych.</w:t>
      </w:r>
    </w:p>
    <w:p>
      <w:pPr>
        <w:pStyle w:val="Heading2"/>
      </w:pPr>
      <w:r>
        <w:t xml:space="preserve">2.2. Zachowania przy problemach finansowych</w:t>
      </w:r>
    </w:p>
    <w:p>
      <w:pPr>
        <w:spacing w:after="200"/>
      </w:pPr>
      <w:r>
        <w:t xml:space="preserve">Badanie BIG InfoMonitor pokazuje systematyczne roznice w reakcjach na trudnosci finansowe: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Strategia radzenia sobie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Kobiety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Mezczyzni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Najpierw ogranicza wydatki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68%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60%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Ratuje sie kredytem/pozyczka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10%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Sprzedaje niepotrzebne rzeczy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29%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17%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Kupuje rzeczy uzywane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26%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12%</w:t>
            </w:r>
          </w:p>
        </w:tc>
      </w:tr>
    </w:tbl>
    <w:p>
      <w:pPr>
        <w:spacing w:before="200" w:after="200"/>
      </w:pPr>
      <w:r>
        <w:t xml:space="preserve">Dane sugeruja, ze kobiety wykazuja wieksza awersje do ryzyka i bardziej konserwatywne podejscie do finansow osobistych. Mezczyzni dwukrotnie czesciej siegaja po dodatkowe kredyty jako rozwiazanie problemow finansowych.</w:t>
      </w:r>
    </w:p>
    <w:p>
      <w:pPr>
        <w:pStyle w:val="Heading1"/>
      </w:pPr>
      <w:r>
        <w:t xml:space="preserve">3. UPADLOSC KONSUMENCKA - ODWROCENIE TRENDU</w:t>
      </w:r>
    </w:p>
    <w:p>
      <w:pPr>
        <w:spacing w:after="200"/>
      </w:pPr>
      <w:r>
        <w:t xml:space="preserve">W upadlosciach konsumenckich obserwujemy ciekawe zjawisko: historycznie kobiety czesciej oglaszaly upadlosc, ale trend sie odwrocil po liberalizacji przepisow w 2020 roku.</w:t>
      </w:r>
    </w:p>
    <w:p>
      <w:pPr>
        <w:pStyle w:val="Heading2"/>
      </w:pPr>
      <w:r>
        <w:t xml:space="preserve">3.1. Ewolucja proporcji plciowych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Kobiety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Mezczyzni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Lacznie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2 112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56,7%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43,3%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~8 000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48,2%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51,8%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21 000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t xml:space="preserve">47%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53%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21 187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Interpretacja: </w:t>
      </w:r>
      <w:r>
        <w:t xml:space="preserve">W poczatkowej fazie (2015-2019), gdy upadlosc konsumencka byla trudno dostepna (wymog udowodnienia braku winy), kobiety czesciej korzystaly z tej instytucji. Po liberalizacji przepisow w 2020 r. mezczyzni dogonili kobiety, co lepiej odzwierciedla rzeczywista strukture zadluzenia.</w:t>
      </w:r>
    </w:p>
    <w:p>
      <w:pPr>
        <w:pStyle w:val="Heading1"/>
      </w:pPr>
      <w:r>
        <w:t xml:space="preserve">4. DLUGI ALIMENTACYJNE - ASYMETRIA SYSTEMOWA</w:t>
      </w:r>
    </w:p>
    <w:p>
      <w:pPr>
        <w:spacing w:after="200"/>
      </w:pPr>
      <w:r>
        <w:t xml:space="preserve">Zadluzenie alimentacyjne stanowi jeden z najbardziej wyrazistych przykladow asymetrii plciowej w systemie finansowym. Dane za 2025 rok pokazuja skale problemu:</w:t>
      </w:r>
    </w:p>
    <w:p>
      <w:pPr>
        <w:pStyle w:val="ListParagraph"/>
        <w:numPr>
          <w:ilvl w:val="0"/>
          <w:numId w:val="2"/>
        </w:numPr>
      </w:pPr>
      <w:r>
        <w:t xml:space="preserve">Laczne zaleglosci alimentacyjne: </w:t>
      </w:r>
      <w:r>
        <w:rPr>
          <w:b/>
          <w:bCs/>
        </w:rPr>
        <w:t xml:space="preserve">16,8 mld zl</w:t>
      </w:r>
    </w:p>
    <w:p>
      <w:pPr>
        <w:pStyle w:val="ListParagraph"/>
        <w:numPr>
          <w:ilvl w:val="0"/>
          <w:numId w:val="2"/>
        </w:numPr>
      </w:pPr>
      <w:r>
        <w:t xml:space="preserve">Liczba dluznikow: </w:t>
      </w:r>
      <w:r>
        <w:rPr>
          <w:b/>
          <w:bCs/>
        </w:rPr>
        <w:t xml:space="preserve">~292 000 osob</w:t>
      </w:r>
    </w:p>
    <w:p>
      <w:pPr>
        <w:pStyle w:val="ListParagraph"/>
        <w:numPr>
          <w:ilvl w:val="0"/>
          <w:numId w:val="2"/>
        </w:numPr>
      </w:pPr>
      <w:r>
        <w:t xml:space="preserve">Sredni dlug na osobe: </w:t>
      </w:r>
      <w:r>
        <w:rPr>
          <w:b/>
          <w:bCs/>
        </w:rPr>
        <w:t xml:space="preserve">57 500 zl</w:t>
      </w:r>
      <w:r>
        <w:t xml:space="preserve"> (wiecej niz roczne minimalne wynagrodzenie)</w:t>
      </w:r>
    </w:p>
    <w:p>
      <w:pPr>
        <w:pStyle w:val="Heading2"/>
      </w:pPr>
      <w:r>
        <w:t xml:space="preserve">4.1. Struktura plciowa dluznikow alimentacyjnych</w:t>
      </w:r>
    </w:p>
    <w:p>
      <w:pPr>
        <w:spacing w:after="200"/>
      </w:pPr>
      <w:r>
        <w:t xml:space="preserve">Do Rejestru Dluznikow BIG InfoMonitor zgloszono 272 699 nieplacących ojcow, co stanowi </w:t>
      </w:r>
      <w:r>
        <w:rPr>
          <w:b/>
          <w:bCs/>
        </w:rPr>
        <w:t xml:space="preserve">niemal 94% wszystkich zobowiazanych</w:t>
      </w:r>
      <w:r>
        <w:t xml:space="preserve">. Najliczniejsza grupe stanowia mezczyzni w wieku 45-54 lat (prawie 99 tys. dluznikow).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Grupa wiekowa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Ojcowie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Matki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45-54 lata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98 953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6 977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35-44 lata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77 956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~5 500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55-64 lata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58 652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~4 000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RAZEM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272 699 (94%)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18 424 (6%)</w:t>
            </w:r>
          </w:p>
        </w:tc>
      </w:tr>
    </w:tbl>
    <w:p>
      <w:pPr>
        <w:pStyle w:val="Heading2"/>
      </w:pPr>
      <w:r>
        <w:t xml:space="preserve">4.2. Kontekst interpretacyjny - asymetria egzekucji</w:t>
      </w:r>
    </w:p>
    <w:p>
      <w:pPr>
        <w:spacing w:after="200"/>
      </w:pPr>
      <w:r>
        <w:t xml:space="preserve">Dominacja mezczyzn w zadluzeniu alimentacyjnym (96%) wynika z kilku czynnikow systemowych: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Struktura orzeczen sadowych: </w:t>
      </w:r>
      <w:r>
        <w:t xml:space="preserve">w ~98% przypadkow opieka przypada matkom, ojcowie placa alimenty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Asymetria egzekucji: </w:t>
      </w:r>
      <w:r>
        <w:t xml:space="preserve">alimenty sa natychmiast sciagalne przez komornika z wpisem do BIG; kontakty z dzieckiem wymagaja wielomiesiecznych procedur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Brak powiazania alimentow z kontaktami: </w:t>
      </w:r>
      <w:r>
        <w:t xml:space="preserve">ojciec moze byc pozbawiony kontaktu z dzieckiem, ale nadal musi placic; matka moze blokowac kontakty bez konsekwencji finansowych</w:t>
      </w:r>
    </w:p>
    <w:p>
      <w:pPr>
        <w:pStyle w:val="Heading1"/>
      </w:pPr>
      <w:r>
        <w:t xml:space="preserve">5. PELNY BILANS TRANSFEROW</w:t>
      </w:r>
    </w:p>
    <w:p>
      <w:pPr>
        <w:spacing w:after="200"/>
      </w:pPr>
      <w:r>
        <w:t xml:space="preserve">Perspektywa calozycowa ujawnia bardziej zlozony obraz niz analiza biezacego zadluzenia.</w:t>
      </w:r>
    </w:p>
    <w:p>
      <w:pPr>
        <w:pStyle w:val="Heading2"/>
      </w:pPr>
      <w:r>
        <w:t xml:space="preserve">5.1. Szacunkowe transfery zyciowe w Polsce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Kategoria transferu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Mezczyzni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Kobiety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Emerytury (suma zyciowa)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~920 000 zl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~841 000 zl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Opieka zdrowotna NFZ (szacunek)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~280 000 zl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~375 000 zl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Opieka dlugoterminowa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nizsza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znacznie wyzsza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Renty rodzinne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rzadko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czesto (85%)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SUMA SZACUNKOWA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~1 200 000 zl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~1 400 000+ zl</w:t>
            </w:r>
          </w:p>
        </w:tc>
      </w:tr>
    </w:tbl>
    <w:p>
      <w:pPr>
        <w:pStyle w:val="Heading2"/>
      </w:pPr>
      <w:r>
        <w:t xml:space="preserve">5.2. Kluczowe asymetrie</w:t>
      </w:r>
    </w:p>
    <w:p>
      <w:pPr>
        <w:pStyle w:val="ListParagraph"/>
        <w:numPr>
          <w:ilvl w:val="0"/>
          <w:numId w:val="2"/>
        </w:numPr>
      </w:pPr>
      <w:r>
        <w:t xml:space="preserve">Kobiety pobieraja emerytury przez </w:t>
      </w:r>
      <w:r>
        <w:rPr>
          <w:b/>
          <w:bCs/>
        </w:rPr>
        <w:t xml:space="preserve">25,1 lat</w:t>
      </w:r>
      <w:r>
        <w:t xml:space="preserve"> vs mezczyzni 18,7 lat </w:t>
      </w:r>
      <w:r>
        <w:rPr>
          <w:b/>
          <w:bCs/>
          <w:color w:val="1F4E79"/>
        </w:rPr>
        <w:t xml:space="preserve">(+34%)</w:t>
      </w:r>
    </w:p>
    <w:p>
      <w:pPr>
        <w:pStyle w:val="ListParagraph"/>
        <w:numPr>
          <w:ilvl w:val="0"/>
          <w:numId w:val="2"/>
        </w:numPr>
      </w:pPr>
      <w:r>
        <w:t xml:space="preserve">Kobiety generuja </w:t>
      </w:r>
      <w:r>
        <w:rPr>
          <w:b/>
          <w:bCs/>
        </w:rPr>
        <w:t xml:space="preserve">34% wyzsze</w:t>
      </w:r>
      <w:r>
        <w:t xml:space="preserve"> dozyciowe koszty zdrowotne</w:t>
      </w:r>
    </w:p>
    <w:p>
      <w:pPr>
        <w:pStyle w:val="ListParagraph"/>
        <w:numPr>
          <w:ilvl w:val="0"/>
          <w:numId w:val="2"/>
        </w:numPr>
      </w:pPr>
      <w:r>
        <w:t xml:space="preserve">Kobiety stanowia </w:t>
      </w:r>
      <w:r>
        <w:rPr>
          <w:b/>
          <w:bCs/>
        </w:rPr>
        <w:t xml:space="preserve">70-85%</w:t>
      </w:r>
      <w:r>
        <w:t xml:space="preserve"> beneficjentow opieki dlugoterminowej i rent rodzinnych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 razy wiecej</w:t>
      </w:r>
      <w:r>
        <w:t xml:space="preserve"> wdow niz wdowcow pobiera rente rodzinna</w:t>
      </w:r>
    </w:p>
    <w:p>
      <w:pPr>
        <w:pStyle w:val="Heading1"/>
      </w:pPr>
      <w:r>
        <w:t xml:space="preserve">6. SYNTEZA: KONTRAKT FISKALNY PLCI</w:t>
      </w:r>
    </w:p>
    <w:p>
      <w:pPr>
        <w:pStyle w:val="Heading2"/>
      </w:pPr>
      <w:r>
        <w:t xml:space="preserve">6.1. Perspektywa biezaca (zadluzenie)</w:t>
      </w:r>
    </w:p>
    <w:p>
      <w:pPr>
        <w:pStyle w:val="ListParagraph"/>
        <w:numPr>
          <w:ilvl w:val="0"/>
          <w:numId w:val="2"/>
        </w:numPr>
      </w:pPr>
      <w:r>
        <w:t xml:space="preserve">Mezczyzni sa dwukrotnie bardziej narazeni na problemy finansowe</w:t>
      </w:r>
    </w:p>
    <w:p>
      <w:pPr>
        <w:pStyle w:val="ListParagraph"/>
        <w:numPr>
          <w:ilvl w:val="0"/>
          <w:numId w:val="2"/>
        </w:numPr>
      </w:pPr>
      <w:r>
        <w:t xml:space="preserve">Mezczyzni maja wyzsze srednie zadluzenie (+21%)</w:t>
      </w:r>
    </w:p>
    <w:p>
      <w:pPr>
        <w:pStyle w:val="ListParagraph"/>
        <w:numPr>
          <w:ilvl w:val="0"/>
          <w:numId w:val="2"/>
        </w:numPr>
      </w:pPr>
      <w:r>
        <w:t xml:space="preserve">Mezczyzni stanowia 96% dluznikow alimentacyjnych</w:t>
      </w:r>
    </w:p>
    <w:p>
      <w:pPr>
        <w:pStyle w:val="ListParagraph"/>
        <w:numPr>
          <w:ilvl w:val="0"/>
          <w:numId w:val="2"/>
        </w:numPr>
      </w:pPr>
      <w:r>
        <w:t xml:space="preserve">Mezczyzni czesciej oglaszaja upadlosc konsumencka</w:t>
      </w:r>
    </w:p>
    <w:p>
      <w:pPr>
        <w:pStyle w:val="Heading2"/>
      </w:pPr>
      <w:r>
        <w:t xml:space="preserve">6.2. Perspektywa calozyciowa (transfery)</w:t>
      </w:r>
    </w:p>
    <w:p>
      <w:pPr>
        <w:pStyle w:val="ListParagraph"/>
        <w:numPr>
          <w:ilvl w:val="0"/>
          <w:numId w:val="2"/>
        </w:numPr>
      </w:pPr>
      <w:r>
        <w:t xml:space="preserve">Kobiety otrzymuja 15-20% wiecej transferow publicznych przez cale zycie</w:t>
      </w:r>
    </w:p>
    <w:p>
      <w:pPr>
        <w:pStyle w:val="ListParagraph"/>
        <w:numPr>
          <w:ilvl w:val="0"/>
          <w:numId w:val="2"/>
        </w:numPr>
      </w:pPr>
      <w:r>
        <w:t xml:space="preserve">Kobiety placa nizsze skladki (przez luke placowa)</w:t>
      </w:r>
    </w:p>
    <w:p>
      <w:pPr>
        <w:pStyle w:val="ListParagraph"/>
        <w:numPr>
          <w:ilvl w:val="0"/>
          <w:numId w:val="2"/>
        </w:numPr>
      </w:pPr>
      <w:r>
        <w:t xml:space="preserve">Kobiety pobieraja dluzej swiadczenia emerytalne i zdrowotne</w:t>
      </w:r>
    </w:p>
    <w:p>
      <w:pPr>
        <w:pStyle w:val="ListParagraph"/>
        <w:numPr>
          <w:ilvl w:val="0"/>
          <w:numId w:val="2"/>
        </w:numPr>
      </w:pPr>
      <w:r>
        <w:t xml:space="preserve">Kobiety sa glownymi beneficjentami rent rodzinnych po smierci meza</w:t>
      </w:r>
    </w:p>
    <w:p>
      <w:pPr>
        <w:pStyle w:val="Heading2"/>
      </w:pPr>
      <w:r>
        <w:t xml:space="preserve">6.3. Model interpretacyjny</w:t>
      </w:r>
    </w:p>
    <w:p>
      <w:pPr>
        <w:spacing w:after="200"/>
      </w:pPr>
      <w:r>
        <w:t xml:space="preserve">Mezczyzni ponosza </w:t>
      </w:r>
      <w:r>
        <w:rPr>
          <w:b/>
          <w:bCs/>
        </w:rPr>
        <w:t xml:space="preserve">wyzsze ryzyko finansowe w trakcie zycia zawodowego</w:t>
      </w:r>
      <w:r>
        <w:t xml:space="preserve"> (wiecej kredytow, wiecej upadlosci, wiecej zaleglosci), ale to wlasnie ich wyzsze zarobki i dluzsza praca skladkowa finansuja system, z ktorego kobiety korzystaja </w:t>
      </w:r>
      <w:r>
        <w:rPr>
          <w:b/>
          <w:bCs/>
        </w:rPr>
        <w:t xml:space="preserve">dluzej i w wiekszym stopniu</w:t>
      </w:r>
      <w:r>
        <w:t xml:space="preserve"> dzieki przewadze w dlugosci zycia.</w:t>
      </w:r>
    </w:p>
    <w:p>
      <w:pPr>
        <w:spacing w:after="200"/>
      </w:pPr>
      <w:r>
        <w:t xml:space="preserve">To nie jest argument za niesprawiedliwoscia w ktörakolwiek strone - to </w:t>
      </w:r>
      <w:r>
        <w:rPr>
          <w:b/>
          <w:bCs/>
        </w:rPr>
        <w:t xml:space="preserve">empiryczny opis mechanizmu</w:t>
      </w:r>
      <w:r>
        <w:t xml:space="preserve">, ktory pozostaje niewidoczny w dyskursie o nieröwnosciach skupionym wylacznie na miesiecznych wskaznikach.</w:t>
      </w:r>
    </w:p>
    <w:p>
      <w:pPr>
        <w:pStyle w:val="Heading1"/>
      </w:pPr>
      <w:r>
        <w:t xml:space="preserve">ZRODLA</w:t>
      </w:r>
    </w:p>
    <w:p>
      <w:pPr>
        <w:spacing w:after="100"/>
      </w:pPr>
      <w:r>
        <w:rPr>
          <w:sz w:val="20"/>
          <w:szCs w:val="20"/>
        </w:rPr>
        <w:t xml:space="preserve">BIG InfoMonitor (2024). Raport InfoDlug - zadluzenie Polakow.</w:t>
      </w:r>
    </w:p>
    <w:p>
      <w:pPr>
        <w:spacing w:after="100"/>
      </w:pPr>
      <w:r>
        <w:rPr>
          <w:sz w:val="20"/>
          <w:szCs w:val="20"/>
        </w:rPr>
        <w:t xml:space="preserve">Krajowy Rejestr Dlugow (2024). Statystyki zadluzenia konsumentow.</w:t>
      </w:r>
    </w:p>
    <w:p>
      <w:pPr>
        <w:spacing w:after="100"/>
      </w:pPr>
      <w:r>
        <w:rPr>
          <w:sz w:val="20"/>
          <w:szCs w:val="20"/>
        </w:rPr>
        <w:t xml:space="preserve">Centralny Osrodek Informacji Gospodarczej (2024). Upadlosci konsumenckie w Polsce.</w:t>
      </w:r>
    </w:p>
    <w:p>
      <w:pPr>
        <w:spacing w:after="100"/>
      </w:pPr>
      <w:r>
        <w:rPr>
          <w:sz w:val="20"/>
          <w:szCs w:val="20"/>
        </w:rPr>
        <w:t xml:space="preserve">Biuro Informacji Kredytowej (2024). Analizy rynku kredytowego.</w:t>
      </w:r>
    </w:p>
    <w:p>
      <w:pPr>
        <w:spacing w:after="100"/>
      </w:pPr>
      <w:r>
        <w:rPr>
          <w:sz w:val="20"/>
          <w:szCs w:val="20"/>
        </w:rPr>
        <w:t xml:space="preserve">Intrum (2024). Raport o zadluzeniu Polakow wedlug plci.</w:t>
      </w:r>
    </w:p>
    <w:p>
      <w:pPr>
        <w:spacing w:after="100"/>
      </w:pPr>
      <w:r>
        <w:rPr>
          <w:sz w:val="20"/>
          <w:szCs w:val="20"/>
        </w:rPr>
        <w:t xml:space="preserve">ZUS (2024). Statystyki emerytur i rent rodzinnych.</w:t>
      </w:r>
    </w:p>
    <w:p>
      <w:pPr>
        <w:spacing w:after="100"/>
      </w:pPr>
      <w:r>
        <w:rPr>
          <w:sz w:val="20"/>
          <w:szCs w:val="20"/>
        </w:rPr>
        <w:t xml:space="preserve">OECD (2023). Pensions at a Glance.</w:t>
      </w:r>
    </w:p>
    <w:p>
      <w:pPr>
        <w:spacing w:after="100"/>
      </w:pPr>
      <w:r>
        <w:rPr>
          <w:sz w:val="20"/>
          <w:szCs w:val="20"/>
        </w:rPr>
        <w:t xml:space="preserve">Alemayehu B., Warner K. (2004). The Lifetime Distribution of Health Care Costs.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20"/>
        <w:szCs w:val="20"/>
      </w:rPr>
      <w:t xml:space="preserve">Kontrakt Fiskalny Plci - Analiza Finansowa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2025-11-28T08:55:14.536Z</dcterms:created>
  <dcterms:modified xsi:type="dcterms:W3CDTF">2025-11-28T08:55:14.537Z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