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2B579A"/>
          <w:sz w:val="56"/>
          <w:szCs w:val="56"/>
        </w:rPr>
        <w:t xml:space="preserve">MODEL PĘTLI NIEWYSTARCZALNOŚCI</w:t>
      </w:r>
    </w:p>
    <w:p>
      <w:pPr>
        <w:spacing w:after="200"/>
        <w:jc w:val="center"/>
      </w:pPr>
      <w:r>
        <w:rPr>
          <w:color w:val="404040"/>
          <w:sz w:val="28"/>
          <w:szCs w:val="28"/>
        </w:rPr>
        <w:t xml:space="preserve">Systemowa analiza emergentnych mechanizmów reprodukcji norm płciowych</w:t>
      </w:r>
    </w:p>
    <w:p>
      <w:pPr>
        <w:spacing w:after="600"/>
        <w:jc w:val="center"/>
      </w:pPr>
      <w:r>
        <w:rPr>
          <w:i/>
          <w:iCs/>
          <w:color w:val="595959"/>
          <w:sz w:val="24"/>
          <w:szCs w:val="24"/>
        </w:rPr>
        <w:t xml:space="preserve">Od korzeni ewolucyjnych przez transmisję i egzekucję norm, biasy poznawcze, kontrakty społeczne, aż po rozpad systemu i blokadę renegocjacji</w:t>
      </w:r>
    </w:p>
    <w:p>
      <w:pPr>
        <w:spacing w:after="100"/>
        <w:jc w:val="center"/>
      </w:pPr>
      <w:r>
        <w:rPr>
          <w:sz w:val="22"/>
          <w:szCs w:val="22"/>
        </w:rPr>
        <w:t xml:space="preserve">Wersja: 1.0 | Grudzień 2025</w:t>
      </w:r>
    </w:p>
    <w:p>
      <w:pPr>
        <w:spacing w:after="100"/>
        <w:jc w:val="center"/>
      </w:pPr>
      <w:r>
        <w:rPr>
          <w:sz w:val="22"/>
          <w:szCs w:val="22"/>
        </w:rPr>
        <w:t xml:space="preserve">Projekt: Boy Burger</w:t>
      </w:r>
    </w:p>
    <w:p>
      <w:pPr>
        <w:jc w:val="center"/>
      </w:pPr>
      <w:r>
        <w:rPr>
          <w:sz w:val="22"/>
          <w:szCs w:val="22"/>
        </w:rPr>
        <w:t xml:space="preserve">Synteza akademicka na podstawie &gt;200 źródeł empirycznych</w:t>
      </w:r>
    </w:p>
    <w:p>
      <w:pPr>
        <w:spacing w:before="800"/>
      </w:pPr>
    </w:p>
    <w:p>
      <w:pPr>
        <w:pStyle w:val="Heading1"/>
        <w:spacing w:before="400" w:after="200"/>
      </w:pPr>
      <w:r>
        <w:rPr>
          <w:b/>
          <w:bCs/>
          <w:color w:val="2B579A"/>
          <w:sz w:val="32"/>
          <w:szCs w:val="32"/>
        </w:rPr>
        <w:t xml:space="preserve">Streszczenie</w:t>
      </w:r>
    </w:p>
    <w:p>
      <w:pPr>
        <w:spacing w:after="120"/>
        <w:jc w:val="both"/>
      </w:pPr>
      <w:r>
        <w:rPr>
          <w:sz w:val="22"/>
          <w:szCs w:val="22"/>
        </w:rPr>
        <w:t xml:space="preserve">Niniejszy dokument przedstawia kompleksowy, wielowarstwowy model teoretyczny wyjaśniający mechanizmy powstawania, transmisji i egzekwowania norm płciowych, ze szczególnym uwzględnieniem konsekwencji dla mężczyzn. Model Pętli Niewystarczalności (MPN) integruje perspektywy psychologii ewolucyjnej, społecznej, poznawczej oraz socjologii, tworząc spójną ramę analityczną dla zjawisk takich jak: 7,3-letnia luka w długości życia między płciami w Polsce, 84% udział mężczyzn w samobójstwach, czy 2,3% orzeczeń o opiece naprzemiennej.</w:t>
      </w:r>
    </w:p>
    <w:p>
      <w:pPr>
        <w:spacing w:after="120"/>
        <w:jc w:val="both"/>
      </w:pPr>
      <w:r>
        <w:rPr>
          <w:sz w:val="22"/>
          <w:szCs w:val="22"/>
        </w:rPr>
        <w:t xml:space="preserve">Model identyfikuje pięć wzajemnie wzmacniających się warstw: (1) ewolucyjne pochodzenie asymetrii reprodukcyjnej, (2) transmisję norm przez opiekunów pierwotnych (głównie kobiety — 77% ekspozycji), (3) egzekwowanie norm przez kary społeczne, (4) biasy poznawcze perpetuujące system (WAW, rycerskość, gamma bias), oraz (5) historyczny kontrakt płci jako mechanizm równoważący, którego jednostronny rozpad po 1960 roku zablokował możliwość renegocjacji przy zachowaniu kosztów dla mężczyzn.</w:t>
      </w:r>
    </w:p>
    <w:p>
      <w:pPr>
        <w:spacing w:after="120"/>
        <w:jc w:val="both"/>
      </w:pPr>
      <w:r>
        <w:rPr>
          <w:sz w:val="22"/>
          <w:szCs w:val="22"/>
        </w:rPr>
        <w:t xml:space="preserve">Centralną tezą jest stwierdzenie, że patriarchat nie był jednostronnym narzuceniem przez mężczyzn, lecz emergentnym systemem współtworzonym przez obie płci poprzez selekcję seksualną, transmisję norm i instytucjonalizację — systemem, który obecnie ulega dysfunkcjonalnej destabilizacji generującej katastrofalne konsekwencje dla obu płci, ale szczególnie dla mężczyzn, których problemy pozostają niewidoczne z powodu udokumentowanych mechanizmów poznawczych.</w:t>
      </w:r>
    </w:p>
    <w:p>
      <w:pPr>
        <w:spacing w:before="400"/>
      </w:pPr>
    </w:p>
    <w:p>
      <w:pPr>
        <w:pStyle w:val="Heading1"/>
        <w:spacing w:before="400" w:after="200"/>
      </w:pPr>
      <w:r>
        <w:rPr>
          <w:b/>
          <w:bCs/>
          <w:color w:val="2B579A"/>
          <w:sz w:val="32"/>
          <w:szCs w:val="32"/>
        </w:rPr>
        <w:t xml:space="preserve">Część I: Fundament ewolucyjny — Pochodzenie asymetrii</w:t>
      </w:r>
    </w:p>
    <w:p>
      <w:pPr>
        <w:pStyle w:val="Heading2"/>
        <w:spacing w:before="300" w:after="150"/>
      </w:pPr>
      <w:r>
        <w:rPr>
          <w:b/>
          <w:bCs/>
          <w:color w:val="404040"/>
          <w:sz w:val="26"/>
          <w:szCs w:val="26"/>
        </w:rPr>
        <w:t xml:space="preserve">1.1. Teoria inwestycji rodzicielskiej Triversa</w:t>
      </w:r>
    </w:p>
    <w:p>
      <w:pPr>
        <w:spacing w:after="120"/>
        <w:jc w:val="both"/>
      </w:pPr>
      <w:r>
        <w:rPr>
          <w:sz w:val="22"/>
          <w:szCs w:val="22"/>
        </w:rPr>
        <w:t xml:space="preserve">Robert Trivers w fundamentalnej pracy z 1972 roku sformułował teorię wyjaśniającą asymetrię między płciami: płeć ponosząca wyższe koszty inwestycji w potomstwo (ciąża, laktacja, opieka) ewoluuje w kierunku większej selektywności przy wyborze partnera, podczas gdy płeć o niższych kosztach obligatoryjnych konkuruje wewnątrzpłciowo o dostęp reprodukcyjny.</w:t>
      </w:r>
    </w:p>
    <w:p>
      <w:pPr>
        <w:spacing w:after="120"/>
        <w:jc w:val="both"/>
      </w:pPr>
      <w:r>
        <w:rPr>
          <w:sz w:val="22"/>
          <w:szCs w:val="22"/>
        </w:rPr>
        <w:t xml:space="preserve">Konsekwencje tej dynamiki są fundamentalne dla zrozumienia współczesnych relacji płciowych:</w:t>
      </w:r>
    </w:p>
    <w:p>
      <w:pPr>
        <w:pStyle w:val="ListParagraph"/>
        <w:numPr>
          <w:ilvl w:val="0"/>
          <w:numId w:val="2"/>
        </w:numPr>
        <w:spacing w:after="80"/>
      </w:pPr>
      <w:r>
        <w:rPr>
          <w:sz w:val="22"/>
          <w:szCs w:val="22"/>
        </w:rPr>
        <w:t xml:space="preserve">Kobiety ewoluowały jako płeć selektywna (choosy) — wyższe koszty błędnej decyzji reprodukcyjnej</w:t>
      </w:r>
    </w:p>
    <w:p>
      <w:pPr>
        <w:pStyle w:val="ListParagraph"/>
        <w:numPr>
          <w:ilvl w:val="0"/>
          <w:numId w:val="2"/>
        </w:numPr>
        <w:spacing w:after="80"/>
      </w:pPr>
      <w:r>
        <w:rPr>
          <w:sz w:val="22"/>
          <w:szCs w:val="22"/>
        </w:rPr>
        <w:t xml:space="preserve">Mężczyźni ewoluowali jako płeć konkurująca (competing) — niższe koszty obligatoryjne, wyższa wariancja sukcesu reprodukcyjnego</w:t>
      </w:r>
    </w:p>
    <w:p>
      <w:pPr>
        <w:pStyle w:val="ListParagraph"/>
        <w:numPr>
          <w:ilvl w:val="0"/>
          <w:numId w:val="2"/>
        </w:numPr>
        <w:spacing w:after="120"/>
      </w:pPr>
      <w:r>
        <w:rPr>
          <w:sz w:val="22"/>
          <w:szCs w:val="22"/>
        </w:rPr>
        <w:t xml:space="preserve">Selekcja seksualna kształtowała cechy męskie w kierunku preferowanym przez kobiety — status, zasoby, zdolność ochrony</w:t>
      </w:r>
    </w:p>
    <w:p>
      <w:pPr>
        <w:pStyle w:val="Heading2"/>
        <w:spacing w:before="300" w:after="150"/>
      </w:pPr>
      <w:r>
        <w:rPr>
          <w:b/>
          <w:bCs/>
          <w:color w:val="404040"/>
          <w:sz w:val="26"/>
          <w:szCs w:val="26"/>
        </w:rPr>
        <w:t xml:space="preserve">1.2. Dowody genetyczne — drastyczna asymetria reprodukcyjna</w:t>
      </w:r>
    </w:p>
    <w:p>
      <w:pPr>
        <w:spacing w:after="120"/>
        <w:jc w:val="both"/>
      </w:pPr>
      <w:r>
        <w:rPr>
          <w:sz w:val="22"/>
          <w:szCs w:val="22"/>
        </w:rPr>
        <w:t xml:space="preserve">Analiza 456 sekwencji chromosomu Y przeprowadzona przez Karmina i współpracowników (2015) wykazała, że w okresie 8000-4000 lat temu efektywna wielkość populacji kobiet była do 17 razy większa niż mężczyzn. Oznacza to, że ogromna większość mężczyzn nie przekazała swoich genów, podczas gdy reprodukcja kobieca była znacznie bardziej egalitarna.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Okres</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Stosunek K:M</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Przyczyna</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Paleolityczny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~2-4:1</w:t>
            </w:r>
          </w:p>
        </w:tc>
        <w:tc>
          <w:tcPr>
            <w:tcW w:type="dxa" w:w="4680"/>
            <w:tcBorders>
              <w:top w:val="single" w:color="CCCCCC" w:sz="1"/>
              <w:left w:val="single" w:color="CCCCCC" w:sz="1"/>
              <w:bottom w:val="single" w:color="CCCCCC" w:sz="1"/>
              <w:right w:val="single" w:color="CCCCCC" w:sz="1"/>
            </w:tcBorders>
          </w:tcPr>
          <w:p>
            <w:r>
              <w:rPr>
                <w:sz w:val="22"/>
                <w:szCs w:val="22"/>
              </w:rPr>
              <w:t xml:space="preserve">Naturalna selekcja, śmiertelność łowiecka</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Neolityczny (8-4 tys. lat)</w:t>
            </w:r>
          </w:p>
        </w:tc>
        <w:tc>
          <w:tcPr>
            <w:tcW w:type="dxa" w:w="234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do 17:1</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Rywalizacja patrilinearnych klanów (Zeng 2018)</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Historyczny</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~4-8:1</w:t>
            </w:r>
          </w:p>
        </w:tc>
        <w:tc>
          <w:tcPr>
            <w:tcW w:type="dxa" w:w="4680"/>
            <w:tcBorders>
              <w:top w:val="single" w:color="CCCCCC" w:sz="1"/>
              <w:left w:val="single" w:color="CCCCCC" w:sz="1"/>
              <w:bottom w:val="single" w:color="CCCCCC" w:sz="1"/>
              <w:right w:val="single" w:color="CCCCCC" w:sz="1"/>
            </w:tcBorders>
          </w:tcPr>
          <w:p>
            <w:r>
              <w:rPr>
                <w:sz w:val="22"/>
                <w:szCs w:val="22"/>
              </w:rPr>
              <w:t xml:space="preserve">Monogamia normatywna jako stabilizator</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Współczesny</w:t>
            </w:r>
          </w:p>
        </w:tc>
        <w:tc>
          <w:tcPr>
            <w:tcW w:type="dxa" w:w="234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~1.5:1</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Instytucje egalitarne, ale powrót asymetrii (aplikacje randkowe)</w:t>
            </w:r>
          </w:p>
        </w:tc>
      </w:tr>
    </w:tbl>
    <w:p>
      <w:pPr>
        <w:spacing w:after="200"/>
      </w:pPr>
      <w:r>
        <w:rPr>
          <w:i/>
          <w:iCs/>
          <w:color w:val="595959"/>
          <w:sz w:val="20"/>
          <w:szCs w:val="20"/>
        </w:rPr>
        <w:t xml:space="preserve">Tabela 1. Historyczne stosunki reprodukcji kobiet do mężczyzn</w:t>
      </w:r>
    </w:p>
    <w:p>
      <w:pPr>
        <w:pStyle w:val="Heading2"/>
        <w:spacing w:before="300" w:after="150"/>
      </w:pPr>
      <w:r>
        <w:rPr>
          <w:b/>
          <w:bCs/>
          <w:color w:val="404040"/>
          <w:sz w:val="26"/>
          <w:szCs w:val="26"/>
        </w:rPr>
        <w:t xml:space="preserve">1.3. Selekcja seksualna a kształtowanie cech męskich</w:t>
      </w:r>
    </w:p>
    <w:p>
      <w:pPr>
        <w:spacing w:after="120"/>
        <w:jc w:val="both"/>
      </w:pPr>
      <w:r>
        <w:rPr>
          <w:sz w:val="22"/>
          <w:szCs w:val="22"/>
        </w:rPr>
        <w:t xml:space="preserve">Badanie Davida Bussa z 1989 roku obejmujące 37 kultur (N = 10 047) wykazało, że w 36 z 37 społeczeństw kobiety bardziej ceniły 'dobre perspektywy finansowe' partnera niż mężczyźni. Replikacja z 2020 roku w 45 krajach (Walter i in., N = 14 399) potwierdziła utrzymywanie się tych różnic. Kobiety cross-kulturowo preferują starszych partnerów (średnio o 3,42 roku), ceniąc ambicję, pracowitość i status społeczny.</w:t>
      </w:r>
    </w:p>
    <w:p>
      <w:pPr>
        <w:shd w:fill="FFF3CD" w:val="clear"/>
        <w:spacing w:after="120" w:before="120"/>
        <w:ind w:left="720" w:right="720"/>
      </w:pPr>
      <w:r>
        <w:rPr>
          <w:i/>
          <w:iCs/>
          <w:sz w:val="22"/>
          <w:szCs w:val="22"/>
        </w:rPr>
        <w:t xml:space="preserve">Kluczowy wniosek: Kobiece preferencje partnerskie dla statusu, zasobów i cech dominacyjnych są cross-kulturowo udokumentowane i wywierały presję selekcyjną na męską morfologię i zachowania (dymorfizm płciowy, wysokość, niski głos). Patriarchat jest częściowo produktem kobiecych preferencji seksualnych.</w:t>
      </w:r>
    </w:p>
    <w:p>
      <w:pPr>
        <w:pStyle w:val="Heading2"/>
        <w:spacing w:before="300" w:after="150"/>
      </w:pPr>
      <w:r>
        <w:rPr>
          <w:b/>
          <w:bCs/>
          <w:color w:val="404040"/>
          <w:sz w:val="26"/>
          <w:szCs w:val="26"/>
        </w:rPr>
        <w:t xml:space="preserve">1.4. Paradoks benewolentnego seksizmu — kluczowy dowód</w:t>
      </w:r>
    </w:p>
    <w:p>
      <w:pPr>
        <w:spacing w:after="120"/>
        <w:jc w:val="both"/>
      </w:pPr>
      <w:r>
        <w:rPr>
          <w:sz w:val="22"/>
          <w:szCs w:val="22"/>
        </w:rPr>
        <w:t xml:space="preserve">Przełomowe badanie Gul i Kupfer (2018, N &gt; 700 kobiet, 5 eksperymentów) wykazało paradoks: kobiety preferują mężczyzn z cechami benewolentnego seksizmu MIMO świadomości, że są patronizujący i podważający ich kompetencje. Kluczowe ustalenia:</w:t>
      </w:r>
    </w:p>
    <w:p>
      <w:pPr>
        <w:pStyle w:val="ListParagraph"/>
        <w:numPr>
          <w:ilvl w:val="0"/>
          <w:numId w:val="2"/>
        </w:numPr>
        <w:spacing w:after="80"/>
      </w:pPr>
      <w:r>
        <w:rPr>
          <w:sz w:val="22"/>
          <w:szCs w:val="22"/>
        </w:rPr>
        <w:t xml:space="preserve">Kobiety postrzegają BS mężczyzn jako bardziej patronizujących i podważających</w:t>
      </w:r>
    </w:p>
    <w:p>
      <w:pPr>
        <w:pStyle w:val="ListParagraph"/>
        <w:numPr>
          <w:ilvl w:val="0"/>
          <w:numId w:val="2"/>
        </w:numPr>
        <w:spacing w:after="80"/>
      </w:pPr>
      <w:r>
        <w:rPr>
          <w:sz w:val="22"/>
          <w:szCs w:val="22"/>
        </w:rPr>
        <w:t xml:space="preserve">MIMO TO znajdują ich bardziej atrakcyjnych — BS sygnalizuje gotowość do inwestycji (ochrona, zasoby, zaangażowanie)</w:t>
      </w:r>
    </w:p>
    <w:p>
      <w:pPr>
        <w:pStyle w:val="ListParagraph"/>
        <w:numPr>
          <w:ilvl w:val="0"/>
          <w:numId w:val="2"/>
        </w:numPr>
        <w:spacing w:after="120"/>
      </w:pPr>
      <w:r>
        <w:rPr>
          <w:sz w:val="22"/>
          <w:szCs w:val="22"/>
        </w:rPr>
        <w:t xml:space="preserve">Nawet feministki preferują BS mężczyzn — 'the drawbacks were outweighed by the men's willingness to invest'</w:t>
      </w:r>
    </w:p>
    <w:p>
      <w:pPr>
        <w:spacing w:after="120"/>
        <w:jc w:val="both"/>
      </w:pPr>
      <w:r>
        <w:rPr>
          <w:sz w:val="22"/>
          <w:szCs w:val="22"/>
        </w:rPr>
        <w:t xml:space="preserve">To wspiera hipotezę, że rycerskość/benevolent sexism jest wyselekcjonowana seksualnie przez kobiety — mężczyźni wykazujący ochronę i gotowość do inwestycji są preferowani jako partnerzy, co faworyzuje rozprzestrzenianie się tych cech w populacji.</w:t>
      </w:r>
    </w:p>
    <w:p>
      <w:pPr>
        <w:spacing w:before="400"/>
      </w:pPr>
    </w:p>
    <w:p>
      <w:pPr>
        <w:pStyle w:val="Heading1"/>
        <w:spacing w:before="400" w:after="200"/>
      </w:pPr>
      <w:r>
        <w:rPr>
          <w:b/>
          <w:bCs/>
          <w:color w:val="2B579A"/>
          <w:sz w:val="32"/>
          <w:szCs w:val="32"/>
        </w:rPr>
        <w:t xml:space="preserve">Część II: Transmisja norm — Kto uczy chłopców 'bycia mężczyzną'</w:t>
      </w:r>
    </w:p>
    <w:p>
      <w:pPr>
        <w:pStyle w:val="Heading2"/>
        <w:spacing w:before="300" w:after="150"/>
      </w:pPr>
      <w:r>
        <w:rPr>
          <w:b/>
          <w:bCs/>
          <w:color w:val="404040"/>
          <w:sz w:val="26"/>
          <w:szCs w:val="26"/>
        </w:rPr>
        <w:t xml:space="preserve">2.1. Struktura ekspozycji — dominacja kobiet w opiece</w:t>
      </w:r>
    </w:p>
    <w:p>
      <w:pPr>
        <w:spacing w:after="120"/>
        <w:jc w:val="both"/>
      </w:pPr>
      <w:r>
        <w:rPr>
          <w:sz w:val="22"/>
          <w:szCs w:val="22"/>
        </w:rPr>
        <w:t xml:space="preserve">Transmisja norm płciowych zachodzi przede wszystkim w okresie formatywnym (0-7 lat), gdy mózg dziecka jest najbardziej plastyczny. Struktura tej ekspozycji jest dramatycznie asymetryczna: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Środowisko</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 kobiet</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Źródło</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Nauczyciele wczesnej edukacji (przedszkole)</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92-98%</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NCES, Eurostat</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Nauczyciele szkoły podstawowej</w:t>
            </w:r>
          </w:p>
        </w:tc>
        <w:tc>
          <w:tcPr>
            <w:tcW w:type="dxa" w:w="234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77-84%</w:t>
            </w:r>
          </w:p>
        </w:tc>
        <w:tc>
          <w:tcPr>
            <w:tcW w:type="dxa" w:w="234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OECD</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Czas opieki nad dzieckiem (matka vs ojciec)</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60-70%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BLS Time Use</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Opieka po rozwodzie (Polska)</w:t>
            </w:r>
          </w:p>
        </w:tc>
        <w:tc>
          <w:tcPr>
            <w:tcW w:type="dxa" w:w="234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97,7%</w:t>
            </w:r>
          </w:p>
        </w:tc>
        <w:tc>
          <w:tcPr>
            <w:tcW w:type="dxa" w:w="234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GUS</w:t>
            </w:r>
          </w:p>
        </w:tc>
      </w:tr>
    </w:tbl>
    <w:p>
      <w:pPr>
        <w:spacing w:after="200"/>
      </w:pPr>
      <w:r>
        <w:rPr>
          <w:i/>
          <w:iCs/>
          <w:color w:val="595959"/>
          <w:sz w:val="20"/>
          <w:szCs w:val="20"/>
        </w:rPr>
        <w:t xml:space="preserve">Tabela 2. Struktura ekspozycji dzieci na opiekunów według płci</w:t>
      </w:r>
    </w:p>
    <w:p>
      <w:pPr>
        <w:spacing w:after="120"/>
        <w:jc w:val="both"/>
      </w:pPr>
      <w:r>
        <w:rPr>
          <w:sz w:val="22"/>
          <w:szCs w:val="22"/>
        </w:rPr>
        <w:t xml:space="preserve">Sumarycznie, w Polsce stosunek ekspozycji na kobiety vs mężczyzn w dzieciństwie wynosi około 77:23. To kobiety — matki i nauczycielki — są głównymi wektorami transmisji norm płciowych, w tym norm męskości.</w:t>
      </w:r>
    </w:p>
    <w:p>
      <w:pPr>
        <w:pStyle w:val="Heading2"/>
        <w:spacing w:before="300" w:after="150"/>
      </w:pPr>
      <w:r>
        <w:rPr>
          <w:b/>
          <w:bCs/>
          <w:color w:val="404040"/>
          <w:sz w:val="26"/>
          <w:szCs w:val="26"/>
        </w:rPr>
        <w:t xml:space="preserve">2.2. Dowód empiryczny — implicit bias matek</w:t>
      </w:r>
    </w:p>
    <w:p>
      <w:pPr>
        <w:spacing w:after="120"/>
        <w:jc w:val="both"/>
      </w:pPr>
      <w:r>
        <w:rPr>
          <w:sz w:val="22"/>
          <w:szCs w:val="22"/>
        </w:rPr>
        <w:t xml:space="preserve">Badanie Thomassin (2019, University of Guelph, N ≈ 600 rodziców) z użyciem Implicit Association Test wykazało kluczowe odkrycie: matki (nie ojcowie) posiadają silny implicit bias przeciwko chłopcom wyrażającym smutek. Ojcowie NIE wykazali takiego implicit bias — choć deklaratywnie (explicite) wyrażali bardziej tradycyjne poglądy.</w:t>
      </w:r>
    </w:p>
    <w:p>
      <w:pPr>
        <w:shd w:fill="FFF3CD" w:val="clear"/>
        <w:spacing w:after="120" w:before="120"/>
        <w:ind w:left="720" w:right="720"/>
      </w:pPr>
      <w:r>
        <w:rPr>
          <w:i/>
          <w:iCs/>
          <w:sz w:val="22"/>
          <w:szCs w:val="22"/>
        </w:rPr>
        <w:t xml:space="preserve">Paradoks transmisji: Matki deklarują elastyczne poglądy na role płciowe, ale implicite — na poziomie automatycznych reakcji — transmitują tradycyjne normy przez zachowania i reakcje emocjonalne. Ojcowie deklarują tradycyjne poglądy, ale nie wykazują implicit bias.</w:t>
      </w:r>
    </w:p>
    <w:p>
      <w:pPr>
        <w:spacing w:after="120"/>
        <w:jc w:val="both"/>
      </w:pPr>
      <w:r>
        <w:rPr>
          <w:sz w:val="22"/>
          <w:szCs w:val="22"/>
        </w:rPr>
        <w:t xml:space="preserve">Chhin, Bleeker &amp; Jacobs (2008) w badaniu longitudinalnym udokumentowali, że postawy matek (nie ojców) przewidują wybory zawodowe synów w kierunku bardziej męsko-typowych zawodów.</w:t>
      </w:r>
    </w:p>
    <w:p>
      <w:pPr>
        <w:pStyle w:val="Heading2"/>
        <w:spacing w:before="300" w:after="150"/>
      </w:pPr>
      <w:r>
        <w:rPr>
          <w:b/>
          <w:bCs/>
          <w:color w:val="404040"/>
          <w:sz w:val="26"/>
          <w:szCs w:val="26"/>
        </w:rPr>
        <w:t xml:space="preserve">2.3. Model dwukanałowej transmisji</w:t>
      </w:r>
    </w:p>
    <w:p>
      <w:pPr>
        <w:spacing w:after="120"/>
        <w:jc w:val="both"/>
      </w:pPr>
      <w:r>
        <w:rPr>
          <w:sz w:val="22"/>
          <w:szCs w:val="22"/>
        </w:rPr>
        <w:t xml:space="preserve">Na podstawie zebranych dowodów proponujemy model dwukanałowej transmisji norm męskości:</w:t>
      </w:r>
    </w:p>
    <w:p>
      <w:pPr>
        <w:spacing w:after="120"/>
        <w:jc w:val="both"/>
      </w:pPr>
      <w:r>
        <w:rPr>
          <w:b/>
          <w:bCs/>
          <w:sz w:val="22"/>
          <w:szCs w:val="22"/>
        </w:rPr>
        <w:t xml:space="preserve">Kanał matczyny (implicit + czas): </w:t>
      </w:r>
      <w:r>
        <w:rPr>
          <w:sz w:val="22"/>
          <w:szCs w:val="22"/>
        </w:rPr>
        <w:t xml:space="preserve">Matki mają 2-3x więcej czasu kontaktu z dziećmi. Transmitują normy NIEŚWIADOMIE przez automatyczne reakcje (implicit bias przeciwko emocjonalności synów), mimikę, ton głosu, różnicowanie reakcji na płacz córek vs synów. Deklaratywnie mogą wspierać 'nową męskość'.</w:t>
      </w:r>
    </w:p>
    <w:p>
      <w:pPr>
        <w:spacing w:after="120"/>
        <w:jc w:val="both"/>
      </w:pPr>
      <w:r>
        <w:rPr>
          <w:b/>
          <w:bCs/>
          <w:sz w:val="22"/>
          <w:szCs w:val="22"/>
        </w:rPr>
        <w:t xml:space="preserve">Kanał ojcowski (explicit + ideologia): </w:t>
      </w:r>
      <w:r>
        <w:rPr>
          <w:sz w:val="22"/>
          <w:szCs w:val="22"/>
        </w:rPr>
        <w:t xml:space="preserve">Ojcowie mają mniej czasu kontaktu, ale transmitują normy ŚWIADOMIE przez explicite instrukcje ('chłopcy nie płaczą'), modelowanie, 'policing of masculinity'. Badanie PMC (2024) wykazało, że ojcowie 'priorytetyzowali ochronę synów przed postrzeganymi zagrożeniami dla osiągnięcia męskości'.</w:t>
      </w:r>
    </w:p>
    <w:p>
      <w:pPr>
        <w:spacing w:after="120"/>
        <w:jc w:val="both"/>
      </w:pPr>
      <w:r>
        <w:rPr>
          <w:sz w:val="22"/>
          <w:szCs w:val="22"/>
        </w:rPr>
        <w:t xml:space="preserve">Niobe Way (NYU, 2011, 2024) dokumentuje, że chłopcy w wieku 14-15 lat wyrażają intensywną emocjonalną intymność, którą tracą pod wpływem presji kulturowej — nie z powodu wrodzonej męskiej natury. Judy Chu (Stanford, 2014) wykazała, że czteroletni chłopcy posiadają pełną kompetencję relacyjną, którą 'uczą się' tłumić w przedszkolu i szkole.</w:t>
      </w:r>
    </w:p>
    <w:p>
      <w:pPr>
        <w:spacing w:before="400"/>
      </w:pPr>
    </w:p>
    <w:p>
      <w:pPr>
        <w:pStyle w:val="Heading1"/>
        <w:spacing w:before="400" w:after="200"/>
      </w:pPr>
      <w:r>
        <w:rPr>
          <w:b/>
          <w:bCs/>
          <w:color w:val="2B579A"/>
          <w:sz w:val="32"/>
          <w:szCs w:val="32"/>
        </w:rPr>
        <w:t xml:space="preserve">Część III: Egzekwowanie norm — System kar za niekonformizm</w:t>
      </w:r>
    </w:p>
    <w:p>
      <w:pPr>
        <w:pStyle w:val="Heading2"/>
        <w:spacing w:before="300" w:after="150"/>
      </w:pPr>
      <w:r>
        <w:rPr>
          <w:b/>
          <w:bCs/>
          <w:color w:val="404040"/>
          <w:sz w:val="26"/>
          <w:szCs w:val="26"/>
        </w:rPr>
        <w:t xml:space="preserve">3.1. Teoria Precarious Manhood — męskość do udowodnienia</w:t>
      </w:r>
    </w:p>
    <w:p>
      <w:pPr>
        <w:spacing w:after="120"/>
        <w:jc w:val="both"/>
      </w:pPr>
      <w:r>
        <w:rPr>
          <w:sz w:val="22"/>
          <w:szCs w:val="22"/>
        </w:rPr>
        <w:t xml:space="preserve">Koncepcja Precarious Manhood (niepewnej męskości) Vandella i Bosson stanowi kluczowy element modelu. W przeciwieństwie do kobiecości, która jest postrzegana jako status biologiczny osiągany automatycznie, męskość wymaga ciągłego dowodzenia przez osiągnięcia i podlega permanentnej możliwości utraty.</w:t>
      </w:r>
    </w:p>
    <w:p>
      <w:pPr>
        <w:spacing w:after="120"/>
        <w:jc w:val="both"/>
      </w:pPr>
      <w:r>
        <w:rPr>
          <w:sz w:val="22"/>
          <w:szCs w:val="22"/>
        </w:rPr>
        <w:t xml:space="preserve">Badanie z 2021 roku obejmujące 33 417 respondentów z 62 krajów wykazało:</w:t>
      </w:r>
    </w:p>
    <w:p>
      <w:pPr>
        <w:pStyle w:val="ListParagraph"/>
        <w:numPr>
          <w:ilvl w:val="0"/>
          <w:numId w:val="2"/>
        </w:numPr>
        <w:spacing w:after="80"/>
      </w:pPr>
      <w:r>
        <w:rPr>
          <w:sz w:val="22"/>
          <w:szCs w:val="22"/>
        </w:rPr>
        <w:t xml:space="preserve">Przekonania o niepewnej męskości korelują ujemnie z Global Gender Gap Index (r = -0.52)</w:t>
      </w:r>
    </w:p>
    <w:p>
      <w:pPr>
        <w:pStyle w:val="ListParagraph"/>
        <w:numPr>
          <w:ilvl w:val="0"/>
          <w:numId w:val="2"/>
        </w:numPr>
        <w:spacing w:after="80"/>
      </w:pPr>
      <w:r>
        <w:rPr>
          <w:sz w:val="22"/>
          <w:szCs w:val="22"/>
        </w:rPr>
        <w:t xml:space="preserve">Zagrożenie męskości aktywuje myśli agresywne i zwiększa fizycznie agresywne zachowania (d = 0.92)</w:t>
      </w:r>
    </w:p>
    <w:p>
      <w:pPr>
        <w:pStyle w:val="ListParagraph"/>
        <w:numPr>
          <w:ilvl w:val="0"/>
          <w:numId w:val="2"/>
        </w:numPr>
        <w:spacing w:after="120"/>
      </w:pPr>
      <w:r>
        <w:rPr>
          <w:sz w:val="22"/>
          <w:szCs w:val="22"/>
        </w:rPr>
        <w:t xml:space="preserve">Mężczyźni po zagrożeniu tożsamości męskiej uderzali worki treningowe z większą siłą i wybierali boks zamiast puzzli</w:t>
      </w:r>
    </w:p>
    <w:p>
      <w:pPr>
        <w:pStyle w:val="Heading2"/>
        <w:spacing w:before="300" w:after="150"/>
      </w:pPr>
      <w:r>
        <w:rPr>
          <w:b/>
          <w:bCs/>
          <w:color w:val="404040"/>
          <w:sz w:val="26"/>
          <w:szCs w:val="26"/>
        </w:rPr>
        <w:t xml:space="preserve">3.2. Matryca kar za naruszenie norm</w:t>
      </w:r>
    </w:p>
    <w:p>
      <w:pPr>
        <w:spacing w:after="120"/>
        <w:jc w:val="both"/>
      </w:pPr>
      <w:r>
        <w:rPr>
          <w:sz w:val="22"/>
          <w:szCs w:val="22"/>
        </w:rPr>
        <w:t xml:space="preserve">Stereotypy funkcjonują jako normy społeczne egzekwowane przez kary za ich naruszenie. Model identyfikuje specyficzne kary za konkretne naruszenia norm męskości: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Naruszenie normy przez mężczyznę</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Kara społeczna</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Ekspresja emocji 'miękkich' (smutek, strach)</w:t>
            </w:r>
          </w:p>
        </w:tc>
        <w:tc>
          <w:tcPr>
            <w:tcW w:type="dxa" w:w="4680"/>
            <w:tcBorders>
              <w:top w:val="single" w:color="CCCCCC" w:sz="1"/>
              <w:left w:val="single" w:color="CCCCCC" w:sz="1"/>
              <w:bottom w:val="single" w:color="CCCCCC" w:sz="1"/>
              <w:right w:val="single" w:color="CCCCCC" w:sz="1"/>
            </w:tcBorders>
          </w:tcPr>
          <w:p>
            <w:r>
              <w:rPr>
                <w:sz w:val="22"/>
                <w:szCs w:val="22"/>
              </w:rPr>
              <w:t xml:space="preserve">Utrata atrakcyjności partnerskiej (Gul &amp; Kupfer 2018)</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Niższe zarobki od partnerki</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Podwyższone ryzyko rozwodu (Bertrand et al. 2015)</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Prośba o pomoc psychologiczną</w:t>
            </w:r>
          </w:p>
        </w:tc>
        <w:tc>
          <w:tcPr>
            <w:tcW w:type="dxa" w:w="4680"/>
            <w:tcBorders>
              <w:top w:val="single" w:color="CCCCCC" w:sz="1"/>
              <w:left w:val="single" w:color="CCCCCC" w:sz="1"/>
              <w:bottom w:val="single" w:color="CCCCCC" w:sz="1"/>
              <w:right w:val="single" w:color="CCCCCC" w:sz="1"/>
            </w:tcBorders>
          </w:tcPr>
          <w:p>
            <w:r>
              <w:rPr>
                <w:sz w:val="22"/>
                <w:szCs w:val="22"/>
              </w:rPr>
              <w:t xml:space="preserve">Stygmatyzacja, utrata statusu (Vogel et al. 2011)</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Ekspresja gniewu/frustracji</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Etykietowanie jako 'toksyczny' (narracja po ~2010)</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Narzekanie na problemy systemowe</w:t>
            </w:r>
          </w:p>
        </w:tc>
        <w:tc>
          <w:tcPr>
            <w:tcW w:type="dxa" w:w="4680"/>
            <w:tcBorders>
              <w:top w:val="single" w:color="CCCCCC" w:sz="1"/>
              <w:left w:val="single" w:color="CCCCCC" w:sz="1"/>
              <w:bottom w:val="single" w:color="CCCCCC" w:sz="1"/>
              <w:right w:val="single" w:color="CCCCCC" w:sz="1"/>
            </w:tcBorders>
          </w:tcPr>
          <w:p>
            <w:r>
              <w:rPr>
                <w:sz w:val="22"/>
                <w:szCs w:val="22"/>
              </w:rPr>
              <w:t xml:space="preserve">Etykietowanie jako 'incel', 'MRA', 'mizogyn'</w:t>
            </w:r>
          </w:p>
        </w:tc>
      </w:tr>
    </w:tbl>
    <w:p>
      <w:pPr>
        <w:spacing w:after="200"/>
      </w:pPr>
      <w:r>
        <w:rPr>
          <w:i/>
          <w:iCs/>
          <w:color w:val="595959"/>
          <w:sz w:val="20"/>
          <w:szCs w:val="20"/>
        </w:rPr>
        <w:t xml:space="preserve">Tabela 3. Matryca kar za naruszenie norm męskości</w:t>
      </w:r>
    </w:p>
    <w:p>
      <w:pPr>
        <w:pStyle w:val="Heading2"/>
        <w:spacing w:before="300" w:after="150"/>
      </w:pPr>
      <w:r>
        <w:rPr>
          <w:b/>
          <w:bCs/>
          <w:color w:val="404040"/>
          <w:sz w:val="26"/>
          <w:szCs w:val="26"/>
        </w:rPr>
        <w:t xml:space="preserve">3.3. Podwójne zamknięcie kanałów ekspresji</w:t>
      </w:r>
    </w:p>
    <w:p>
      <w:pPr>
        <w:shd w:fill="FFF3CD" w:val="clear"/>
        <w:spacing w:after="120" w:before="120"/>
        <w:ind w:left="720" w:right="720"/>
      </w:pPr>
      <w:r>
        <w:rPr>
          <w:i/>
          <w:iCs/>
          <w:sz w:val="22"/>
          <w:szCs w:val="22"/>
        </w:rPr>
        <w:t xml:space="preserve">Kluczowa obserwacja: Narracja o 'toksycznej męskości' (po ~2010) NIE usunęła kar za emocje 'miękkie', natomiast DODAŁA kary za emocje 'twarde'. Efektem jest kompletne zamknięcie kanałów ekspresji emocjonalnej dla mężczyzn.</w:t>
      </w:r>
    </w:p>
    <w:p>
      <w:pPr>
        <w:spacing w:after="120"/>
        <w:jc w:val="both"/>
      </w:pPr>
      <w:r>
        <w:rPr>
          <w:sz w:val="22"/>
          <w:szCs w:val="22"/>
        </w:rPr>
        <w:t xml:space="preserve">Przed 2010: Mężczyzna mógł wyrażać gniew/frustrację (akceptowane jako 'męskie'), ale nie smutek/strach ('niemęskie').</w:t>
      </w:r>
    </w:p>
    <w:p>
      <w:pPr>
        <w:spacing w:after="120"/>
        <w:jc w:val="both"/>
      </w:pPr>
      <w:r>
        <w:rPr>
          <w:sz w:val="22"/>
          <w:szCs w:val="22"/>
        </w:rPr>
        <w:t xml:space="preserve">Po 2010: Gniew/frustracja = 'toksyczna męskość', smutek/strach = wciąż 'niemęskie'. Wszystkie kanały zamknięte.</w:t>
      </w:r>
    </w:p>
    <w:p>
      <w:pPr>
        <w:spacing w:after="120"/>
        <w:jc w:val="both"/>
      </w:pPr>
      <w:r>
        <w:rPr>
          <w:sz w:val="22"/>
          <w:szCs w:val="22"/>
        </w:rPr>
        <w:t xml:space="preserve">Aleksytymia normatywna — wyuczona trudność w identyfikowaniu i wyrażaniu emocji — dotyka około 17% mężczyzn w porównaniu z 10% kobiet (metaanaliza, d = 0.22). Paradoksalnie, chłopcy rodzą się z większą reaktywnością emocjonalną niż dziewczynki, ale socjalizacja odwraca tę tendencję już przed szóstym rokiem życia.</w:t>
      </w:r>
    </w:p>
    <w:p>
      <w:pPr>
        <w:spacing w:before="400"/>
      </w:pPr>
    </w:p>
    <w:p>
      <w:pPr>
        <w:pStyle w:val="Heading1"/>
        <w:spacing w:before="400" w:after="200"/>
      </w:pPr>
      <w:r>
        <w:rPr>
          <w:b/>
          <w:bCs/>
          <w:color w:val="2B579A"/>
          <w:sz w:val="32"/>
          <w:szCs w:val="32"/>
        </w:rPr>
        <w:t xml:space="preserve">Część IV: Spirala niewystarczalności — Mechanizm eskalacji</w:t>
      </w:r>
    </w:p>
    <w:p>
      <w:pPr>
        <w:pStyle w:val="Heading2"/>
        <w:spacing w:before="300" w:after="150"/>
      </w:pPr>
      <w:r>
        <w:rPr>
          <w:b/>
          <w:bCs/>
          <w:color w:val="404040"/>
          <w:sz w:val="26"/>
          <w:szCs w:val="26"/>
        </w:rPr>
        <w:t xml:space="preserve">4.1. Pętla męska: tożsamość przez osiągnięcia</w:t>
      </w:r>
    </w:p>
    <w:p>
      <w:pPr>
        <w:spacing w:after="120"/>
        <w:jc w:val="both"/>
      </w:pPr>
      <w:r>
        <w:rPr>
          <w:sz w:val="22"/>
          <w:szCs w:val="22"/>
        </w:rPr>
        <w:t xml:space="preserve">Model identyfikuje specyficzną 'pętlę niewystarczalności' charakterystyczną dla mężczyzn:</w:t>
      </w:r>
    </w:p>
    <w:p>
      <w:pPr>
        <w:pStyle w:val="ListParagraph"/>
        <w:numPr>
          <w:ilvl w:val="0"/>
          <w:numId w:val="3"/>
        </w:numPr>
        <w:spacing w:after="80"/>
      </w:pPr>
      <w:r>
        <w:rPr>
          <w:sz w:val="22"/>
          <w:szCs w:val="22"/>
        </w:rPr>
        <w:t xml:space="preserve">Chłopiec uczy się, że jego wartość jest WARUNKOWA — zależy od osiągnięć, nie od samego istnienia</w:t>
      </w:r>
    </w:p>
    <w:p>
      <w:pPr>
        <w:pStyle w:val="ListParagraph"/>
        <w:numPr>
          <w:ilvl w:val="0"/>
          <w:numId w:val="3"/>
        </w:numPr>
        <w:spacing w:after="80"/>
      </w:pPr>
      <w:r>
        <w:rPr>
          <w:sz w:val="22"/>
          <w:szCs w:val="22"/>
        </w:rPr>
        <w:t xml:space="preserve">Męskość jest statusem do ZDOBYCIA (nie danym biologicznie jak kobiecość) i możliwym do UTRATY</w:t>
      </w:r>
    </w:p>
    <w:p>
      <w:pPr>
        <w:pStyle w:val="ListParagraph"/>
        <w:numPr>
          <w:ilvl w:val="0"/>
          <w:numId w:val="3"/>
        </w:numPr>
        <w:spacing w:after="80"/>
      </w:pPr>
      <w:r>
        <w:rPr>
          <w:sz w:val="22"/>
          <w:szCs w:val="22"/>
        </w:rPr>
        <w:t xml:space="preserve">Każde niepowodzenie aktywuje lęk o utratę statusu męskiego</w:t>
      </w:r>
    </w:p>
    <w:p>
      <w:pPr>
        <w:pStyle w:val="ListParagraph"/>
        <w:numPr>
          <w:ilvl w:val="0"/>
          <w:numId w:val="3"/>
        </w:numPr>
        <w:spacing w:after="80"/>
      </w:pPr>
      <w:r>
        <w:rPr>
          <w:sz w:val="22"/>
          <w:szCs w:val="22"/>
        </w:rPr>
        <w:t xml:space="preserve">Lęk wyzwala kompensacyjne zachowania (agresja, ryzyko, nadmierna praca)</w:t>
      </w:r>
    </w:p>
    <w:p>
      <w:pPr>
        <w:pStyle w:val="ListParagraph"/>
        <w:numPr>
          <w:ilvl w:val="0"/>
          <w:numId w:val="3"/>
        </w:numPr>
        <w:spacing w:after="80"/>
      </w:pPr>
      <w:r>
        <w:rPr>
          <w:sz w:val="22"/>
          <w:szCs w:val="22"/>
        </w:rPr>
        <w:t xml:space="preserve">Zachowania kompensacyjne często prowadzą do kolejnych niepowodzeń (wypalenie, wypadki, problemy zdrowotne)</w:t>
      </w:r>
    </w:p>
    <w:p>
      <w:pPr>
        <w:pStyle w:val="ListParagraph"/>
        <w:numPr>
          <w:ilvl w:val="0"/>
          <w:numId w:val="3"/>
        </w:numPr>
        <w:spacing w:after="120"/>
      </w:pPr>
      <w:r>
        <w:rPr>
          <w:sz w:val="22"/>
          <w:szCs w:val="22"/>
        </w:rPr>
        <w:t xml:space="preserve">Cykl się powtarza z narastającą intensywnością → spirala</w:t>
      </w:r>
    </w:p>
    <w:p>
      <w:pPr>
        <w:pStyle w:val="Heading2"/>
        <w:spacing w:before="300" w:after="150"/>
      </w:pPr>
      <w:r>
        <w:rPr>
          <w:b/>
          <w:bCs/>
          <w:color w:val="404040"/>
          <w:sz w:val="26"/>
          <w:szCs w:val="26"/>
        </w:rPr>
        <w:t xml:space="preserve">4.2. Zachowania adaptacyjne jako próby zatrzymania spirali</w:t>
      </w:r>
    </w:p>
    <w:p>
      <w:pPr>
        <w:spacing w:after="120"/>
        <w:jc w:val="both"/>
      </w:pPr>
      <w:r>
        <w:rPr>
          <w:sz w:val="22"/>
          <w:szCs w:val="22"/>
        </w:rPr>
        <w:t xml:space="preserve">Gdy kanały ekspresji emocjonalnej są zablokowane, mężczyźni rozwijają zastępcze mechanizmy radzenia sobie. Paradoksalnie, mechanizmy te często pogłębiają spiralę:</w:t>
      </w:r>
    </w:p>
    <w:p>
      <w:pPr>
        <w:pStyle w:val="Heading3"/>
        <w:spacing w:before="200" w:after="100"/>
      </w:pPr>
      <w:r>
        <w:rPr>
          <w:b/>
          <w:bCs/>
          <w:color w:val="595959"/>
          <w:sz w:val="24"/>
          <w:szCs w:val="24"/>
        </w:rPr>
        <w:t xml:space="preserve">4.2.1. Substancje psychoaktywne</w:t>
      </w:r>
    </w:p>
    <w:p>
      <w:pPr>
        <w:spacing w:after="120"/>
        <w:jc w:val="both"/>
      </w:pPr>
      <w:r>
        <w:rPr>
          <w:sz w:val="22"/>
          <w:szCs w:val="22"/>
        </w:rPr>
        <w:t xml:space="preserve">Alkohol i narkotyki funkcjonują jako 'chemiczne ujście' dla zablokowanych emocji. Dane WHO wskazują, że mężczyźni spożywają 3-4 razy więcej alkoholu niż kobiety globalnie. Uzależnienia są 2-3x częstsze u mężczyzn. Skutek: problemy zdrowotne, utrata pracy, rozpad związków → pogłębienie spirali.</w:t>
      </w:r>
    </w:p>
    <w:p>
      <w:pPr>
        <w:pStyle w:val="Heading3"/>
        <w:spacing w:before="200" w:after="100"/>
      </w:pPr>
      <w:r>
        <w:rPr>
          <w:b/>
          <w:bCs/>
          <w:color w:val="595959"/>
          <w:sz w:val="24"/>
          <w:szCs w:val="24"/>
        </w:rPr>
        <w:t xml:space="preserve">4.2.2. Agresja i przemoc</w:t>
      </w:r>
    </w:p>
    <w:p>
      <w:pPr>
        <w:spacing w:after="120"/>
        <w:jc w:val="both"/>
      </w:pPr>
      <w:r>
        <w:rPr>
          <w:sz w:val="22"/>
          <w:szCs w:val="22"/>
        </w:rPr>
        <w:t xml:space="preserve">Gniew jako jedyna 'dozwolona' emocja (przed 2010) kanalizuje całe spektrum emocjonalne. Badania wykazują, że mężczyźni nie odczuwają więcej gniewu niż kobiety, ale częściej wyrażają go behawioralnie. Skutek: konflikty, inkarceracja, izolacja społeczna → pogłębienie spirali.</w:t>
      </w:r>
    </w:p>
    <w:p>
      <w:pPr>
        <w:pStyle w:val="Heading3"/>
        <w:spacing w:before="200" w:after="100"/>
      </w:pPr>
      <w:r>
        <w:rPr>
          <w:b/>
          <w:bCs/>
          <w:color w:val="595959"/>
          <w:sz w:val="24"/>
          <w:szCs w:val="24"/>
        </w:rPr>
        <w:t xml:space="preserve">4.2.3. Praca kompulsywna (workaholism)</w:t>
      </w:r>
    </w:p>
    <w:p>
      <w:pPr>
        <w:spacing w:after="120"/>
        <w:jc w:val="both"/>
      </w:pPr>
      <w:r>
        <w:rPr>
          <w:sz w:val="22"/>
          <w:szCs w:val="22"/>
        </w:rPr>
        <w:t xml:space="preserve">Gdy wartość własna zależy od osiągnięć, nadmierna praca staje się mechanizmem regulacji samooceny. Mężczyźni pracują średnio więcej godzin niż kobiety (8-10h/tydzień więcej w USA). Skutek: wypalenie, problemy zdrowotne, zaniedbanie relacji → pogłębienie spirali.</w:t>
      </w:r>
    </w:p>
    <w:p>
      <w:pPr>
        <w:pStyle w:val="Heading3"/>
        <w:spacing w:before="200" w:after="100"/>
      </w:pPr>
      <w:r>
        <w:rPr>
          <w:b/>
          <w:bCs/>
          <w:color w:val="595959"/>
          <w:sz w:val="24"/>
          <w:szCs w:val="24"/>
        </w:rPr>
        <w:t xml:space="preserve">4.2.4. Ryzykowne zachowania</w:t>
      </w:r>
    </w:p>
    <w:p>
      <w:pPr>
        <w:spacing w:after="120"/>
        <w:jc w:val="both"/>
      </w:pPr>
      <w:r>
        <w:rPr>
          <w:sz w:val="22"/>
          <w:szCs w:val="22"/>
        </w:rPr>
        <w:t xml:space="preserve">'Male disposability' — ewolucyjna tendencja do podejmowania ryzyka w celu zdobycia statusu. Mężczyźni stanowią 92% ofiar śmiertelnych wypadków przy pracy, 76% ofiar wypadków drogowych. Skutek: przedwczesna śmierć lub niepełnosprawność → końcowa faza spirali.</w:t>
      </w:r>
    </w:p>
    <w:p>
      <w:pPr>
        <w:pStyle w:val="Heading2"/>
        <w:spacing w:before="300" w:after="150"/>
      </w:pPr>
      <w:r>
        <w:rPr>
          <w:b/>
          <w:bCs/>
          <w:color w:val="404040"/>
          <w:sz w:val="26"/>
          <w:szCs w:val="26"/>
        </w:rPr>
        <w:t xml:space="preserve">4.3. Punkt końcowy spirali — samobójstwo</w:t>
      </w:r>
    </w:p>
    <w:p>
      <w:pPr>
        <w:spacing w:after="120"/>
        <w:jc w:val="both"/>
      </w:pPr>
      <w:r>
        <w:rPr>
          <w:sz w:val="22"/>
          <w:szCs w:val="22"/>
        </w:rPr>
        <w:t xml:space="preserve">W Polsce mężczyźni stanowią 84% ofiar samobójstw (stosunek 6-7:1 względem kobiet). Paradoks: kobiety próbują samobójstwa 2-4x częściej, ale mężczyźni umierają 3-4x częściej — różnica w letalności metod wskazuje na głębszą determinację.</w:t>
      </w:r>
    </w:p>
    <w:p>
      <w:pPr>
        <w:shd w:fill="FFF3CD" w:val="clear"/>
        <w:spacing w:after="120" w:before="120"/>
        <w:ind w:left="720" w:right="720"/>
      </w:pPr>
      <w:r>
        <w:rPr>
          <w:i/>
          <w:iCs/>
          <w:sz w:val="22"/>
          <w:szCs w:val="22"/>
        </w:rPr>
        <w:t xml:space="preserve">Spirala niewystarczalności ma punkt końcowy: gdy wszystkie mechanizmy adaptacyjne zawiodą, a kanały pomocy pozostają zablokowane (stygmatyzacja, brak infrastruktury), samobójstwo staje się 'rozwiązaniem' niemożliwej do rozwiązania sytuacji.</w:t>
      </w:r>
    </w:p>
    <w:p>
      <w:pPr>
        <w:spacing w:before="400"/>
      </w:pPr>
    </w:p>
    <w:p>
      <w:pPr>
        <w:pStyle w:val="Heading1"/>
        <w:spacing w:before="400" w:after="200"/>
      </w:pPr>
      <w:r>
        <w:rPr>
          <w:b/>
          <w:bCs/>
          <w:color w:val="2B579A"/>
          <w:sz w:val="32"/>
          <w:szCs w:val="32"/>
        </w:rPr>
        <w:t xml:space="preserve">Część V: Biasy poznawcze perpetuujące system</w:t>
      </w:r>
    </w:p>
    <w:p>
      <w:pPr>
        <w:pStyle w:val="Heading2"/>
        <w:spacing w:before="300" w:after="150"/>
      </w:pPr>
      <w:r>
        <w:rPr>
          <w:b/>
          <w:bCs/>
          <w:color w:val="404040"/>
          <w:sz w:val="26"/>
          <w:szCs w:val="26"/>
        </w:rPr>
        <w:t xml:space="preserve">5.1. Women-Are-Wonderful Effect (WAW)</w:t>
      </w:r>
    </w:p>
    <w:p>
      <w:pPr>
        <w:spacing w:after="120"/>
        <w:jc w:val="both"/>
      </w:pPr>
      <w:r>
        <w:rPr>
          <w:sz w:val="22"/>
          <w:szCs w:val="22"/>
        </w:rPr>
        <w:t xml:space="preserve">Eagly i Mladinic (1989, 1991, 1994) udokumentowali, że zarówno kobiety, jak i mężczyźni automatycznie oceniają kobiety bardziej pozytywnie niż mężczyzn. Efekt obejmuje postrzeganie kobiet jako bardziej moralnych, ciepłych i wiarygodnych.</w:t>
      </w:r>
    </w:p>
    <w:p>
      <w:pPr>
        <w:spacing w:after="120"/>
        <w:jc w:val="both"/>
      </w:pPr>
      <w:r>
        <w:rPr>
          <w:sz w:val="22"/>
          <w:szCs w:val="22"/>
        </w:rPr>
        <w:t xml:space="preserve">Project Implicit z danymi od 2.3 miliona testów w 34 krajach potwierdza, że 75% osób silniej kojarzy mężczyzn z pracą i kobiety z rodziną. Eagly et al. (2020) przeanalizowali 30 093 dorosłych w 16 reprezentatywnych sondażach USA przez 72 lata — przewaga kobiet w wymiarze 'wspólnotowości' (communion) WZROSŁA w czasie.</w:t>
      </w:r>
    </w:p>
    <w:p>
      <w:pPr>
        <w:pStyle w:val="Heading2"/>
        <w:spacing w:before="300" w:after="150"/>
      </w:pPr>
      <w:r>
        <w:rPr>
          <w:b/>
          <w:bCs/>
          <w:color w:val="404040"/>
          <w:sz w:val="26"/>
          <w:szCs w:val="26"/>
        </w:rPr>
        <w:t xml:space="preserve">5.2. Asymetryczny in-group bias</w:t>
      </w:r>
    </w:p>
    <w:p>
      <w:pPr>
        <w:spacing w:after="120"/>
        <w:jc w:val="both"/>
      </w:pPr>
      <w:r>
        <w:rPr>
          <w:sz w:val="22"/>
          <w:szCs w:val="22"/>
        </w:rPr>
        <w:t xml:space="preserve">Fundamentalne badanie Rudman i Goodwin (2004) wykazało, że kobiety wykazują automatyczny in-group bias 4,5 razy silniejszy niż mężczyźni. Co więcej, mężczyźni nie tylko nie preferują automatycznie własnej płci — często wykazują preferencję dla kobiet (out-group bias).</w:t>
      </w:r>
    </w:p>
    <w:p>
      <w:pPr>
        <w:shd w:fill="FFF3CD" w:val="clear"/>
        <w:spacing w:after="120" w:before="120"/>
        <w:ind w:left="720" w:right="720"/>
      </w:pPr>
      <w:r>
        <w:rPr>
          <w:i/>
          <w:iCs/>
          <w:sz w:val="22"/>
          <w:szCs w:val="22"/>
        </w:rPr>
        <w:t xml:space="preserve">Konsekwencja: Narracje kobiece są chronione przez kobiety (in-group bias) i przez mężczyzn (WAW + rycerskość). Narracje męskie NIE są chronione przez żadną grupę — mężczyźni nie przejawiają in-group bias, a kobiety traktują je jako zagrożenie.</w:t>
      </w:r>
    </w:p>
    <w:p>
      <w:pPr>
        <w:pStyle w:val="Heading2"/>
        <w:spacing w:before="300" w:after="150"/>
      </w:pPr>
      <w:r>
        <w:rPr>
          <w:b/>
          <w:bCs/>
          <w:color w:val="404040"/>
          <w:sz w:val="26"/>
          <w:szCs w:val="26"/>
        </w:rPr>
        <w:t xml:space="preserve">5.3. Norma rycerskości</w:t>
      </w:r>
    </w:p>
    <w:p>
      <w:pPr>
        <w:spacing w:after="120"/>
        <w:jc w:val="both"/>
      </w:pPr>
      <w:r>
        <w:rPr>
          <w:sz w:val="22"/>
          <w:szCs w:val="22"/>
        </w:rPr>
        <w:t xml:space="preserve">FeldmanHall et al. (2016) w eksperymencie trolleyologicznym wykazali, że zarówno kobiety, jak i mężczyźni są znacząco bardziej skłonni zepchnąć mężczyznę niż kobietę na tory, by uratować pięć osób. W zadaniu z realnymi pieniędzmi uczestnicy oddawali więcej pieniędzy, by chronić kobiety przed wstrząsami elektrycznymi niż mężczyzn.</w:t>
      </w:r>
    </w:p>
    <w:p>
      <w:pPr>
        <w:spacing w:after="120"/>
        <w:jc w:val="both"/>
      </w:pPr>
      <w:r>
        <w:rPr>
          <w:sz w:val="22"/>
          <w:szCs w:val="22"/>
        </w:rPr>
        <w:t xml:space="preserve">Dean Mobbs, współautor badania, skonkludował: 'Społeczeństwo postrzega krzywdzenie kobiet jako moralnie mniej akceptowalne.' Mężczyźni automatycznie angażują się w zachowania ochronne wobec kobiet, nawet kosztem własnego interesu.</w:t>
      </w:r>
    </w:p>
    <w:p>
      <w:pPr>
        <w:pStyle w:val="Heading2"/>
        <w:spacing w:before="300" w:after="150"/>
      </w:pPr>
      <w:r>
        <w:rPr>
          <w:b/>
          <w:bCs/>
          <w:color w:val="404040"/>
          <w:sz w:val="26"/>
          <w:szCs w:val="26"/>
        </w:rPr>
        <w:t xml:space="preserve">5.4. Gamma Bias — zniekształcenie percepcji płci</w:t>
      </w:r>
    </w:p>
    <w:p>
      <w:pPr>
        <w:spacing w:after="120"/>
        <w:jc w:val="both"/>
      </w:pPr>
      <w:r>
        <w:rPr>
          <w:sz w:val="22"/>
          <w:szCs w:val="22"/>
        </w:rPr>
        <w:t xml:space="preserve">Seager i Barry (2019) wprowadzili pojęcie gamma bias — podwójnego zniekształcenia poznawczego: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Wymiar</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Męskość</w:t>
            </w:r>
          </w:p>
        </w:tc>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Kobiecość</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Czynienie dobra</w:t>
            </w:r>
          </w:p>
        </w:tc>
        <w:tc>
          <w:tcPr>
            <w:tcW w:type="dxa" w:w="3120"/>
            <w:tcBorders>
              <w:top w:val="single" w:color="CCCCCC" w:sz="1"/>
              <w:left w:val="single" w:color="CCCCCC" w:sz="1"/>
              <w:bottom w:val="single" w:color="CCCCCC" w:sz="1"/>
              <w:right w:val="single" w:color="CCCCCC" w:sz="1"/>
            </w:tcBorders>
          </w:tcPr>
          <w:p>
            <w:pPr>
              <w:jc w:val="center"/>
            </w:pPr>
            <w:r>
              <w:rPr>
                <w:b/>
                <w:bCs/>
                <w:color w:val="C00000"/>
                <w:sz w:val="22"/>
                <w:szCs w:val="22"/>
              </w:rPr>
              <w:t xml:space="preserve">UKRYWANE</w:t>
            </w:r>
          </w:p>
        </w:tc>
        <w:tc>
          <w:tcPr>
            <w:tcW w:type="dxa" w:w="3120"/>
            <w:tcBorders>
              <w:top w:val="single" w:color="CCCCCC" w:sz="1"/>
              <w:left w:val="single" w:color="CCCCCC" w:sz="1"/>
              <w:bottom w:val="single" w:color="CCCCCC" w:sz="1"/>
              <w:right w:val="single" w:color="CCCCCC" w:sz="1"/>
            </w:tcBorders>
          </w:tcPr>
          <w:p>
            <w:pPr>
              <w:jc w:val="center"/>
            </w:pPr>
            <w:r>
              <w:rPr>
                <w:b/>
                <w:bCs/>
                <w:color w:val="008000"/>
                <w:sz w:val="22"/>
                <w:szCs w:val="22"/>
              </w:rPr>
              <w:t xml:space="preserve">PODKREŚLANE</w:t>
            </w:r>
          </w:p>
        </w:tc>
      </w:tr>
      <w:tr>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Czynienie krzywdy</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color w:val="008000"/>
                <w:sz w:val="22"/>
                <w:szCs w:val="22"/>
              </w:rPr>
              <w:t xml:space="preserve">PODKREŚLANE</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color w:val="C00000"/>
                <w:sz w:val="22"/>
                <w:szCs w:val="22"/>
              </w:rPr>
              <w:t xml:space="preserve">UKRYWANE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Otrzymywanie korzyści</w:t>
            </w:r>
          </w:p>
        </w:tc>
        <w:tc>
          <w:tcPr>
            <w:tcW w:type="dxa" w:w="3120"/>
            <w:tcBorders>
              <w:top w:val="single" w:color="CCCCCC" w:sz="1"/>
              <w:left w:val="single" w:color="CCCCCC" w:sz="1"/>
              <w:bottom w:val="single" w:color="CCCCCC" w:sz="1"/>
              <w:right w:val="single" w:color="CCCCCC" w:sz="1"/>
            </w:tcBorders>
          </w:tcPr>
          <w:p>
            <w:pPr>
              <w:jc w:val="center"/>
            </w:pPr>
            <w:r>
              <w:rPr>
                <w:b/>
                <w:bCs/>
                <w:color w:val="008000"/>
                <w:sz w:val="22"/>
                <w:szCs w:val="22"/>
              </w:rPr>
              <w:t xml:space="preserve">PODKREŚLANE</w:t>
            </w:r>
          </w:p>
        </w:tc>
        <w:tc>
          <w:tcPr>
            <w:tcW w:type="dxa" w:w="3120"/>
            <w:tcBorders>
              <w:top w:val="single" w:color="CCCCCC" w:sz="1"/>
              <w:left w:val="single" w:color="CCCCCC" w:sz="1"/>
              <w:bottom w:val="single" w:color="CCCCCC" w:sz="1"/>
              <w:right w:val="single" w:color="CCCCCC" w:sz="1"/>
            </w:tcBorders>
          </w:tcPr>
          <w:p>
            <w:pPr>
              <w:jc w:val="center"/>
            </w:pPr>
            <w:r>
              <w:rPr>
                <w:b/>
                <w:bCs/>
                <w:color w:val="C00000"/>
                <w:sz w:val="22"/>
                <w:szCs w:val="22"/>
              </w:rPr>
              <w:t xml:space="preserve">UKRYWANE</w:t>
            </w:r>
          </w:p>
        </w:tc>
      </w:tr>
      <w:tr>
        <w:tc>
          <w:tcPr>
            <w:tcW w:type="dxa" w:w="3120"/>
            <w:tcBorders>
              <w:top w:val="single" w:color="CCCCCC" w:sz="1"/>
              <w:left w:val="single" w:color="CCCCCC" w:sz="1"/>
              <w:bottom w:val="single" w:color="CCCCCC" w:sz="1"/>
              <w:right w:val="single" w:color="CCCCCC" w:sz="1"/>
            </w:tcBorders>
            <w:shd w:fill="F5F5F5" w:val="clear"/>
          </w:tcPr>
          <w:p>
            <w:r>
              <w:rPr>
                <w:sz w:val="22"/>
                <w:szCs w:val="22"/>
              </w:rPr>
              <w:t xml:space="preserve">Doznawanie krzywdy</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color w:val="C00000"/>
                <w:sz w:val="22"/>
                <w:szCs w:val="22"/>
              </w:rPr>
              <w:t xml:space="preserve">UKRYWANE</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color w:val="008000"/>
                <w:sz w:val="22"/>
                <w:szCs w:val="22"/>
              </w:rPr>
              <w:t xml:space="preserve">PODKREŚLANE</w:t>
            </w:r>
          </w:p>
        </w:tc>
      </w:tr>
    </w:tbl>
    <w:p>
      <w:pPr>
        <w:spacing w:after="200"/>
      </w:pPr>
      <w:r>
        <w:rPr>
          <w:i/>
          <w:iCs/>
          <w:color w:val="595959"/>
          <w:sz w:val="20"/>
          <w:szCs w:val="20"/>
        </w:rPr>
        <w:t xml:space="preserve">Tabela 4. Matryca gamma bias (Seager &amp; Barry 2019)</w:t>
      </w:r>
    </w:p>
    <w:p>
      <w:pPr>
        <w:spacing w:after="120"/>
        <w:jc w:val="both"/>
      </w:pPr>
      <w:r>
        <w:rPr>
          <w:sz w:val="22"/>
          <w:szCs w:val="22"/>
        </w:rPr>
        <w:t xml:space="preserve">Ten wzorzec systematycznie minimalizuje cierpienie mężczyzn, wyolbrzymia męskie krzywdzenie, celebruje kobiece osiągnięcia i minimalizuje kobiecą przemoc. Przykłady: heroizm strażaków neutralizuje się terminem 'firefighters', przemoc kobiet wobec mężczyzn jest ignorowana, samobójstwa mężczyzn (84%) nie są przedstawiane jako problem płciowy.</w:t>
      </w:r>
    </w:p>
    <w:p>
      <w:pPr>
        <w:pStyle w:val="Heading2"/>
        <w:spacing w:before="300" w:after="150"/>
      </w:pPr>
      <w:r>
        <w:rPr>
          <w:b/>
          <w:bCs/>
          <w:color w:val="404040"/>
          <w:sz w:val="26"/>
          <w:szCs w:val="26"/>
        </w:rPr>
        <w:t xml:space="preserve">5.5. Mechanizm blokady artykulacji</w:t>
      </w:r>
    </w:p>
    <w:p>
      <w:pPr>
        <w:spacing w:after="120"/>
        <w:jc w:val="both"/>
      </w:pPr>
      <w:r>
        <w:rPr>
          <w:sz w:val="22"/>
          <w:szCs w:val="22"/>
        </w:rPr>
        <w:t xml:space="preserve">Model wyjaśnia, dlaczego mężczyźni nie artykułują swoich problemów systemowo — pięć wzajemnie wzmacniających się blokad:</w:t>
      </w:r>
    </w:p>
    <w:p>
      <w:pPr>
        <w:pStyle w:val="ListParagraph"/>
        <w:numPr>
          <w:ilvl w:val="0"/>
          <w:numId w:val="4"/>
        </w:numPr>
        <w:spacing w:after="80"/>
      </w:pPr>
      <w:r>
        <w:rPr>
          <w:sz w:val="22"/>
          <w:szCs w:val="22"/>
        </w:rPr>
        <w:t xml:space="preserve">Blokada wewnętrzna (rycerskość): Zinternalizowana norma 'nie obciążaj kobiet problemami'</w:t>
      </w:r>
    </w:p>
    <w:p>
      <w:pPr>
        <w:pStyle w:val="ListParagraph"/>
        <w:numPr>
          <w:ilvl w:val="0"/>
          <w:numId w:val="4"/>
        </w:numPr>
        <w:spacing w:after="80"/>
      </w:pPr>
      <w:r>
        <w:rPr>
          <w:sz w:val="22"/>
          <w:szCs w:val="22"/>
        </w:rPr>
        <w:t xml:space="preserve">Blokada solidarnościowa: Brak in-group bias — inni mężczyźni nie bronią</w:t>
      </w:r>
    </w:p>
    <w:p>
      <w:pPr>
        <w:pStyle w:val="ListParagraph"/>
        <w:numPr>
          <w:ilvl w:val="0"/>
          <w:numId w:val="4"/>
        </w:numPr>
        <w:spacing w:after="80"/>
      </w:pPr>
      <w:r>
        <w:rPr>
          <w:sz w:val="22"/>
          <w:szCs w:val="22"/>
        </w:rPr>
        <w:t xml:space="preserve">Blokada społeczna (WAW): Artykulacja problemów M = 'atak na kobiety'</w:t>
      </w:r>
    </w:p>
    <w:p>
      <w:pPr>
        <w:pStyle w:val="ListParagraph"/>
        <w:numPr>
          <w:ilvl w:val="0"/>
          <w:numId w:val="4"/>
        </w:numPr>
        <w:spacing w:after="80"/>
      </w:pPr>
      <w:r>
        <w:rPr>
          <w:sz w:val="22"/>
          <w:szCs w:val="22"/>
        </w:rPr>
        <w:t xml:space="preserve">Blokada statusowa (Precarious Manhood): Narzekanie = utrata statusu męskiego</w:t>
      </w:r>
    </w:p>
    <w:p>
      <w:pPr>
        <w:pStyle w:val="ListParagraph"/>
        <w:numPr>
          <w:ilvl w:val="0"/>
          <w:numId w:val="4"/>
        </w:numPr>
        <w:spacing w:after="120"/>
      </w:pPr>
      <w:r>
        <w:rPr>
          <w:sz w:val="22"/>
          <w:szCs w:val="22"/>
        </w:rPr>
        <w:t xml:space="preserve">Blokada kategoryzacyjna: Etykietowanie jako 'incel', 'MRA', 'mizogyn'</w:t>
      </w:r>
    </w:p>
    <w:p>
      <w:pPr>
        <w:spacing w:before="400"/>
      </w:pPr>
    </w:p>
    <w:p>
      <w:pPr>
        <w:pStyle w:val="Heading1"/>
        <w:spacing w:before="400" w:after="200"/>
      </w:pPr>
      <w:r>
        <w:rPr>
          <w:b/>
          <w:bCs/>
          <w:color w:val="2B579A"/>
          <w:sz w:val="32"/>
          <w:szCs w:val="32"/>
        </w:rPr>
        <w:t xml:space="preserve">Część VI: Kontrakt płci — Historyczny mechanizm równoważący</w:t>
      </w:r>
    </w:p>
    <w:p>
      <w:pPr>
        <w:pStyle w:val="Heading2"/>
        <w:spacing w:before="300" w:after="150"/>
      </w:pPr>
      <w:r>
        <w:rPr>
          <w:b/>
          <w:bCs/>
          <w:color w:val="404040"/>
          <w:sz w:val="26"/>
          <w:szCs w:val="26"/>
        </w:rPr>
        <w:t xml:space="preserve">6.1. Monogamia normatywna jako stabilizator społeczny</w:t>
      </w:r>
    </w:p>
    <w:p>
      <w:pPr>
        <w:spacing w:after="120"/>
        <w:jc w:val="both"/>
      </w:pPr>
      <w:r>
        <w:rPr>
          <w:sz w:val="22"/>
          <w:szCs w:val="22"/>
        </w:rPr>
        <w:t xml:space="preserve">Henrich, Boyd i Richerson (2012) przedstawili teorię wyjaśniającą rozpowszechnienie monogamii normatywnej mimo tego, że 85% społeczeństw antropologicznych pozwalało na poligynię. Monogamia ewoluowała kulturowo dzięki korzyściom grupowym:</w:t>
      </w:r>
    </w:p>
    <w:p>
      <w:pPr>
        <w:pStyle w:val="ListParagraph"/>
        <w:numPr>
          <w:ilvl w:val="0"/>
          <w:numId w:val="2"/>
        </w:numPr>
        <w:spacing w:after="80"/>
      </w:pPr>
      <w:r>
        <w:rPr>
          <w:sz w:val="22"/>
          <w:szCs w:val="22"/>
        </w:rPr>
        <w:t xml:space="preserve">Redukcja puli nieżonatych mężczyzn niskiego statusu, którzy angażują się w ryzykowne zachowania</w:t>
      </w:r>
    </w:p>
    <w:p>
      <w:pPr>
        <w:pStyle w:val="ListParagraph"/>
        <w:numPr>
          <w:ilvl w:val="0"/>
          <w:numId w:val="2"/>
        </w:numPr>
        <w:spacing w:after="80"/>
      </w:pPr>
      <w:r>
        <w:rPr>
          <w:sz w:val="22"/>
          <w:szCs w:val="22"/>
        </w:rPr>
        <w:t xml:space="preserve">Małżeństwo redukuje prawdopodobieństwo przestępstwa u mężczyzny o 35-50% (Sampson et al. 2006)</w:t>
      </w:r>
    </w:p>
    <w:p>
      <w:pPr>
        <w:pStyle w:val="ListParagraph"/>
        <w:numPr>
          <w:ilvl w:val="0"/>
          <w:numId w:val="2"/>
        </w:numPr>
        <w:spacing w:after="80"/>
      </w:pPr>
      <w:r>
        <w:rPr>
          <w:sz w:val="22"/>
          <w:szCs w:val="22"/>
        </w:rPr>
        <w:t xml:space="preserve">Dzieci w rodzinach monogamicznych mają znacząco wyższe przetrwanie</w:t>
      </w:r>
    </w:p>
    <w:p>
      <w:pPr>
        <w:pStyle w:val="ListParagraph"/>
        <w:numPr>
          <w:ilvl w:val="0"/>
          <w:numId w:val="2"/>
        </w:numPr>
        <w:spacing w:after="120"/>
      </w:pPr>
      <w:r>
        <w:rPr>
          <w:sz w:val="22"/>
          <w:szCs w:val="22"/>
        </w:rPr>
        <w:t xml:space="preserve">Carter i Kushnick (2018): poligynia jest najsilniejszym predyktorem męskiej agresywności (78 społeczeństw)</w:t>
      </w:r>
    </w:p>
    <w:p>
      <w:pPr>
        <w:spacing w:after="120"/>
        <w:jc w:val="both"/>
      </w:pPr>
      <w:r>
        <w:rPr>
          <w:sz w:val="22"/>
          <w:szCs w:val="22"/>
        </w:rPr>
        <w:t xml:space="preserve">Dane mormońskie (1830-1890) wykazały, że wprowadzenie monogamii zmniejszyło wskaźnik Im/If (miarę konkurencji intraseksualnej) z 2,4 do 1,17 — ośmiokrotny spadek. Monogamia 'zamykała pętlę' konkurencji międzymęskiej, zapewniając większości mężczyzn szansę na partnerstwo i potomstwo.</w:t>
      </w:r>
    </w:p>
    <w:p>
      <w:pPr>
        <w:pStyle w:val="Heading2"/>
        <w:spacing w:before="300" w:after="150"/>
      </w:pPr>
      <w:r>
        <w:rPr>
          <w:b/>
          <w:bCs/>
          <w:color w:val="404040"/>
          <w:sz w:val="26"/>
          <w:szCs w:val="26"/>
        </w:rPr>
        <w:t xml:space="preserve">6.2. Elementy tradycyjnego kontraktu</w:t>
      </w:r>
    </w:p>
    <w:p>
      <w:pPr>
        <w:spacing w:after="120"/>
        <w:jc w:val="both"/>
      </w:pPr>
      <w:r>
        <w:rPr>
          <w:sz w:val="22"/>
          <w:szCs w:val="22"/>
        </w:rPr>
        <w:t xml:space="preserve">Tradycyjny kontrakt płci zawierał symetryczne, choć różne zobowiązania: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 KOBIETY otrzymywały</w:t>
            </w:r>
          </w:p>
        </w:tc>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 MĘŻCZYŹNI otrzymywali</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Ochrona fizyczna przed przemocą</w:t>
            </w:r>
          </w:p>
        </w:tc>
        <w:tc>
          <w:tcPr>
            <w:tcW w:type="dxa" w:w="4680"/>
            <w:tcBorders>
              <w:top w:val="single" w:color="CCCCCC" w:sz="1"/>
              <w:left w:val="single" w:color="CCCCCC" w:sz="1"/>
              <w:bottom w:val="single" w:color="CCCCCC" w:sz="1"/>
              <w:right w:val="single" w:color="CCCCCC" w:sz="1"/>
            </w:tcBorders>
          </w:tcPr>
          <w:p>
            <w:r>
              <w:rPr>
                <w:sz w:val="22"/>
                <w:szCs w:val="22"/>
              </w:rPr>
              <w:t xml:space="preserve">Pewność ojcostwa (seksualną wyłączność)</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Zasoby materialne (żywność, schronienie)</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Autorytet w sferze domowej i publicznej</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Status społeczny przez pozycję męża</w:t>
            </w:r>
          </w:p>
        </w:tc>
        <w:tc>
          <w:tcPr>
            <w:tcW w:type="dxa" w:w="4680"/>
            <w:tcBorders>
              <w:top w:val="single" w:color="CCCCCC" w:sz="1"/>
              <w:left w:val="single" w:color="CCCCCC" w:sz="1"/>
              <w:bottom w:val="single" w:color="CCCCCC" w:sz="1"/>
              <w:right w:val="single" w:color="CCCCCC" w:sz="1"/>
            </w:tcBorders>
          </w:tcPr>
          <w:p>
            <w:r>
              <w:rPr>
                <w:sz w:val="22"/>
                <w:szCs w:val="22"/>
              </w:rPr>
              <w:t xml:space="preserve">Dostęp seksualny w ramach małżeństwa</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Legitymizacja dzieci i prawa dziedziczenia</w:t>
            </w:r>
          </w:p>
        </w:tc>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Status głowy gospodarstwa domowego</w:t>
            </w:r>
          </w:p>
        </w:tc>
      </w:tr>
    </w:tbl>
    <w:p>
      <w:pPr>
        <w:spacing w:after="200"/>
      </w:pPr>
      <w:r>
        <w:rPr>
          <w:i/>
          <w:iCs/>
          <w:color w:val="595959"/>
          <w:sz w:val="20"/>
          <w:szCs w:val="20"/>
        </w:rPr>
        <w:t xml:space="preserve">Tabela 5. Symetryczne elementy tradycyjnego kontraktu płci</w:t>
      </w:r>
    </w:p>
    <w:p>
      <w:pPr>
        <w:pStyle w:val="Heading2"/>
        <w:spacing w:before="300" w:after="150"/>
      </w:pPr>
      <w:r>
        <w:rPr>
          <w:b/>
          <w:bCs/>
          <w:color w:val="404040"/>
          <w:sz w:val="26"/>
          <w:szCs w:val="26"/>
        </w:rPr>
        <w:t xml:space="preserve">6.3. Patriarchat jako system kompensacyjny</w:t>
      </w:r>
    </w:p>
    <w:p>
      <w:pPr>
        <w:spacing w:after="120"/>
        <w:jc w:val="both"/>
      </w:pPr>
      <w:r>
        <w:rPr>
          <w:sz w:val="22"/>
          <w:szCs w:val="22"/>
        </w:rPr>
        <w:t xml:space="preserve">Hipoteza systemu kompensacyjnego: Patriarchat funkcjonował jako mechanizm równoważący koszty i korzyści obu płci:</w:t>
      </w:r>
    </w:p>
    <w:p>
      <w:pPr>
        <w:spacing w:after="120"/>
        <w:jc w:val="both"/>
      </w:pPr>
      <w:r>
        <w:rPr>
          <w:b/>
          <w:bCs/>
          <w:sz w:val="22"/>
          <w:szCs w:val="22"/>
        </w:rPr>
        <w:t xml:space="preserve">Dla mężczyzn: </w:t>
      </w:r>
      <w:r>
        <w:rPr>
          <w:sz w:val="22"/>
          <w:szCs w:val="22"/>
        </w:rPr>
        <w:t xml:space="preserve">Ryzyko (wojenne, zawodowe), śmiertelność, obowiązek żywiciela → kompensowane przez autorytet, władzę decyzyjną, gwarantowany dostęp seksualny</w:t>
      </w:r>
    </w:p>
    <w:p>
      <w:pPr>
        <w:spacing w:after="120"/>
        <w:jc w:val="both"/>
      </w:pPr>
      <w:r>
        <w:rPr>
          <w:b/>
          <w:bCs/>
          <w:sz w:val="22"/>
          <w:szCs w:val="22"/>
        </w:rPr>
        <w:t xml:space="preserve">Dla kobiet: </w:t>
      </w:r>
      <w:r>
        <w:rPr>
          <w:sz w:val="22"/>
          <w:szCs w:val="22"/>
        </w:rPr>
        <w:t xml:space="preserve">Ograniczenie autonomii, zależność ekonomiczna, posłuszeństwo → kompensowane przez bezpieczeństwo, utrzymanie, ochronę prawną</w:t>
      </w:r>
    </w:p>
    <w:p>
      <w:pPr>
        <w:spacing w:after="120"/>
        <w:jc w:val="both"/>
      </w:pPr>
      <w:r>
        <w:rPr>
          <w:sz w:val="22"/>
          <w:szCs w:val="22"/>
        </w:rPr>
        <w:t xml:space="preserve">System był asymetryczny w kosztach i korzyściach, ale — co kluczowe — był STABILNY, ponieważ obie strony miały racjonalne powody, by go utrzymywać. Mężczyzna bez żony tracił usługi domowe i legitymizację społeczną. Kobieta bez męża traciła bezpieczeństwo ekonomiczne i ochronę fizyczną.</w:t>
      </w:r>
    </w:p>
    <w:p>
      <w:pPr>
        <w:spacing w:before="400"/>
      </w:pPr>
    </w:p>
    <w:p>
      <w:pPr>
        <w:pStyle w:val="Heading1"/>
        <w:spacing w:before="400" w:after="200"/>
      </w:pPr>
      <w:r>
        <w:rPr>
          <w:b/>
          <w:bCs/>
          <w:color w:val="2B579A"/>
          <w:sz w:val="32"/>
          <w:szCs w:val="32"/>
        </w:rPr>
        <w:t xml:space="preserve">Część VII: Rozpad kontraktu i czynniki destabilizacji</w:t>
      </w:r>
    </w:p>
    <w:p>
      <w:pPr>
        <w:pStyle w:val="Heading2"/>
        <w:spacing w:before="300" w:after="150"/>
      </w:pPr>
      <w:r>
        <w:rPr>
          <w:b/>
          <w:bCs/>
          <w:color w:val="404040"/>
          <w:sz w:val="26"/>
          <w:szCs w:val="26"/>
        </w:rPr>
        <w:t xml:space="preserve">7.1. Timeline destabilizacji (1960-2025)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Rok</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Wydarzenie</w:t>
            </w:r>
          </w:p>
        </w:tc>
        <w:tc>
          <w:tcPr>
            <w:tcW w:type="dxa" w:w="390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Wpływ na kontrakt</w:t>
            </w:r>
          </w:p>
        </w:tc>
      </w:tr>
      <w:tr>
        <w:tc>
          <w:tcPr>
            <w:tcW w:type="dxa" w:w="1560"/>
            <w:tcBorders>
              <w:top w:val="single" w:color="CCCCCC" w:sz="1"/>
              <w:left w:val="single" w:color="CCCCCC" w:sz="1"/>
              <w:bottom w:val="single" w:color="CCCCCC" w:sz="1"/>
              <w:right w:val="single" w:color="CCCCCC" w:sz="1"/>
            </w:tcBorders>
          </w:tcPr>
          <w:p>
            <w:pPr>
              <w:jc w:val="center"/>
            </w:pPr>
            <w:r>
              <w:rPr>
                <w:sz w:val="22"/>
                <w:szCs w:val="22"/>
              </w:rPr>
              <w:t xml:space="preserve">1960</w:t>
            </w:r>
          </w:p>
        </w:tc>
        <w:tc>
          <w:tcPr>
            <w:tcW w:type="dxa" w:w="3900"/>
            <w:tcBorders>
              <w:top w:val="single" w:color="CCCCCC" w:sz="1"/>
              <w:left w:val="single" w:color="CCCCCC" w:sz="1"/>
              <w:bottom w:val="single" w:color="CCCCCC" w:sz="1"/>
              <w:right w:val="single" w:color="CCCCCC" w:sz="1"/>
            </w:tcBorders>
          </w:tcPr>
          <w:p>
            <w:r>
              <w:rPr>
                <w:sz w:val="22"/>
                <w:szCs w:val="22"/>
              </w:rPr>
              <w:t xml:space="preserve">FDA zatwierdza pigułkę antykoncepcyjną</w:t>
            </w:r>
          </w:p>
        </w:tc>
        <w:tc>
          <w:tcPr>
            <w:tcW w:type="dxa" w:w="3900"/>
            <w:tcBorders>
              <w:top w:val="single" w:color="CCCCCC" w:sz="1"/>
              <w:left w:val="single" w:color="CCCCCC" w:sz="1"/>
              <w:bottom w:val="single" w:color="CCCCCC" w:sz="1"/>
              <w:right w:val="single" w:color="CCCCCC" w:sz="1"/>
            </w:tcBorders>
          </w:tcPr>
          <w:p>
            <w:r>
              <w:rPr>
                <w:sz w:val="22"/>
                <w:szCs w:val="22"/>
              </w:rPr>
              <w:t xml:space="preserve">Kobieca kontrola reprodukcji</w:t>
            </w:r>
          </w:p>
        </w:tc>
      </w:tr>
      <w:tr>
        <w:tc>
          <w:tcPr>
            <w:tcW w:type="dxa" w:w="156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1969-79</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Rozwód bez orzekania winy (no-fault)</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Jednostronne rozwiązanie małżeństwa</w:t>
            </w:r>
          </w:p>
        </w:tc>
      </w:tr>
      <w:tr>
        <w:tc>
          <w:tcPr>
            <w:tcW w:type="dxa" w:w="1560"/>
            <w:tcBorders>
              <w:top w:val="single" w:color="CCCCCC" w:sz="1"/>
              <w:left w:val="single" w:color="CCCCCC" w:sz="1"/>
              <w:bottom w:val="single" w:color="CCCCCC" w:sz="1"/>
              <w:right w:val="single" w:color="CCCCCC" w:sz="1"/>
            </w:tcBorders>
          </w:tcPr>
          <w:p>
            <w:pPr>
              <w:jc w:val="center"/>
            </w:pPr>
            <w:r>
              <w:rPr>
                <w:sz w:val="22"/>
                <w:szCs w:val="22"/>
              </w:rPr>
              <w:t xml:space="preserve">1970-80</w:t>
            </w:r>
          </w:p>
        </w:tc>
        <w:tc>
          <w:tcPr>
            <w:tcW w:type="dxa" w:w="3900"/>
            <w:tcBorders>
              <w:top w:val="single" w:color="CCCCCC" w:sz="1"/>
              <w:left w:val="single" w:color="CCCCCC" w:sz="1"/>
              <w:bottom w:val="single" w:color="CCCCCC" w:sz="1"/>
              <w:right w:val="single" w:color="CCCCCC" w:sz="1"/>
            </w:tcBorders>
          </w:tcPr>
          <w:p>
            <w:r>
              <w:rPr>
                <w:sz w:val="22"/>
                <w:szCs w:val="22"/>
              </w:rPr>
              <w:t xml:space="preserve">Masowy wjazd kobiet na rynek pracy</w:t>
            </w:r>
          </w:p>
        </w:tc>
        <w:tc>
          <w:tcPr>
            <w:tcW w:type="dxa" w:w="3900"/>
            <w:tcBorders>
              <w:top w:val="single" w:color="CCCCCC" w:sz="1"/>
              <w:left w:val="single" w:color="CCCCCC" w:sz="1"/>
              <w:bottom w:val="single" w:color="CCCCCC" w:sz="1"/>
              <w:right w:val="single" w:color="CCCCCC" w:sz="1"/>
            </w:tcBorders>
          </w:tcPr>
          <w:p>
            <w:r>
              <w:rPr>
                <w:sz w:val="22"/>
                <w:szCs w:val="22"/>
              </w:rPr>
              <w:t xml:space="preserve">Kobieca niezależność ekonomiczna</w:t>
            </w:r>
          </w:p>
        </w:tc>
      </w:tr>
      <w:tr>
        <w:tc>
          <w:tcPr>
            <w:tcW w:type="dxa" w:w="156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2000s</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Rozpowszechnienie aplikacji randkowych</w:t>
            </w:r>
          </w:p>
        </w:tc>
        <w:tc>
          <w:tcPr>
            <w:tcW w:type="dxa" w:w="3900"/>
            <w:tcBorders>
              <w:top w:val="single" w:color="CCCCCC" w:sz="1"/>
              <w:left w:val="single" w:color="CCCCCC" w:sz="1"/>
              <w:bottom w:val="single" w:color="CCCCCC" w:sz="1"/>
              <w:right w:val="single" w:color="CCCCCC" w:sz="1"/>
            </w:tcBorders>
            <w:shd w:fill="F5F5F5" w:val="clear"/>
          </w:tcPr>
          <w:p>
            <w:r>
              <w:rPr>
                <w:sz w:val="22"/>
                <w:szCs w:val="22"/>
              </w:rPr>
              <w:t xml:space="preserve">Fundamentalna zmiana dynamiki selekcji</w:t>
            </w:r>
          </w:p>
        </w:tc>
      </w:tr>
    </w:tbl>
    <w:p>
      <w:pPr>
        <w:spacing w:after="200"/>
      </w:pPr>
      <w:r>
        <w:rPr>
          <w:i/>
          <w:iCs/>
          <w:color w:val="595959"/>
          <w:sz w:val="20"/>
          <w:szCs w:val="20"/>
        </w:rPr>
        <w:t xml:space="preserve">Tabela 6. Kluczowe wydarzenia destabilizacji kontraktu płci</w:t>
      </w:r>
    </w:p>
    <w:p>
      <w:pPr>
        <w:pStyle w:val="Heading2"/>
        <w:spacing w:before="300" w:after="150"/>
      </w:pPr>
      <w:r>
        <w:rPr>
          <w:b/>
          <w:bCs/>
          <w:color w:val="404040"/>
          <w:sz w:val="26"/>
          <w:szCs w:val="26"/>
        </w:rPr>
        <w:t xml:space="preserve">7.2. Asymetria destabilizacji</w:t>
      </w:r>
    </w:p>
    <w:p>
      <w:pPr>
        <w:spacing w:after="120"/>
        <w:jc w:val="both"/>
      </w:pPr>
      <w:r>
        <w:rPr>
          <w:sz w:val="22"/>
          <w:szCs w:val="22"/>
        </w:rPr>
        <w:t xml:space="preserve">Kluczową obserwacją jest ASYMETRIA destabilizacji — kobiety uzyskały nowe wolności przy zachowaniu tradycyjnych korzyści, mężczyźni stracili tradycyjne korzyści przy zachowaniu kosztów:</w:t>
      </w:r>
    </w:p>
    <w:p>
      <w:pPr>
        <w:pStyle w:val="Heading3"/>
        <w:spacing w:before="200" w:after="100"/>
      </w:pPr>
      <w:r>
        <w:rPr>
          <w:b/>
          <w:bCs/>
          <w:color w:val="595959"/>
          <w:sz w:val="24"/>
          <w:szCs w:val="24"/>
        </w:rPr>
        <w:t xml:space="preserve">Co kobiety ZYSKAŁY:</w:t>
      </w:r>
    </w:p>
    <w:p>
      <w:pPr>
        <w:pStyle w:val="ListParagraph"/>
        <w:numPr>
          <w:ilvl w:val="0"/>
          <w:numId w:val="2"/>
        </w:numPr>
        <w:spacing w:after="80"/>
      </w:pPr>
      <w:r>
        <w:rPr>
          <w:sz w:val="22"/>
          <w:szCs w:val="22"/>
        </w:rPr>
        <w:t xml:space="preserve">Autonomię reprodukcyjną (antykoncepcja, aborcja)</w:t>
      </w:r>
    </w:p>
    <w:p>
      <w:pPr>
        <w:pStyle w:val="ListParagraph"/>
        <w:numPr>
          <w:ilvl w:val="0"/>
          <w:numId w:val="2"/>
        </w:numPr>
        <w:spacing w:after="80"/>
      </w:pPr>
      <w:r>
        <w:rPr>
          <w:sz w:val="22"/>
          <w:szCs w:val="22"/>
        </w:rPr>
        <w:t xml:space="preserve">Niezależność ekonomiczną (edukacja, kariera)</w:t>
      </w:r>
    </w:p>
    <w:p>
      <w:pPr>
        <w:pStyle w:val="ListParagraph"/>
        <w:numPr>
          <w:ilvl w:val="0"/>
          <w:numId w:val="2"/>
        </w:numPr>
        <w:spacing w:after="80"/>
      </w:pPr>
      <w:r>
        <w:rPr>
          <w:sz w:val="22"/>
          <w:szCs w:val="22"/>
        </w:rPr>
        <w:t xml:space="preserve">Wolność seksualną (destigmatyzacja seksu pozamałżeńskiego)</w:t>
      </w:r>
    </w:p>
    <w:p>
      <w:pPr>
        <w:pStyle w:val="ListParagraph"/>
        <w:numPr>
          <w:ilvl w:val="0"/>
          <w:numId w:val="2"/>
        </w:numPr>
        <w:spacing w:after="120"/>
      </w:pPr>
      <w:r>
        <w:rPr>
          <w:sz w:val="22"/>
          <w:szCs w:val="22"/>
        </w:rPr>
        <w:t xml:space="preserve">Łatwość wyjścia z niesatysfakcjonujących związków (kobiety inicjują ~70% rozwodów)</w:t>
      </w:r>
    </w:p>
    <w:p>
      <w:pPr>
        <w:pStyle w:val="Heading3"/>
        <w:spacing w:before="200" w:after="100"/>
      </w:pPr>
      <w:r>
        <w:rPr>
          <w:b/>
          <w:bCs/>
          <w:color w:val="595959"/>
          <w:sz w:val="24"/>
          <w:szCs w:val="24"/>
        </w:rPr>
        <w:t xml:space="preserve">Co mężczyźni STRACILI:</w:t>
      </w:r>
    </w:p>
    <w:p>
      <w:pPr>
        <w:pStyle w:val="ListParagraph"/>
        <w:numPr>
          <w:ilvl w:val="0"/>
          <w:numId w:val="2"/>
        </w:numPr>
        <w:spacing w:after="80"/>
      </w:pPr>
      <w:r>
        <w:rPr>
          <w:sz w:val="22"/>
          <w:szCs w:val="22"/>
        </w:rPr>
        <w:t xml:space="preserve">Wartość roli żywiciela (kobiety nie potrzebują męskiego wsparcia)</w:t>
      </w:r>
    </w:p>
    <w:p>
      <w:pPr>
        <w:pStyle w:val="ListParagraph"/>
        <w:numPr>
          <w:ilvl w:val="0"/>
          <w:numId w:val="2"/>
        </w:numPr>
        <w:spacing w:after="80"/>
      </w:pPr>
      <w:r>
        <w:rPr>
          <w:sz w:val="22"/>
          <w:szCs w:val="22"/>
        </w:rPr>
        <w:t xml:space="preserve">Pewność ojcostwa (wolność seksualna partnerek)</w:t>
      </w:r>
    </w:p>
    <w:p>
      <w:pPr>
        <w:pStyle w:val="ListParagraph"/>
        <w:numPr>
          <w:ilvl w:val="0"/>
          <w:numId w:val="2"/>
        </w:numPr>
        <w:spacing w:after="80"/>
      </w:pPr>
      <w:r>
        <w:rPr>
          <w:sz w:val="22"/>
          <w:szCs w:val="22"/>
        </w:rPr>
        <w:t xml:space="preserve">Autorytet domowy (egalitarne podejmowanie decyzji)</w:t>
      </w:r>
    </w:p>
    <w:p>
      <w:pPr>
        <w:pStyle w:val="ListParagraph"/>
        <w:numPr>
          <w:ilvl w:val="0"/>
          <w:numId w:val="2"/>
        </w:numPr>
        <w:spacing w:after="120"/>
      </w:pPr>
      <w:r>
        <w:rPr>
          <w:sz w:val="22"/>
          <w:szCs w:val="22"/>
        </w:rPr>
        <w:t xml:space="preserve">Bezpieczeństwo małżeństwa (jednostronny rozwód)</w:t>
      </w:r>
    </w:p>
    <w:p>
      <w:pPr>
        <w:pStyle w:val="Heading3"/>
        <w:spacing w:before="200" w:after="100"/>
      </w:pPr>
      <w:r>
        <w:rPr>
          <w:b/>
          <w:bCs/>
          <w:color w:val="595959"/>
          <w:sz w:val="24"/>
          <w:szCs w:val="24"/>
        </w:rPr>
        <w:t xml:space="preserve">Co mężczyźni ZACHOWALI bez kompensacji:</w:t>
      </w:r>
    </w:p>
    <w:p>
      <w:pPr>
        <w:pStyle w:val="ListParagraph"/>
        <w:numPr>
          <w:ilvl w:val="0"/>
          <w:numId w:val="2"/>
        </w:numPr>
        <w:spacing w:after="80"/>
      </w:pPr>
      <w:r>
        <w:rPr>
          <w:sz w:val="22"/>
          <w:szCs w:val="22"/>
        </w:rPr>
        <w:t xml:space="preserve">Obowiązkowa służba wojskowa (większość krajów)</w:t>
      </w:r>
    </w:p>
    <w:p>
      <w:pPr>
        <w:pStyle w:val="ListParagraph"/>
        <w:numPr>
          <w:ilvl w:val="0"/>
          <w:numId w:val="2"/>
        </w:numPr>
        <w:spacing w:after="80"/>
      </w:pPr>
      <w:r>
        <w:rPr>
          <w:sz w:val="22"/>
          <w:szCs w:val="22"/>
        </w:rPr>
        <w:t xml:space="preserve">Dominacja w niebezpiecznych zawodach (92% śmiertelnych wypadków przy pracy)</w:t>
      </w:r>
    </w:p>
    <w:p>
      <w:pPr>
        <w:pStyle w:val="ListParagraph"/>
        <w:numPr>
          <w:ilvl w:val="0"/>
          <w:numId w:val="2"/>
        </w:numPr>
        <w:spacing w:after="80"/>
      </w:pPr>
      <w:r>
        <w:rPr>
          <w:sz w:val="22"/>
          <w:szCs w:val="22"/>
        </w:rPr>
        <w:t xml:space="preserve">Krótsza średnia długość życia (Polska: 7,3 roku mniej)</w:t>
      </w:r>
    </w:p>
    <w:p>
      <w:pPr>
        <w:pStyle w:val="ListParagraph"/>
        <w:numPr>
          <w:ilvl w:val="0"/>
          <w:numId w:val="2"/>
        </w:numPr>
        <w:spacing w:after="120"/>
      </w:pPr>
      <w:r>
        <w:rPr>
          <w:sz w:val="22"/>
          <w:szCs w:val="22"/>
        </w:rPr>
        <w:t xml:space="preserve">Alimenty i podział majątku przy rozwodzie</w:t>
      </w:r>
    </w:p>
    <w:p>
      <w:pPr>
        <w:pStyle w:val="Heading2"/>
        <w:spacing w:before="300" w:after="150"/>
      </w:pPr>
      <w:r>
        <w:rPr>
          <w:b/>
          <w:bCs/>
          <w:color w:val="404040"/>
          <w:sz w:val="26"/>
          <w:szCs w:val="26"/>
        </w:rPr>
        <w:t xml:space="preserve">7.3. Wpływ aplikacji randkowych — powrót asymetrii pareto</w:t>
      </w:r>
    </w:p>
    <w:p>
      <w:pPr>
        <w:spacing w:after="120"/>
        <w:jc w:val="both"/>
      </w:pPr>
      <w:r>
        <w:rPr>
          <w:sz w:val="22"/>
          <w:szCs w:val="22"/>
        </w:rPr>
        <w:t xml:space="preserve">Dane OkCupid (25+ milionów użytkowników) ujawniły fundamentalną asymetrię: kobiety oceniają ponad 80% mężczyzn jako poniżej średniej atrakcyjności, podczas gdy mężczyźni oceniają tylko 40% kobiet poniżej średniej. Na Tinderze mężczyźni akceptują ~62% profili kobiet, kobiety — poniżej 5% profili mężczyzn. Przeciętny mężczyzna jest 'lajkowany' przez mniej niż 1 na 115 kobiet.</w:t>
      </w:r>
    </w:p>
    <w:p>
      <w:pPr>
        <w:shd w:fill="FFF3CD" w:val="clear"/>
        <w:spacing w:after="120" w:before="120"/>
        <w:ind w:left="720" w:right="720"/>
      </w:pPr>
      <w:r>
        <w:rPr>
          <w:i/>
          <w:iCs/>
          <w:sz w:val="22"/>
          <w:szCs w:val="22"/>
        </w:rPr>
        <w:t xml:space="preserve">Ta dynamika tworzy stratyfikowaną ekonomię matrymonialną, w której niewielka frakcja mężczyzn otrzymuje większość dopasowań — wzmacniając rozkład Pareto uwagi romantycznej i przywracając ewolucyjną asymetrię, którą monogamia normatywna wcześniej tłumiła.</w:t>
      </w:r>
    </w:p>
    <w:p>
      <w:pPr>
        <w:spacing w:before="400"/>
      </w:pPr>
    </w:p>
    <w:p>
      <w:pPr>
        <w:pStyle w:val="Heading1"/>
        <w:spacing w:before="400" w:after="200"/>
      </w:pPr>
      <w:r>
        <w:rPr>
          <w:b/>
          <w:bCs/>
          <w:color w:val="2B579A"/>
          <w:sz w:val="32"/>
          <w:szCs w:val="32"/>
        </w:rPr>
        <w:t xml:space="preserve">Część VIII: Blokada renegocjacji kontraktu</w:t>
      </w:r>
    </w:p>
    <w:p>
      <w:pPr>
        <w:pStyle w:val="Heading2"/>
        <w:spacing w:before="300" w:after="150"/>
      </w:pPr>
      <w:r>
        <w:rPr>
          <w:b/>
          <w:bCs/>
          <w:color w:val="404040"/>
          <w:sz w:val="26"/>
          <w:szCs w:val="26"/>
        </w:rPr>
        <w:t xml:space="preserve">8.1. Dlaczego renegocjacja jest niemożliwa</w:t>
      </w:r>
    </w:p>
    <w:p>
      <w:pPr>
        <w:spacing w:after="120"/>
        <w:jc w:val="both"/>
      </w:pPr>
      <w:r>
        <w:rPr>
          <w:sz w:val="22"/>
          <w:szCs w:val="22"/>
        </w:rPr>
        <w:t xml:space="preserve">Model identyfikuje kaskadę blokad uniemożliwiających symetryczną renegocjację kontraktu płci:</w:t>
      </w:r>
    </w:p>
    <w:p>
      <w:pPr>
        <w:pStyle w:val="Heading3"/>
        <w:spacing w:before="200" w:after="100"/>
      </w:pPr>
      <w:r>
        <w:rPr>
          <w:b/>
          <w:bCs/>
          <w:color w:val="595959"/>
          <w:sz w:val="24"/>
          <w:szCs w:val="24"/>
        </w:rPr>
        <w:t xml:space="preserve">Blokada poznawcza (biasy):</w:t>
      </w:r>
    </w:p>
    <w:p>
      <w:pPr>
        <w:pStyle w:val="ListParagraph"/>
        <w:numPr>
          <w:ilvl w:val="0"/>
          <w:numId w:val="2"/>
        </w:numPr>
        <w:spacing w:after="80"/>
      </w:pPr>
      <w:r>
        <w:rPr>
          <w:sz w:val="22"/>
          <w:szCs w:val="22"/>
        </w:rPr>
        <w:t xml:space="preserve">WAW effect → cierpienie mężczyzn jest automatycznie minimalizowane</w:t>
      </w:r>
    </w:p>
    <w:p>
      <w:pPr>
        <w:pStyle w:val="ListParagraph"/>
        <w:numPr>
          <w:ilvl w:val="0"/>
          <w:numId w:val="2"/>
        </w:numPr>
        <w:spacing w:after="80"/>
      </w:pPr>
      <w:r>
        <w:rPr>
          <w:sz w:val="22"/>
          <w:szCs w:val="22"/>
        </w:rPr>
        <w:t xml:space="preserve">Gamma bias → męskie krzywdy są ukrywane, kobiece podkreślane</w:t>
      </w:r>
    </w:p>
    <w:p>
      <w:pPr>
        <w:pStyle w:val="ListParagraph"/>
        <w:numPr>
          <w:ilvl w:val="0"/>
          <w:numId w:val="2"/>
        </w:numPr>
        <w:spacing w:after="120"/>
      </w:pPr>
      <w:r>
        <w:rPr>
          <w:sz w:val="22"/>
          <w:szCs w:val="22"/>
        </w:rPr>
        <w:t xml:space="preserve">Brak męskiego in-group bias → mężczyźni nie bronią innych mężczyzn</w:t>
      </w:r>
    </w:p>
    <w:p>
      <w:pPr>
        <w:pStyle w:val="Heading3"/>
        <w:spacing w:before="200" w:after="100"/>
      </w:pPr>
      <w:r>
        <w:rPr>
          <w:b/>
          <w:bCs/>
          <w:color w:val="595959"/>
          <w:sz w:val="24"/>
          <w:szCs w:val="24"/>
        </w:rPr>
        <w:t xml:space="preserve">Blokada normatywna (rycerskość):</w:t>
      </w:r>
    </w:p>
    <w:p>
      <w:pPr>
        <w:pStyle w:val="ListParagraph"/>
        <w:numPr>
          <w:ilvl w:val="0"/>
          <w:numId w:val="2"/>
        </w:numPr>
        <w:spacing w:after="80"/>
      </w:pPr>
      <w:r>
        <w:rPr>
          <w:sz w:val="22"/>
          <w:szCs w:val="22"/>
        </w:rPr>
        <w:t xml:space="preserve">Zinternalizowana norma ochrony kobiet blokuje kontestację ich narracji</w:t>
      </w:r>
    </w:p>
    <w:p>
      <w:pPr>
        <w:pStyle w:val="ListParagraph"/>
        <w:numPr>
          <w:ilvl w:val="0"/>
          <w:numId w:val="2"/>
        </w:numPr>
        <w:spacing w:after="120"/>
      </w:pPr>
      <w:r>
        <w:rPr>
          <w:sz w:val="22"/>
          <w:szCs w:val="22"/>
        </w:rPr>
        <w:t xml:space="preserve">Artykulacja problemów męskich = 'atak na kobiety'</w:t>
      </w:r>
    </w:p>
    <w:p>
      <w:pPr>
        <w:pStyle w:val="Heading3"/>
        <w:spacing w:before="200" w:after="100"/>
      </w:pPr>
      <w:r>
        <w:rPr>
          <w:b/>
          <w:bCs/>
          <w:color w:val="595959"/>
          <w:sz w:val="24"/>
          <w:szCs w:val="24"/>
        </w:rPr>
        <w:t xml:space="preserve">Blokada instytucjonalna:</w:t>
      </w:r>
    </w:p>
    <w:p>
      <w:pPr>
        <w:pStyle w:val="ListParagraph"/>
        <w:numPr>
          <w:ilvl w:val="0"/>
          <w:numId w:val="2"/>
        </w:numPr>
        <w:spacing w:after="80"/>
      </w:pPr>
      <w:r>
        <w:rPr>
          <w:sz w:val="22"/>
          <w:szCs w:val="22"/>
        </w:rPr>
        <w:t xml:space="preserve">Brak męskiej infrastruktury wsparcia (stosunek ginekologów do andrologów 107:1 w Polsce)</w:t>
      </w:r>
    </w:p>
    <w:p>
      <w:pPr>
        <w:pStyle w:val="ListParagraph"/>
        <w:numPr>
          <w:ilvl w:val="0"/>
          <w:numId w:val="2"/>
        </w:numPr>
        <w:spacing w:after="80"/>
      </w:pPr>
      <w:r>
        <w:rPr>
          <w:sz w:val="22"/>
          <w:szCs w:val="22"/>
        </w:rPr>
        <w:t xml:space="preserve">NIH przeznacza 14% budżetu na zdrowie kobiet vs 6% na zdrowie mężczyzn</w:t>
      </w:r>
    </w:p>
    <w:p>
      <w:pPr>
        <w:pStyle w:val="ListParagraph"/>
        <w:numPr>
          <w:ilvl w:val="0"/>
          <w:numId w:val="2"/>
        </w:numPr>
        <w:spacing w:after="120"/>
      </w:pPr>
      <w:r>
        <w:rPr>
          <w:sz w:val="22"/>
          <w:szCs w:val="22"/>
        </w:rPr>
        <w:t xml:space="preserve">ONZ obchodzi 9 Dni dedykowanych kobietom vs 1 dla mężczyzn (nieoficjalny)</w:t>
      </w:r>
    </w:p>
    <w:p>
      <w:pPr>
        <w:pStyle w:val="Heading3"/>
        <w:spacing w:before="200" w:after="100"/>
      </w:pPr>
      <w:r>
        <w:rPr>
          <w:b/>
          <w:bCs/>
          <w:color w:val="595959"/>
          <w:sz w:val="24"/>
          <w:szCs w:val="24"/>
        </w:rPr>
        <w:t xml:space="preserve">Blokada kategoryzacyjna:</w:t>
      </w:r>
    </w:p>
    <w:p>
      <w:pPr>
        <w:pStyle w:val="ListParagraph"/>
        <w:numPr>
          <w:ilvl w:val="0"/>
          <w:numId w:val="2"/>
        </w:numPr>
        <w:spacing w:after="80"/>
      </w:pPr>
      <w:r>
        <w:rPr>
          <w:sz w:val="22"/>
          <w:szCs w:val="22"/>
        </w:rPr>
        <w:t xml:space="preserve">Każda próba artykulacji problemów męskich jest etykietowana jako 'incel', 'MRA', 'mizoginia'</w:t>
      </w:r>
    </w:p>
    <w:p>
      <w:pPr>
        <w:pStyle w:val="ListParagraph"/>
        <w:numPr>
          <w:ilvl w:val="0"/>
          <w:numId w:val="2"/>
        </w:numPr>
        <w:spacing w:after="120"/>
      </w:pPr>
      <w:r>
        <w:rPr>
          <w:sz w:val="22"/>
          <w:szCs w:val="22"/>
        </w:rPr>
        <w:t xml:space="preserve">Etykieta delegitymizuje nadawcę bez adresowania treści</w:t>
      </w:r>
    </w:p>
    <w:p>
      <w:pPr>
        <w:pStyle w:val="Heading2"/>
        <w:spacing w:before="300" w:after="150"/>
      </w:pPr>
      <w:r>
        <w:rPr>
          <w:b/>
          <w:bCs/>
          <w:color w:val="404040"/>
          <w:sz w:val="26"/>
          <w:szCs w:val="26"/>
        </w:rPr>
        <w:t xml:space="preserve">8.2. Efekt emergentnego zamknięcia</w:t>
      </w:r>
    </w:p>
    <w:p>
      <w:pPr>
        <w:shd w:fill="FFF3CD" w:val="clear"/>
        <w:spacing w:after="120" w:before="120"/>
        <w:ind w:left="720" w:right="720"/>
      </w:pPr>
      <w:r>
        <w:rPr>
          <w:i/>
          <w:iCs/>
          <w:sz w:val="22"/>
          <w:szCs w:val="22"/>
        </w:rPr>
        <w:t xml:space="preserve">Kluczowa obserwacja: Nikt świadomie nie zaprojektował tego systemu — jest to emergentna struktura wynikająca z kaskady wzajemnie wzmacniających się mechanizmów. Żadna pojedyncza interwencja nie może go zmienić, ponieważ każdy element podtrzymuje pozostałe.</w:t>
      </w:r>
    </w:p>
    <w:p>
      <w:pPr>
        <w:spacing w:after="120"/>
        <w:jc w:val="both"/>
      </w:pPr>
      <w:r>
        <w:rPr>
          <w:sz w:val="22"/>
          <w:szCs w:val="22"/>
        </w:rPr>
        <w:t xml:space="preserve">Mężczyzna próbujący artykułować problemy spotyka się z:</w:t>
      </w:r>
    </w:p>
    <w:p>
      <w:pPr>
        <w:pStyle w:val="ListParagraph"/>
        <w:numPr>
          <w:ilvl w:val="0"/>
          <w:numId w:val="5"/>
        </w:numPr>
        <w:spacing w:after="80"/>
      </w:pPr>
      <w:r>
        <w:rPr>
          <w:sz w:val="22"/>
          <w:szCs w:val="22"/>
        </w:rPr>
        <w:t xml:space="preserve">Brakiem wsparcia innych mężczyzn (brak in-group bias)</w:t>
      </w:r>
    </w:p>
    <w:p>
      <w:pPr>
        <w:pStyle w:val="ListParagraph"/>
        <w:numPr>
          <w:ilvl w:val="0"/>
          <w:numId w:val="5"/>
        </w:numPr>
        <w:spacing w:after="80"/>
      </w:pPr>
      <w:r>
        <w:rPr>
          <w:sz w:val="22"/>
          <w:szCs w:val="22"/>
        </w:rPr>
        <w:t xml:space="preserve">Aktywnością opozycją kobiet (postrzeganie jako zagrożenie)</w:t>
      </w:r>
    </w:p>
    <w:p>
      <w:pPr>
        <w:pStyle w:val="ListParagraph"/>
        <w:numPr>
          <w:ilvl w:val="0"/>
          <w:numId w:val="5"/>
        </w:numPr>
        <w:spacing w:after="80"/>
      </w:pPr>
      <w:r>
        <w:rPr>
          <w:sz w:val="22"/>
          <w:szCs w:val="22"/>
        </w:rPr>
        <w:t xml:space="preserve">Automatyczną delegitymizacją przez etykiety</w:t>
      </w:r>
    </w:p>
    <w:p>
      <w:pPr>
        <w:pStyle w:val="ListParagraph"/>
        <w:numPr>
          <w:ilvl w:val="0"/>
          <w:numId w:val="5"/>
        </w:numPr>
        <w:spacing w:after="80"/>
      </w:pPr>
      <w:r>
        <w:rPr>
          <w:sz w:val="22"/>
          <w:szCs w:val="22"/>
        </w:rPr>
        <w:t xml:space="preserve">Brakiem instytucjonalnego wsparcia</w:t>
      </w:r>
    </w:p>
    <w:p>
      <w:pPr>
        <w:pStyle w:val="ListParagraph"/>
        <w:numPr>
          <w:ilvl w:val="0"/>
          <w:numId w:val="5"/>
        </w:numPr>
        <w:spacing w:after="120"/>
      </w:pPr>
      <w:r>
        <w:rPr>
          <w:sz w:val="22"/>
          <w:szCs w:val="22"/>
        </w:rPr>
        <w:t xml:space="preserve">Utratą statusu za samo narzekanie (Precarious Manhood)</w:t>
      </w:r>
    </w:p>
    <w:p>
      <w:pPr>
        <w:spacing w:after="120"/>
        <w:jc w:val="both"/>
      </w:pPr>
      <w:r>
        <w:rPr>
          <w:sz w:val="22"/>
          <w:szCs w:val="22"/>
        </w:rPr>
        <w:t xml:space="preserve">Co 21 godzin w Polsce umiera przedwcześnie tylu mężczyzn, ilu zginęło w katastrofie smoleńskiej — w ciszy i bez konsekwencji politycznych.</w:t>
      </w:r>
    </w:p>
    <w:p>
      <w:pPr>
        <w:spacing w:before="400"/>
      </w:pPr>
    </w:p>
    <w:p>
      <w:pPr>
        <w:pStyle w:val="Heading1"/>
        <w:spacing w:before="400" w:after="200"/>
      </w:pPr>
      <w:r>
        <w:rPr>
          <w:b/>
          <w:bCs/>
          <w:color w:val="2B579A"/>
          <w:sz w:val="32"/>
          <w:szCs w:val="32"/>
        </w:rPr>
        <w:t xml:space="preserve">Część IX: Konsekwencje systemowe — dane empiryczne</w:t>
      </w:r>
    </w:p>
    <w:p>
      <w:pPr>
        <w:pStyle w:val="Heading2"/>
        <w:spacing w:before="300" w:after="150"/>
      </w:pPr>
      <w:r>
        <w:rPr>
          <w:b/>
          <w:bCs/>
          <w:color w:val="404040"/>
          <w:sz w:val="26"/>
          <w:szCs w:val="26"/>
        </w:rPr>
        <w:t xml:space="preserve">9.1. Asymetria śmiertelności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Wymiar</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Proporcja M</w:t>
            </w:r>
          </w:p>
        </w:tc>
        <w:tc>
          <w:tcPr>
            <w:tcW w:type="dxa" w:w="23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Źródło</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Samobójstwa (zgony)</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84% (Polska)</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GUS</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Śmiertelne wypadki przy pracy</w:t>
            </w:r>
          </w:p>
        </w:tc>
        <w:tc>
          <w:tcPr>
            <w:tcW w:type="dxa" w:w="234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92-95%</w:t>
            </w:r>
          </w:p>
        </w:tc>
        <w:tc>
          <w:tcPr>
            <w:tcW w:type="dxa" w:w="234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BLS, GUS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Luka w długości życia (Polska)</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-7,3 roku</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GUS</w:t>
            </w:r>
          </w:p>
        </w:tc>
      </w:tr>
      <w:tr>
        <w:tc>
          <w:tcPr>
            <w:tcW w:type="dxa" w:w="4680"/>
            <w:tcBorders>
              <w:top w:val="single" w:color="CCCCCC" w:sz="1"/>
              <w:left w:val="single" w:color="CCCCCC" w:sz="1"/>
              <w:bottom w:val="single" w:color="CCCCCC" w:sz="1"/>
              <w:right w:val="single" w:color="CCCCCC" w:sz="1"/>
            </w:tcBorders>
            <w:shd w:fill="F5F5F5" w:val="clear"/>
          </w:tcPr>
          <w:p>
            <w:r>
              <w:rPr>
                <w:sz w:val="22"/>
                <w:szCs w:val="22"/>
              </w:rPr>
              <w:t xml:space="preserve">Bezdomność</w:t>
            </w:r>
          </w:p>
        </w:tc>
        <w:tc>
          <w:tcPr>
            <w:tcW w:type="dxa" w:w="234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80%+</w:t>
            </w:r>
          </w:p>
        </w:tc>
        <w:tc>
          <w:tcPr>
            <w:tcW w:type="dxa" w:w="2340"/>
            <w:tcBorders>
              <w:top w:val="single" w:color="CCCCCC" w:sz="1"/>
              <w:left w:val="single" w:color="CCCCCC" w:sz="1"/>
              <w:bottom w:val="single" w:color="CCCCCC" w:sz="1"/>
              <w:right w:val="single" w:color="CCCCCC" w:sz="1"/>
            </w:tcBorders>
            <w:shd w:fill="F5F5F5" w:val="clear"/>
          </w:tcPr>
          <w:p>
            <w:pPr>
              <w:jc w:val="center"/>
            </w:pPr>
            <w:r>
              <w:rPr>
                <w:sz w:val="22"/>
                <w:szCs w:val="22"/>
              </w:rPr>
              <w:t xml:space="preserve">HUD, MOPS</w:t>
            </w:r>
          </w:p>
        </w:tc>
      </w:tr>
      <w:tr>
        <w:tc>
          <w:tcPr>
            <w:tcW w:type="dxa" w:w="4680"/>
            <w:tcBorders>
              <w:top w:val="single" w:color="CCCCCC" w:sz="1"/>
              <w:left w:val="single" w:color="CCCCCC" w:sz="1"/>
              <w:bottom w:val="single" w:color="CCCCCC" w:sz="1"/>
              <w:right w:val="single" w:color="CCCCCC" w:sz="1"/>
            </w:tcBorders>
          </w:tcPr>
          <w:p>
            <w:r>
              <w:rPr>
                <w:sz w:val="22"/>
                <w:szCs w:val="22"/>
              </w:rPr>
              <w:t xml:space="preserve">Przedwczesne zgony rocznie (Polska)</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+39 000</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GUS, WHO</w:t>
            </w:r>
          </w:p>
        </w:tc>
      </w:tr>
    </w:tbl>
    <w:p>
      <w:pPr>
        <w:spacing w:after="200"/>
      </w:pPr>
      <w:r>
        <w:rPr>
          <w:i/>
          <w:iCs/>
          <w:color w:val="595959"/>
          <w:sz w:val="20"/>
          <w:szCs w:val="20"/>
        </w:rPr>
        <w:t xml:space="preserve">Tabela 7. Asymetria śmiertelności według płci</w:t>
      </w:r>
    </w:p>
    <w:p>
      <w:pPr>
        <w:pStyle w:val="Heading2"/>
        <w:spacing w:before="300" w:after="150"/>
      </w:pPr>
      <w:r>
        <w:rPr>
          <w:b/>
          <w:bCs/>
          <w:color w:val="404040"/>
          <w:sz w:val="26"/>
          <w:szCs w:val="26"/>
        </w:rPr>
        <w:t xml:space="preserve">9.2. Kryzys demograficzny</w:t>
      </w:r>
    </w:p>
    <w:p>
      <w:pPr>
        <w:spacing w:after="120"/>
        <w:jc w:val="both"/>
      </w:pPr>
      <w:r>
        <w:rPr>
          <w:sz w:val="22"/>
          <w:szCs w:val="22"/>
        </w:rPr>
        <w:t xml:space="preserve">Współczynnik dzietności w Polsce spadł do rekordowego poziomu TFR 1,099 w 2024 roku — jeden z najniższych na świecie, drastycznie poniżej poziomu zastępowalności (2,1). Korea Południowa osiągnęła TFR 0,72. Badania wskazują, że niespójność między równością płci w sferze publicznej a nierównością w sferze prywatnej (teoria McDonalda) jest kluczowym czynnikiem — kobiety zmieniły swoją rolę, ale mężczyźni, pracodawcy i instytucje nie nadążyli ('zatrzymana rewolucja' Hochschild).</w:t>
      </w:r>
    </w:p>
    <w:p>
      <w:pPr>
        <w:pStyle w:val="Heading2"/>
        <w:spacing w:before="300" w:after="150"/>
      </w:pPr>
      <w:r>
        <w:rPr>
          <w:b/>
          <w:bCs/>
          <w:color w:val="404040"/>
          <w:sz w:val="26"/>
          <w:szCs w:val="26"/>
        </w:rPr>
        <w:t xml:space="preserve">9.3. Asymetria w sądach rodzinnych</w:t>
      </w:r>
    </w:p>
    <w:p>
      <w:pPr>
        <w:spacing w:after="120"/>
        <w:jc w:val="both"/>
      </w:pPr>
      <w:r>
        <w:rPr>
          <w:sz w:val="22"/>
          <w:szCs w:val="22"/>
        </w:rPr>
        <w:t xml:space="preserve">Miller (2018) w badaniu 619 sędziów wykazał, że sędziowie są BARDZIEJ stronniczy niż laicy w faworyzowaniu matek — przyznawali matkom ~0,5 dnia więcej opieki niż ojcom. Tylko 3% sędziów przyznało ojcu więcej czasu opieki niż matce. Co więcej, sędziowie z większym doświadczeniem w prawie rodzinnym wykazywali SILNIEJSZY bias, nie słabszy.</w:t>
      </w:r>
    </w:p>
    <w:p>
      <w:pPr>
        <w:spacing w:after="120"/>
        <w:jc w:val="both"/>
      </w:pPr>
      <w:r>
        <w:rPr>
          <w:sz w:val="22"/>
          <w:szCs w:val="22"/>
        </w:rPr>
        <w:t xml:space="preserve">W Polsce opieka naprzemienna jest orzekana w jedynie 2,3% przypadków — dramatycznie poniżej średniej europejskiej (~20%). Ta asymetria ma konsekwencje dla zdrowia psychicznego ojców i dalej perpetuuje spiralę niewystarczalności.</w:t>
      </w:r>
    </w:p>
    <w:p>
      <w:pPr>
        <w:spacing w:before="400"/>
      </w:pPr>
    </w:p>
    <w:p>
      <w:pPr>
        <w:pStyle w:val="Heading1"/>
        <w:spacing w:before="400" w:after="200"/>
      </w:pPr>
      <w:r>
        <w:rPr>
          <w:b/>
          <w:bCs/>
          <w:color w:val="2B579A"/>
          <w:sz w:val="32"/>
          <w:szCs w:val="32"/>
        </w:rPr>
        <w:t xml:space="preserve">Część X: Wnioski i synteza modelu</w:t>
      </w:r>
    </w:p>
    <w:p>
      <w:pPr>
        <w:pStyle w:val="Heading2"/>
        <w:spacing w:before="300" w:after="150"/>
      </w:pPr>
      <w:r>
        <w:rPr>
          <w:b/>
          <w:bCs/>
          <w:color w:val="404040"/>
          <w:sz w:val="26"/>
          <w:szCs w:val="26"/>
        </w:rPr>
        <w:t xml:space="preserve">10.1. Centralna teza</w:t>
      </w:r>
    </w:p>
    <w:p>
      <w:pPr>
        <w:shd w:fill="FFF3CD" w:val="clear"/>
        <w:spacing w:after="120" w:before="120"/>
        <w:ind w:left="720" w:right="720"/>
      </w:pPr>
      <w:r>
        <w:rPr>
          <w:i/>
          <w:iCs/>
          <w:sz w:val="22"/>
          <w:szCs w:val="22"/>
        </w:rPr>
        <w:t xml:space="preserve">Patriarchat był emergentnym systemem współtworzonym przez obie płci poprzez selekcję seksualną, transmisję norm i instytucjonalizację. Jednostronny rozpad kontraktu po 1960 roku — przy zachowaniu kosztów dla mężczyzn i dodaniu nowych kar (narracja 'toksycznej męskości') — zablokował możliwość renegocjacji, generując katastrofalne konsekwencje szczególnie dla mężczyzn, których cierpienie pozostaje niewidoczne z powodu udokumentowanych mechanizmów poznawczych.</w:t>
      </w:r>
    </w:p>
    <w:p>
      <w:pPr>
        <w:pStyle w:val="Heading2"/>
        <w:spacing w:before="300" w:after="150"/>
      </w:pPr>
      <w:r>
        <w:rPr>
          <w:b/>
          <w:bCs/>
          <w:color w:val="404040"/>
          <w:sz w:val="26"/>
          <w:szCs w:val="26"/>
        </w:rPr>
        <w:t xml:space="preserve">10.2. Podsumowanie mechanizmów</w:t>
      </w:r>
    </w:p>
    <w:p>
      <w:pPr>
        <w:pStyle w:val="ListParagraph"/>
        <w:numPr>
          <w:ilvl w:val="0"/>
          <w:numId w:val="6"/>
        </w:numPr>
        <w:spacing w:after="80"/>
      </w:pPr>
      <w:r>
        <w:rPr>
          <w:sz w:val="22"/>
          <w:szCs w:val="22"/>
        </w:rPr>
        <w:t xml:space="preserve">Ewolucyjne pochodzenie: Asymetria inwestycji rodzicielskiej → kobieca selektywność → męska konkurencja → selekcja na cechy dominacyjne</w:t>
      </w:r>
    </w:p>
    <w:p>
      <w:pPr>
        <w:pStyle w:val="ListParagraph"/>
        <w:numPr>
          <w:ilvl w:val="0"/>
          <w:numId w:val="6"/>
        </w:numPr>
        <w:spacing w:after="80"/>
      </w:pPr>
      <w:r>
        <w:rPr>
          <w:sz w:val="22"/>
          <w:szCs w:val="22"/>
        </w:rPr>
        <w:t xml:space="preserve">Transmisja norm: Kobiety jako główni transmiterzy (77% ekspozycji) przez implicit bias + czas kontaktu</w:t>
      </w:r>
    </w:p>
    <w:p>
      <w:pPr>
        <w:pStyle w:val="ListParagraph"/>
        <w:numPr>
          <w:ilvl w:val="0"/>
          <w:numId w:val="6"/>
        </w:numPr>
        <w:spacing w:after="80"/>
      </w:pPr>
      <w:r>
        <w:rPr>
          <w:sz w:val="22"/>
          <w:szCs w:val="22"/>
        </w:rPr>
        <w:t xml:space="preserve">Egzekwowanie norm: Kary za niekonformizm ze wszystkich kierunków → zamknięcie kanałów ekspresji</w:t>
      </w:r>
    </w:p>
    <w:p>
      <w:pPr>
        <w:pStyle w:val="ListParagraph"/>
        <w:numPr>
          <w:ilvl w:val="0"/>
          <w:numId w:val="6"/>
        </w:numPr>
        <w:spacing w:after="80"/>
      </w:pPr>
      <w:r>
        <w:rPr>
          <w:sz w:val="22"/>
          <w:szCs w:val="22"/>
        </w:rPr>
        <w:t xml:space="preserve">Spirala niewystarczalności: Wartość warunkowa → lęk → kompensacja → porażka → cykl eskalacji → samobójstwo</w:t>
      </w:r>
    </w:p>
    <w:p>
      <w:pPr>
        <w:pStyle w:val="ListParagraph"/>
        <w:numPr>
          <w:ilvl w:val="0"/>
          <w:numId w:val="6"/>
        </w:numPr>
        <w:spacing w:after="80"/>
      </w:pPr>
      <w:r>
        <w:rPr>
          <w:sz w:val="22"/>
          <w:szCs w:val="22"/>
        </w:rPr>
        <w:t xml:space="preserve">Biasy perpetuujące: WAW, brak in-group bias, rycerskość, gamma bias → niewidzialność cierpienia</w:t>
      </w:r>
    </w:p>
    <w:p>
      <w:pPr>
        <w:pStyle w:val="ListParagraph"/>
        <w:numPr>
          <w:ilvl w:val="0"/>
          <w:numId w:val="6"/>
        </w:numPr>
        <w:spacing w:after="80"/>
      </w:pPr>
      <w:r>
        <w:rPr>
          <w:sz w:val="22"/>
          <w:szCs w:val="22"/>
        </w:rPr>
        <w:t xml:space="preserve">Kontrakt jako równoważnik: Monogamia 'zamykała pętlę', kompensując koszty obu płci</w:t>
      </w:r>
    </w:p>
    <w:p>
      <w:pPr>
        <w:pStyle w:val="ListParagraph"/>
        <w:numPr>
          <w:ilvl w:val="0"/>
          <w:numId w:val="6"/>
        </w:numPr>
        <w:spacing w:after="80"/>
      </w:pPr>
      <w:r>
        <w:rPr>
          <w:sz w:val="22"/>
          <w:szCs w:val="22"/>
        </w:rPr>
        <w:t xml:space="preserve">Rozpad kontraktu: Asymetryczny — kobiety zyskały wolności, mężczyźni zachowali koszty bez korzyści</w:t>
      </w:r>
    </w:p>
    <w:p>
      <w:pPr>
        <w:pStyle w:val="ListParagraph"/>
        <w:numPr>
          <w:ilvl w:val="0"/>
          <w:numId w:val="6"/>
        </w:numPr>
        <w:spacing w:after="120"/>
      </w:pPr>
      <w:r>
        <w:rPr>
          <w:sz w:val="22"/>
          <w:szCs w:val="22"/>
        </w:rPr>
        <w:t xml:space="preserve">Blokada renegocjacji: Emergentna kaskada mechanizmów uniemożliwia artykulację i zmianę</w:t>
      </w:r>
    </w:p>
    <w:p>
      <w:pPr>
        <w:pStyle w:val="Heading2"/>
        <w:spacing w:before="300" w:after="150"/>
      </w:pPr>
      <w:r>
        <w:rPr>
          <w:b/>
          <w:bCs/>
          <w:color w:val="404040"/>
          <w:sz w:val="26"/>
          <w:szCs w:val="26"/>
        </w:rPr>
        <w:t xml:space="preserve">10.3. Predykcje falsyfikowalne</w:t>
      </w:r>
    </w:p>
    <w:p>
      <w:pPr>
        <w:spacing w:after="120"/>
        <w:jc w:val="both"/>
      </w:pPr>
      <w:r>
        <w:rPr>
          <w:sz w:val="22"/>
          <w:szCs w:val="22"/>
        </w:rPr>
        <w:t xml:space="preserve">Model generuje testowalne predykcje:</w:t>
      </w:r>
    </w:p>
    <w:p>
      <w:pPr>
        <w:pStyle w:val="ListParagraph"/>
        <w:numPr>
          <w:ilvl w:val="0"/>
          <w:numId w:val="7"/>
        </w:numPr>
        <w:spacing w:after="80"/>
      </w:pPr>
      <w:r>
        <w:rPr>
          <w:sz w:val="22"/>
          <w:szCs w:val="22"/>
        </w:rPr>
        <w:t xml:space="preserve">Różnica w długości życia M/K koreluje ujemnie z równowagą płciową w opiece nad dziećmi</w:t>
      </w:r>
    </w:p>
    <w:p>
      <w:pPr>
        <w:pStyle w:val="ListParagraph"/>
        <w:numPr>
          <w:ilvl w:val="0"/>
          <w:numId w:val="7"/>
        </w:numPr>
        <w:spacing w:after="80"/>
      </w:pPr>
      <w:r>
        <w:rPr>
          <w:sz w:val="22"/>
          <w:szCs w:val="22"/>
        </w:rPr>
        <w:t xml:space="preserve">Kraje z wyższym odsetkiem ojców w opiece mają mniejszą lukę w śmiertelności</w:t>
      </w:r>
    </w:p>
    <w:p>
      <w:pPr>
        <w:pStyle w:val="ListParagraph"/>
        <w:numPr>
          <w:ilvl w:val="0"/>
          <w:numId w:val="7"/>
        </w:numPr>
        <w:spacing w:after="80"/>
      </w:pPr>
      <w:r>
        <w:rPr>
          <w:sz w:val="22"/>
          <w:szCs w:val="22"/>
        </w:rPr>
        <w:t xml:space="preserve">Programy 'use-it-or-lose-it' dla urlopów ojcowskich redukują transmisję stereotypów</w:t>
      </w:r>
    </w:p>
    <w:p>
      <w:pPr>
        <w:pStyle w:val="ListParagraph"/>
        <w:numPr>
          <w:ilvl w:val="0"/>
          <w:numId w:val="7"/>
        </w:numPr>
        <w:spacing w:after="80"/>
      </w:pPr>
      <w:r>
        <w:rPr>
          <w:sz w:val="22"/>
          <w:szCs w:val="22"/>
        </w:rPr>
        <w:t xml:space="preserve">Interwencje kierowane do matek (świadomość implicit bias) modyfikują transmisję</w:t>
      </w:r>
    </w:p>
    <w:p>
      <w:pPr>
        <w:pStyle w:val="ListParagraph"/>
        <w:numPr>
          <w:ilvl w:val="0"/>
          <w:numId w:val="7"/>
        </w:numPr>
        <w:spacing w:after="120"/>
      </w:pPr>
      <w:r>
        <w:rPr>
          <w:sz w:val="22"/>
          <w:szCs w:val="22"/>
        </w:rPr>
        <w:t xml:space="preserve">Instytucjonalizacja męskich problemów zdrowotnych (np. 'men's health offices') redukuje śmiertelność</w:t>
      </w:r>
    </w:p>
    <w:p>
      <w:pPr>
        <w:pStyle w:val="Heading2"/>
        <w:spacing w:before="300" w:after="150"/>
      </w:pPr>
      <w:r>
        <w:rPr>
          <w:b/>
          <w:bCs/>
          <w:color w:val="404040"/>
          <w:sz w:val="26"/>
          <w:szCs w:val="26"/>
        </w:rPr>
        <w:t xml:space="preserve">10.4. Implikacje dla interwencji</w:t>
      </w:r>
    </w:p>
    <w:p>
      <w:pPr>
        <w:spacing w:after="120"/>
        <w:jc w:val="both"/>
      </w:pPr>
      <w:r>
        <w:rPr>
          <w:sz w:val="22"/>
          <w:szCs w:val="22"/>
        </w:rPr>
        <w:t xml:space="preserve">Model sugeruje, że skuteczne interwencje muszą adresować WSZYSTKIE warstwy systemu jednocześnie:</w:t>
      </w:r>
    </w:p>
    <w:p>
      <w:pPr>
        <w:pStyle w:val="ListParagraph"/>
        <w:numPr>
          <w:ilvl w:val="0"/>
          <w:numId w:val="2"/>
        </w:numPr>
        <w:spacing w:after="80"/>
      </w:pPr>
      <w:r>
        <w:rPr>
          <w:sz w:val="22"/>
          <w:szCs w:val="22"/>
        </w:rPr>
        <w:t xml:space="preserve">Transmisja: Szkolenia dla matek i nauczycielek w zakresie implicit bias</w:t>
      </w:r>
    </w:p>
    <w:p>
      <w:pPr>
        <w:pStyle w:val="ListParagraph"/>
        <w:numPr>
          <w:ilvl w:val="0"/>
          <w:numId w:val="2"/>
        </w:numPr>
        <w:spacing w:after="80"/>
      </w:pPr>
      <w:r>
        <w:rPr>
          <w:sz w:val="22"/>
          <w:szCs w:val="22"/>
        </w:rPr>
        <w:t xml:space="preserve">Egzekwowanie: Zmiana narracji publicznej z 'toksycznej męskości' na 'ograniczającą socjalizację'</w:t>
      </w:r>
    </w:p>
    <w:p>
      <w:pPr>
        <w:pStyle w:val="ListParagraph"/>
        <w:numPr>
          <w:ilvl w:val="0"/>
          <w:numId w:val="2"/>
        </w:numPr>
        <w:spacing w:after="80"/>
      </w:pPr>
      <w:r>
        <w:rPr>
          <w:sz w:val="22"/>
          <w:szCs w:val="22"/>
        </w:rPr>
        <w:t xml:space="preserve">Biasy: Kampanie informacyjne o WAW i gamma bias analogiczne do kampanii antyrasistowskich</w:t>
      </w:r>
    </w:p>
    <w:p>
      <w:pPr>
        <w:pStyle w:val="ListParagraph"/>
        <w:numPr>
          <w:ilvl w:val="0"/>
          <w:numId w:val="2"/>
        </w:numPr>
        <w:spacing w:after="80"/>
      </w:pPr>
      <w:r>
        <w:rPr>
          <w:sz w:val="22"/>
          <w:szCs w:val="22"/>
        </w:rPr>
        <w:t xml:space="preserve">Instytucje: Tworzenie infrastruktury wsparcia dla mężczyzn proporcjonalnej do potrzeb</w:t>
      </w:r>
    </w:p>
    <w:p>
      <w:pPr>
        <w:pStyle w:val="ListParagraph"/>
        <w:numPr>
          <w:ilvl w:val="0"/>
          <w:numId w:val="2"/>
        </w:numPr>
        <w:spacing w:after="120"/>
      </w:pPr>
      <w:r>
        <w:rPr>
          <w:sz w:val="22"/>
          <w:szCs w:val="22"/>
        </w:rPr>
        <w:t xml:space="preserve">Prawo rodzinne: Domniemanie opieki naprzemiennej jako standard</w:t>
      </w:r>
    </w:p>
    <w:p>
      <w:pPr>
        <w:spacing w:before="400"/>
      </w:pPr>
    </w:p>
    <w:p>
      <w:pPr>
        <w:shd w:fill="F0F0F0" w:val="clear"/>
        <w:spacing w:before="400" w:after="200"/>
        <w:jc w:val="center"/>
      </w:pPr>
      <w:r>
        <w:rPr>
          <w:b/>
          <w:bCs/>
          <w:color w:val="595959"/>
          <w:sz w:val="24"/>
          <w:szCs w:val="24"/>
        </w:rPr>
        <w:t xml:space="preserve">— KONIEC DOKUMENTU —</w:t>
      </w:r>
    </w:p>
    <w:p>
      <w:pPr>
        <w:spacing w:after="100"/>
        <w:jc w:val="center"/>
      </w:pPr>
      <w:r>
        <w:rPr>
          <w:i/>
          <w:iCs/>
          <w:sz w:val="20"/>
          <w:szCs w:val="20"/>
        </w:rPr>
        <w:t xml:space="preserve">Model Pętli Niewystarczalności v1.0</w:t>
      </w:r>
    </w:p>
    <w:p>
      <w:pPr>
        <w:jc w:val="center"/>
      </w:pPr>
      <w:r>
        <w:rPr>
          <w:color w:val="808080"/>
          <w:sz w:val="20"/>
          <w:szCs w:val="20"/>
        </w:rPr>
        <w:t xml:space="preserve">Opracowanie na podstawie &gt;200 źródeł empirycznych | Projekt Boy Burger | Grudzień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Strona </w:t>
    </w:r>
    <w:r>
      <w:rPr>
        <w:sz w:val="20"/>
        <w:szCs w:val="20"/>
      </w:rPr>
      <w:fldChar w:fldCharType="begin"/>
      <w:instrText xml:space="preserve">PAGE</w:instrText>
      <w:fldChar w:fldCharType="separate"/>
      <w:fldChar w:fldCharType="end"/>
    </w:r>
    <w:r>
      <w:rPr>
        <w:sz w:val="20"/>
        <w:szCs w:val="20"/>
      </w:rPr>
      <w:t xml:space="preserve"> z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Model Pętli Niewystarczalności — Synteza Akademicka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A"/>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0404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2025-12-02T17:35:15.479Z</dcterms:created>
  <dcterms:modified xsi:type="dcterms:W3CDTF">2025-12-02T17:35:15.480Z</dcterms:modified>
</cp:coreProperties>
</file>

<file path=docProps/custom.xml><?xml version="1.0" encoding="utf-8"?>
<Properties xmlns="http://schemas.openxmlformats.org/officeDocument/2006/custom-properties" xmlns:vt="http://schemas.openxmlformats.org/officeDocument/2006/docPropsVTypes"/>
</file>