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2B579A"/>
          <w:sz w:val="56"/>
          <w:szCs w:val="56"/>
        </w:rPr>
        <w:t xml:space="preserve">MODEL PĘTLI NIEWYSTARCZALNOŚCI</w:t>
      </w:r>
    </w:p>
    <w:p>
      <w:pPr>
        <w:spacing w:after="200"/>
        <w:jc w:val="center"/>
      </w:pPr>
      <w:r>
        <w:rPr>
          <w:color w:val="404040"/>
          <w:sz w:val="28"/>
          <w:szCs w:val="28"/>
        </w:rPr>
        <w:t xml:space="preserve">Symetryczna analiza spirali niewystarczalności obu płci</w:t>
      </w:r>
    </w:p>
    <w:p>
      <w:pPr>
        <w:spacing w:after="600"/>
        <w:jc w:val="center"/>
      </w:pPr>
      <w:r>
        <w:rPr>
          <w:i/>
          <w:iCs/>
          <w:color w:val="595959"/>
          <w:sz w:val="24"/>
          <w:szCs w:val="24"/>
        </w:rPr>
        <w:t xml:space="preserve">Męska pętla performansu × Kobieca pętla przynależności × Wzajemne wzmacnianie przez odrzucenie</w:t>
      </w:r>
    </w:p>
    <w:p>
      <w:pPr>
        <w:spacing w:after="100"/>
        <w:jc w:val="center"/>
      </w:pPr>
      <w:r>
        <w:rPr>
          <w:sz w:val="22"/>
          <w:szCs w:val="22"/>
        </w:rPr>
        <w:t xml:space="preserve">Wersja: 2.0 | Grudzień 2025</w:t>
      </w:r>
    </w:p>
    <w:p>
      <w:pPr>
        <w:jc w:val="center"/>
      </w:pPr>
      <w:r>
        <w:rPr>
          <w:sz w:val="22"/>
          <w:szCs w:val="22"/>
        </w:rPr>
        <w:t xml:space="preserve">Projekt: Boy Burger | Synteza akademicka &gt;200 źródeł</w:t>
      </w:r>
    </w:p>
    <w:p>
      <w:pPr>
        <w:spacing w:before="800"/>
      </w:pPr>
    </w:p>
    <w:p>
      <w:pPr>
        <w:pStyle w:val="Heading1"/>
        <w:spacing w:before="400" w:after="200"/>
      </w:pPr>
      <w:r>
        <w:rPr>
          <w:b/>
          <w:bCs/>
          <w:color w:val="2B579A"/>
          <w:sz w:val="32"/>
          <w:szCs w:val="32"/>
        </w:rPr>
        <w:t xml:space="preserve">Część IVb: Pętla kobieca — Tożsamość przez przynależność</w:t>
      </w:r>
    </w:p>
    <w:p>
      <w:pPr>
        <w:spacing w:after="120"/>
        <w:jc w:val="both"/>
      </w:pPr>
      <w:r>
        <w:rPr>
          <w:sz w:val="22"/>
          <w:szCs w:val="22"/>
        </w:rPr>
        <w:t xml:space="preserve">Model Pętli Niewystarczalności opisuje nie tylko męskie doświadczenie, ale także specyficznie kobiecą spiralę niewystarczalności, która operuje w innych domenach, ale prowadzi do analogicznych konsekwencji — w tym do zachowań agresywnych wobec innych kobiet. Ta sekcja dokumentuje kobiecą pętlę i jej wzajemne oddziaływanie z pętlą męską.</w:t>
      </w:r>
    </w:p>
    <w:p>
      <w:pPr>
        <w:pStyle w:val="Heading2"/>
        <w:spacing w:before="300" w:after="150"/>
      </w:pPr>
      <w:r>
        <w:rPr>
          <w:b/>
          <w:bCs/>
          <w:color w:val="404040"/>
          <w:sz w:val="26"/>
          <w:szCs w:val="26"/>
        </w:rPr>
        <w:t xml:space="preserve">4b.1. Fundamentalna asymetria: status przypisany vs osiągany</w:t>
      </w:r>
    </w:p>
    <w:p>
      <w:pPr>
        <w:spacing w:after="120"/>
        <w:jc w:val="both"/>
      </w:pPr>
      <w:r>
        <w:rPr>
          <w:sz w:val="22"/>
          <w:szCs w:val="22"/>
        </w:rPr>
        <w:t xml:space="preserve">Teoria Precarious Manhood (Vandello &amp; Bosson 2008, 2013) identyfikuje fundamentalną asymetrię: kobiecość jest statusem PRZYPISANYM (ascribed) — wynika z biologii (menstruacja, ciąża, poród). Męskość jest statusem OSIĄGANYM (achieved) — trzeba ją UDOWODNIĆ przez działanie publiczne. Ta asymetria tworzy różne domeny niewystarczalności: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Męska niewystarczalność</w:t>
            </w:r>
          </w:p>
        </w:tc>
        <w:tc>
          <w:tcPr>
            <w:tcW w:type="dxa" w:w="4680"/>
            <w:tcBorders>
              <w:top w:val="single" w:color="CCCCCC" w:sz="1"/>
              <w:left w:val="single" w:color="CCCCCC" w:sz="1"/>
              <w:bottom w:val="single" w:color="CCCCCC" w:sz="1"/>
              <w:right w:val="single" w:color="CCCCCC" w:sz="1"/>
            </w:tcBorders>
            <w:shd w:fill="8B4789" w:val="clear"/>
          </w:tcPr>
          <w:p>
            <w:pPr>
              <w:jc w:val="center"/>
            </w:pPr>
            <w:r>
              <w:rPr>
                <w:b/>
                <w:bCs/>
                <w:color w:val="FFFFFF"/>
                <w:sz w:val="22"/>
                <w:szCs w:val="22"/>
              </w:rPr>
              <w:t xml:space="preserve">Kobieca niewystarczalność</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Domena: PERFORMANS (osiągnięcia, status, zasoby)</w:t>
            </w:r>
          </w:p>
        </w:tc>
        <w:tc>
          <w:tcPr>
            <w:tcW w:type="dxa" w:w="4680"/>
            <w:tcBorders>
              <w:top w:val="single" w:color="CCCCCC" w:sz="1"/>
              <w:left w:val="single" w:color="CCCCCC" w:sz="1"/>
              <w:bottom w:val="single" w:color="CCCCCC" w:sz="1"/>
              <w:right w:val="single" w:color="CCCCCC" w:sz="1"/>
            </w:tcBorders>
          </w:tcPr>
          <w:p>
            <w:r>
              <w:rPr>
                <w:sz w:val="22"/>
                <w:szCs w:val="22"/>
              </w:rPr>
              <w:t xml:space="preserve">Domena: PRZYNALEŻNOŚĆ (wygląd, relacje, akceptacja)</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Wartość: WARUNKOWA — trzeba zdobyć</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Wartość: WRODZONA, ale ZAGROŻONA</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Lęk: 'Czy jestem wystarczająco ZDOLNY?'</w:t>
            </w:r>
          </w:p>
        </w:tc>
        <w:tc>
          <w:tcPr>
            <w:tcW w:type="dxa" w:w="4680"/>
            <w:tcBorders>
              <w:top w:val="single" w:color="CCCCCC" w:sz="1"/>
              <w:left w:val="single" w:color="CCCCCC" w:sz="1"/>
              <w:bottom w:val="single" w:color="CCCCCC" w:sz="1"/>
              <w:right w:val="single" w:color="CCCCCC" w:sz="1"/>
            </w:tcBorders>
          </w:tcPr>
          <w:p>
            <w:r>
              <w:rPr>
                <w:sz w:val="22"/>
                <w:szCs w:val="22"/>
              </w:rPr>
              <w:t xml:space="preserve">Lęk: 'Czy jestem wystarczająco POŻĄDANA?'</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Konsekwencje: samobójstwa, workaholism, agresja</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Konsekwencje: depresja, zaburzenia odżywiania, agresja relacyjna</w:t>
            </w:r>
          </w:p>
        </w:tc>
      </w:tr>
    </w:tbl>
    <w:p>
      <w:pPr>
        <w:spacing w:after="200"/>
      </w:pPr>
      <w:r>
        <w:rPr>
          <w:i/>
          <w:iCs/>
          <w:color w:val="595959"/>
          <w:sz w:val="20"/>
          <w:szCs w:val="20"/>
        </w:rPr>
        <w:t xml:space="preserve">Tabela 4b.1. Porównanie domen niewystarczalności według płci</w:t>
      </w:r>
    </w:p>
    <w:p>
      <w:pPr>
        <w:pStyle w:val="Heading2"/>
        <w:spacing w:before="300" w:after="150"/>
      </w:pPr>
      <w:r>
        <w:rPr>
          <w:b/>
          <w:bCs/>
          <w:color w:val="404040"/>
          <w:sz w:val="26"/>
          <w:szCs w:val="26"/>
        </w:rPr>
        <w:t xml:space="preserve">4b.2. Dane empiryczne: skala kobiecej niewystarczalności</w:t>
      </w:r>
    </w:p>
    <w:p>
      <w:pPr>
        <w:spacing w:after="120"/>
        <w:jc w:val="both"/>
      </w:pPr>
      <w:r>
        <w:rPr>
          <w:sz w:val="22"/>
          <w:szCs w:val="22"/>
        </w:rPr>
        <w:t xml:space="preserve">Dove Self-Esteem Fund udokumentował, że 70% dziewczynek uważa, że 'nie jest wystarczająca' — ale w INNYCH domenach niż chłopcy: wygląd, wyniki w szkole, relacje z przyjaciółmi i rodziną. Pew Research Center (2024-2025) wskazuje, że 34% nastolatek twierdzi, że media społecznościowe sprawiają, że czują się gorzej ze swoim życiem (vs 20% chłopców). 42% nastolatek jest bardzo zaniepokojonych zdrowiem psychicznym nastolatków (vs 28% chłopców).</w:t>
      </w:r>
    </w:p>
    <w:p>
      <w:pPr>
        <w:spacing w:after="120"/>
        <w:jc w:val="both"/>
      </w:pPr>
      <w:r>
        <w:rPr>
          <w:sz w:val="22"/>
          <w:szCs w:val="22"/>
        </w:rPr>
        <w:t xml:space="preserve">Normy dotyczące wizerunku ciała i szczupłości są internalizowane wcześnie — do 6-10 roku życia dziewczynki zaczynają martwić się o wagę; do 14. roku życia 60-70% próbuje schudnąć. Aż 77% dzieci i młodzieży w wieku od 12 lat nie lubi swojego ciała.</w:t>
      </w:r>
    </w:p>
    <w:p>
      <w:pPr>
        <w:pStyle w:val="Heading2"/>
        <w:spacing w:before="300" w:after="150"/>
      </w:pPr>
      <w:r>
        <w:rPr>
          <w:b/>
          <w:bCs/>
          <w:color w:val="404040"/>
          <w:sz w:val="26"/>
          <w:szCs w:val="26"/>
        </w:rPr>
        <w:t xml:space="preserve">4b.3. Syndrom 'dobrej dziewczynki' — norma ludougodnictwa</w:t>
      </w:r>
    </w:p>
    <w:p>
      <w:pPr>
        <w:spacing w:after="120"/>
        <w:jc w:val="both"/>
      </w:pPr>
      <w:r>
        <w:rPr>
          <w:sz w:val="22"/>
          <w:szCs w:val="22"/>
        </w:rPr>
        <w:t xml:space="preserve">Syndrom 'dobrej dziewczynki' charakteryzuje się nadmiernym perfekcjonizmem, ludougodnictwem (people-pleasing), trudnością w odmawianiu, unikaniem konfliktu i tłumieniem emocji. Badania wskazują, że około 85% dotkniętych kobiet wykazuje zachowania ludougodnicze, 75% ma trudności z odmawianiem, 70% boi się konfliktu, 65% dąży do perfekcjonizmu, 60% przeprasza nadmiernie, 55% tłumi emocje.</w:t>
      </w:r>
    </w:p>
    <w:p>
      <w:pPr>
        <w:spacing w:after="120"/>
        <w:jc w:val="both"/>
      </w:pPr>
      <w:r>
        <w:rPr>
          <w:sz w:val="22"/>
          <w:szCs w:val="22"/>
        </w:rPr>
        <w:t xml:space="preserve">Konsekwencje obejmują lęk, wypalenie, niską samoocenę, ciągłe poczucie winy, ograniczenia kariery i problemy w relacjach. Podwójne wiązanie (double bind) opisuje sprzeczne oczekiwania: liderki stoją przed dylematem — być asertywne i ryzykować etykietę 'zimnej' lub 'bossy', czy być ciepłe i ryzykować zlekceważenie.</w:t>
      </w:r>
    </w:p>
    <w:p>
      <w:pPr>
        <w:pStyle w:val="Heading2"/>
        <w:spacing w:before="300" w:after="150"/>
      </w:pPr>
      <w:r>
        <w:rPr>
          <w:b/>
          <w:bCs/>
          <w:color w:val="404040"/>
          <w:sz w:val="26"/>
          <w:szCs w:val="26"/>
        </w:rPr>
        <w:t xml:space="preserve">4b.4. In-group bias i konkurencja intraseksualna</w:t>
      </w:r>
    </w:p>
    <w:p>
      <w:pPr>
        <w:spacing w:after="120"/>
        <w:jc w:val="both"/>
      </w:pPr>
      <w:r>
        <w:rPr>
          <w:sz w:val="22"/>
          <w:szCs w:val="22"/>
        </w:rPr>
        <w:t xml:space="preserve">Fundamentalne badanie Rudman i Goodwin (2004) wykazało, że kobiety wykazują automatyczny in-group bias 4,5 razy silniejszy niż mężczyźni. Women-are-wonderful effect (Eagly i Mladinic 1989, 1991, 1994) potwierdza, że zarówno kobiety, jak i mężczyźni oceniają kobiety bardziej pozytywnie niż mężczyzn.</w:t>
      </w:r>
    </w:p>
    <w:p>
      <w:pPr>
        <w:shd w:fill="F3E5F5" w:val="clear"/>
        <w:spacing w:after="120" w:before="120"/>
        <w:ind w:left="720" w:right="720"/>
      </w:pPr>
      <w:r>
        <w:rPr>
          <w:i/>
          <w:iCs/>
          <w:sz w:val="22"/>
          <w:szCs w:val="22"/>
        </w:rPr>
        <w:t xml:space="preserve">Paradoks: Silny in-group bias NIE oznacza solidarności między kobietami. Wręcz przeciwnie — intensywna identyfikacja z grupą wzmacnia konkurencję WEWNĄTRZ grupy o ograniczone zasoby (uwaga partnerów, status społeczny, akceptacja).</w:t>
      </w:r>
    </w:p>
    <w:p>
      <w:pPr>
        <w:pStyle w:val="Heading2"/>
        <w:spacing w:before="300" w:after="150"/>
      </w:pPr>
      <w:r>
        <w:rPr>
          <w:b/>
          <w:bCs/>
          <w:color w:val="404040"/>
          <w:sz w:val="26"/>
          <w:szCs w:val="26"/>
        </w:rPr>
        <w:t xml:space="preserve">4b.5. Agresja relacyjna jako mechanizm konkurencji</w:t>
      </w:r>
    </w:p>
    <w:p>
      <w:pPr>
        <w:spacing w:after="120"/>
        <w:jc w:val="both"/>
      </w:pPr>
      <w:r>
        <w:rPr>
          <w:sz w:val="22"/>
          <w:szCs w:val="22"/>
        </w:rPr>
        <w:t xml:space="preserve">Przełomowe badanie eksperymentalne Vaillancourt i Sharma (2011, N = 86 studentek) wykorzystało konfederatkę ubraną prowokacyjnie versus konserwatywnie. Wyniki: Z WYJĄTKIEM tylko 2 kobiet, WSZYSTKIE uczestniczki wykazujące agresję pośrednią ('bitchy' reakcje) były w warunku prowokacyjnego ubioru. Kobiety były znacząco mniej skłonne przedstawić prowokacyjnie ubraną konfederatkę swojemu chłopakowi lub zostać jej przyjaciółką.</w:t>
      </w:r>
    </w:p>
    <w:p>
      <w:pPr>
        <w:spacing w:after="120"/>
        <w:jc w:val="both"/>
      </w:pPr>
      <w:r>
        <w:rPr>
          <w:sz w:val="22"/>
          <w:szCs w:val="22"/>
        </w:rPr>
        <w:t xml:space="preserve">Vaillancourt (2013) w przeglądzie systematycznym udokumentowała, że proporcja stosowania agresji pośredniej wynosi 52% dla dziewcząt vs 20% dla chłopców wśród 15-latków. Atrakcyjność fizyczna ZWIĘKSZAŁA ryzyko wiktymizacji pośredniej o 35% dla nastolatek, podczas gdy ZMNIEJSZAŁA je o 25% dla chłopców.</w:t>
      </w:r>
    </w:p>
    <w:p>
      <w:pPr>
        <w:spacing w:after="120"/>
        <w:jc w:val="both"/>
      </w:pPr>
      <w:r>
        <w:rPr>
          <w:sz w:val="22"/>
          <w:szCs w:val="22"/>
        </w:rPr>
        <w:t xml:space="preserve">Funkcja adaptacyjna: agresja pośrednia (wykluczanie, plotki, krytyka wyglądu) zmniejsza skłonność ofiar do konkurowania, a sprawczynie odnoszą większy sukces romantyczny — to ewolucyjna strategia konkurencji intraseksualnej.</w:t>
      </w:r>
    </w:p>
    <w:p>
      <w:pPr>
        <w:pStyle w:val="Heading2"/>
        <w:spacing w:before="300" w:after="150"/>
      </w:pPr>
      <w:r>
        <w:rPr>
          <w:b/>
          <w:bCs/>
          <w:color w:val="404040"/>
          <w:sz w:val="26"/>
          <w:szCs w:val="26"/>
        </w:rPr>
        <w:t xml:space="preserve">4b.6. Slut-shaming jako mechanizm kontroli</w:t>
      </w:r>
    </w:p>
    <w:p>
      <w:pPr>
        <w:shd w:fill="F3E5F5" w:val="clear"/>
        <w:spacing w:after="120" w:before="120"/>
        <w:ind w:left="720" w:right="720"/>
      </w:pPr>
      <w:r>
        <w:rPr>
          <w:i/>
          <w:iCs/>
          <w:sz w:val="22"/>
          <w:szCs w:val="22"/>
        </w:rPr>
        <w:t xml:space="preserve">Kluczowy dowód: Analiza 213 000 agresywnych tweetów przeprowadzona przez Demos UK w 2016 roku wykazała, że KOBIETY odpowiadają za 50% użycia terminów 'slut' i 'whore' w atakach na inne kobiety, mężczyźni za 40%. Slut-shaming jest zatem w znacznej mierze mechanizmem intraseksualnej konkurencji kobiecej, NIE tylko narzędziem patriarchatu.</w:t>
      </w:r>
    </w:p>
    <w:p>
      <w:pPr>
        <w:spacing w:after="120"/>
        <w:jc w:val="both"/>
      </w:pPr>
      <w:r>
        <w:rPr>
          <w:sz w:val="22"/>
          <w:szCs w:val="22"/>
        </w:rPr>
        <w:t xml:space="preserve">Badanie Goblet i Glowacz (2021, N = 605 dziewcząt, 10-18 lat, Belgia) wykazało, że 14,85% doświadczyło co najmniej jednej formy slut-shamingu. Etnograficzne badanie Armstrong et al. (2014) na amerykańskich kampusach ujawniło, że kobiety używają stygmatu 'słuty' do wyznaczania granic między grupami statusowymi powiązanymi z klasą społeczną — uczestniczą w slut-shamingu jako mechanizmie utrzymywania hierarchii społecznej.</w:t>
      </w:r>
    </w:p>
    <w:p>
      <w:pPr>
        <w:pStyle w:val="Heading2"/>
        <w:spacing w:before="300" w:after="150"/>
      </w:pPr>
      <w:r>
        <w:rPr>
          <w:b/>
          <w:bCs/>
          <w:color w:val="404040"/>
          <w:sz w:val="26"/>
          <w:szCs w:val="26"/>
        </w:rPr>
        <w:t xml:space="preserve">4b.7. Media społecznościowe jako wzmacniacz spirali</w:t>
      </w:r>
    </w:p>
    <w:p>
      <w:pPr>
        <w:spacing w:after="120"/>
        <w:jc w:val="both"/>
      </w:pPr>
      <w:r>
        <w:rPr>
          <w:sz w:val="22"/>
          <w:szCs w:val="22"/>
        </w:rPr>
        <w:t xml:space="preserve">Media społecznościowe dramatycznie amplifikują kobiecą spiralę niewystarczalności przez trzy mechanizmy:</w:t>
      </w:r>
    </w:p>
    <w:p>
      <w:pPr>
        <w:pStyle w:val="ListParagraph"/>
        <w:numPr>
          <w:ilvl w:val="0"/>
          <w:numId w:val="2"/>
        </w:numPr>
        <w:spacing w:after="80"/>
      </w:pPr>
      <w:r>
        <w:rPr>
          <w:sz w:val="22"/>
          <w:szCs w:val="22"/>
        </w:rPr>
        <w:t xml:space="preserve">PORÓWNANIA SPOŁECZNE: Eksponowanie na wyselekcjonowane, przefiltrowane obrazy 'idealnego' życia innych kobiet → ciągłe poczucie niedosięgania standardu</w:t>
      </w:r>
    </w:p>
    <w:p>
      <w:pPr>
        <w:pStyle w:val="ListParagraph"/>
        <w:numPr>
          <w:ilvl w:val="0"/>
          <w:numId w:val="2"/>
        </w:numPr>
        <w:spacing w:after="80"/>
      </w:pPr>
      <w:r>
        <w:rPr>
          <w:sz w:val="22"/>
          <w:szCs w:val="22"/>
        </w:rPr>
        <w:t xml:space="preserve">WALIDACJA ZEWNĘTRZNA: Kultura 'lajków' jako miara wartości → uzależnienie samooceny od reakcji innych → spirala potrzeby potwierdzenia</w:t>
      </w:r>
    </w:p>
    <w:p>
      <w:pPr>
        <w:pStyle w:val="ListParagraph"/>
        <w:numPr>
          <w:ilvl w:val="0"/>
          <w:numId w:val="2"/>
        </w:numPr>
        <w:spacing w:after="120"/>
      </w:pPr>
      <w:r>
        <w:rPr>
          <w:sz w:val="22"/>
          <w:szCs w:val="22"/>
        </w:rPr>
        <w:t xml:space="preserve">PERMANENTNOŚĆ I SKALA AGRESJI: Slut-shaming, krytyka wyglądu, wykluczenie społeczne są teraz publiczne, trwałe i widzialne globalnie → wielokrotne zwiększenie szkody</w:t>
      </w:r>
    </w:p>
    <w:p>
      <w:pPr>
        <w:pStyle w:val="Heading2"/>
        <w:spacing w:before="300" w:after="150"/>
      </w:pPr>
      <w:r>
        <w:rPr>
          <w:b/>
          <w:bCs/>
          <w:color w:val="404040"/>
          <w:sz w:val="26"/>
          <w:szCs w:val="26"/>
        </w:rPr>
        <w:t xml:space="preserve">4b.8. Spirala kobiecej niewystarczalności — mechanizm</w:t>
      </w:r>
    </w:p>
    <w:p>
      <w:pPr>
        <w:spacing w:after="120"/>
        <w:jc w:val="both"/>
      </w:pPr>
      <w:r>
        <w:rPr>
          <w:sz w:val="22"/>
          <w:szCs w:val="22"/>
        </w:rPr>
        <w:t xml:space="preserve">Model identyfikuje specyficzną 'spiralę kobiecej niewystarczalności':</w:t>
      </w:r>
    </w:p>
    <w:p>
      <w:pPr>
        <w:pStyle w:val="ListParagraph"/>
        <w:numPr>
          <w:ilvl w:val="0"/>
          <w:numId w:val="3"/>
        </w:numPr>
        <w:spacing w:after="80"/>
      </w:pPr>
      <w:r>
        <w:rPr>
          <w:sz w:val="22"/>
          <w:szCs w:val="22"/>
        </w:rPr>
        <w:t xml:space="preserve">Dziewczynka uczy się, że jej wartość zależy od PRZYNALEŻNOŚCI — akceptacji przez grupę, atrakcyjności, relacji</w:t>
      </w:r>
    </w:p>
    <w:p>
      <w:pPr>
        <w:pStyle w:val="ListParagraph"/>
        <w:numPr>
          <w:ilvl w:val="0"/>
          <w:numId w:val="3"/>
        </w:numPr>
        <w:spacing w:after="80"/>
      </w:pPr>
      <w:r>
        <w:rPr>
          <w:sz w:val="22"/>
          <w:szCs w:val="22"/>
        </w:rPr>
        <w:t xml:space="preserve">Ideały piękna i popularności są NIEOSIĄGALNE (przefiltrowane obrazy w mediach)</w:t>
      </w:r>
    </w:p>
    <w:p>
      <w:pPr>
        <w:pStyle w:val="ListParagraph"/>
        <w:numPr>
          <w:ilvl w:val="0"/>
          <w:numId w:val="3"/>
        </w:numPr>
        <w:spacing w:after="80"/>
      </w:pPr>
      <w:r>
        <w:rPr>
          <w:sz w:val="22"/>
          <w:szCs w:val="22"/>
        </w:rPr>
        <w:t xml:space="preserve">Poczucie niewystarczalności wyzwala KONKURENCJĘ z innymi kobietami o ograniczone zasoby (uwaga, status)</w:t>
      </w:r>
    </w:p>
    <w:p>
      <w:pPr>
        <w:pStyle w:val="ListParagraph"/>
        <w:numPr>
          <w:ilvl w:val="0"/>
          <w:numId w:val="3"/>
        </w:numPr>
        <w:spacing w:after="80"/>
      </w:pPr>
      <w:r>
        <w:rPr>
          <w:sz w:val="22"/>
          <w:szCs w:val="22"/>
        </w:rPr>
        <w:t xml:space="preserve">Konkurencja przybiera formę AGRESJI RELACYJNEJ — slut-shaming, wykluczenie, plotki, krytyka wyglądu</w:t>
      </w:r>
    </w:p>
    <w:p>
      <w:pPr>
        <w:pStyle w:val="ListParagraph"/>
        <w:numPr>
          <w:ilvl w:val="0"/>
          <w:numId w:val="3"/>
        </w:numPr>
        <w:spacing w:after="80"/>
      </w:pPr>
      <w:r>
        <w:rPr>
          <w:sz w:val="22"/>
          <w:szCs w:val="22"/>
        </w:rPr>
        <w:t xml:space="preserve">Ofiara agresji doświadcza ODRZUCENIA → potwierdza przekonanie o niewystarczalności</w:t>
      </w:r>
    </w:p>
    <w:p>
      <w:pPr>
        <w:pStyle w:val="ListParagraph"/>
        <w:numPr>
          <w:ilvl w:val="0"/>
          <w:numId w:val="3"/>
        </w:numPr>
        <w:spacing w:after="80"/>
      </w:pPr>
      <w:r>
        <w:rPr>
          <w:sz w:val="22"/>
          <w:szCs w:val="22"/>
        </w:rPr>
        <w:t xml:space="preserve">Odrzucona kobieta sama staje się SPRAWCZYNIĄ agresji wobec innych (przeniesienie)</w:t>
      </w:r>
    </w:p>
    <w:p>
      <w:pPr>
        <w:pStyle w:val="ListParagraph"/>
        <w:numPr>
          <w:ilvl w:val="0"/>
          <w:numId w:val="3"/>
        </w:numPr>
        <w:spacing w:after="120"/>
      </w:pPr>
      <w:r>
        <w:rPr>
          <w:sz w:val="22"/>
          <w:szCs w:val="22"/>
        </w:rPr>
        <w:t xml:space="preserve">Media społecznościowe AMPLIFIKUJĄ każdy etap → spirala przyspiesza</w:t>
      </w:r>
    </w:p>
    <w:p>
      <w:pPr>
        <w:pStyle w:val="Heading2"/>
        <w:spacing w:before="300" w:after="150"/>
      </w:pPr>
      <w:r>
        <w:rPr>
          <w:b/>
          <w:bCs/>
          <w:color w:val="404040"/>
          <w:sz w:val="26"/>
          <w:szCs w:val="26"/>
        </w:rPr>
        <w:t xml:space="preserve">4b.9. Wzajemne odrzucenie między płciami — sprzężenie zwrotne</w:t>
      </w:r>
    </w:p>
    <w:p>
      <w:pPr>
        <w:spacing w:after="120"/>
        <w:jc w:val="both"/>
      </w:pPr>
      <w:r>
        <w:rPr>
          <w:sz w:val="22"/>
          <w:szCs w:val="22"/>
        </w:rPr>
        <w:t xml:space="preserve">Pętle męska i kobieca nie działają w izolacji — wzajemnie się wzmacniają przez mechanizm ODRZUCENIA:</w:t>
      </w:r>
    </w:p>
    <w:p>
      <w:pPr>
        <w:pStyle w:val="Heading3"/>
        <w:spacing w:before="200" w:after="100"/>
      </w:pPr>
      <w:r>
        <w:rPr>
          <w:b/>
          <w:bCs/>
          <w:color w:val="595959"/>
          <w:sz w:val="24"/>
          <w:szCs w:val="24"/>
        </w:rPr>
        <w:t xml:space="preserve">Kierunek M → K:</w:t>
      </w:r>
    </w:p>
    <w:p>
      <w:pPr>
        <w:spacing w:after="120"/>
        <w:jc w:val="both"/>
      </w:pPr>
      <w:r>
        <w:rPr>
          <w:sz w:val="22"/>
          <w:szCs w:val="22"/>
        </w:rPr>
        <w:t xml:space="preserve">Mężczyzna w spirali niewystarczalności (poczucie porażki performansu) → wycofanie emocjonalne lub kompensacyjna agresja → kobieta doświadcza odrzucenia/zagrożenia → potwierdza jej przekonanie o niewystarczalności przynależnościowej → pogłębienie jej spirali</w:t>
      </w:r>
    </w:p>
    <w:p>
      <w:pPr>
        <w:pStyle w:val="Heading3"/>
        <w:spacing w:before="200" w:after="100"/>
      </w:pPr>
      <w:r>
        <w:rPr>
          <w:b/>
          <w:bCs/>
          <w:color w:val="595959"/>
          <w:sz w:val="24"/>
          <w:szCs w:val="24"/>
        </w:rPr>
        <w:t xml:space="preserve">Kierunek K → M:</w:t>
      </w:r>
    </w:p>
    <w:p>
      <w:pPr>
        <w:spacing w:after="120"/>
        <w:jc w:val="both"/>
      </w:pPr>
      <w:r>
        <w:rPr>
          <w:sz w:val="22"/>
          <w:szCs w:val="22"/>
        </w:rPr>
        <w:t xml:space="preserve">Kobieta odrzuca mężczyznę za 'niewystarczający' performans (zarobki, status, siła) → mężczyzna doświadcza potwierdzenia warunkowej wartości → kompensacyjne zachowania lub wycofanie → kolejne odrzucenie → pogłębienie spirali</w:t>
      </w:r>
    </w:p>
    <w:p>
      <w:pPr>
        <w:shd w:fill="FFF3CD" w:val="clear"/>
        <w:spacing w:after="120" w:before="120"/>
        <w:ind w:left="720" w:right="720"/>
      </w:pPr>
      <w:r>
        <w:rPr>
          <w:i/>
          <w:iCs/>
          <w:sz w:val="22"/>
          <w:szCs w:val="22"/>
        </w:rPr>
        <w:t xml:space="preserve">Kluczowy mechanizm: Obie płcie, doświadczając własnej niewystarczalności, przenoszą ją na drugą płeć przez odrzucenie. Mężczyzna odrzucony przez kobietę może rozwinąć wrogość wobec kobiet. Kobieta odrzucona przez mężczyznę (lub inne kobiety) może intensyfikować konkurencję intraseksualną. Obie spirale napędzają się wzajemnie.</w:t>
      </w:r>
    </w:p>
    <w:p>
      <w:pPr>
        <w:pStyle w:val="Heading2"/>
        <w:spacing w:before="300" w:after="150"/>
      </w:pPr>
      <w:r>
        <w:rPr>
          <w:b/>
          <w:bCs/>
          <w:color w:val="404040"/>
          <w:sz w:val="26"/>
          <w:szCs w:val="26"/>
        </w:rPr>
        <w:t xml:space="preserve">4b.10. Konsekwencje zdrowotne kobiecej spirali</w:t>
      </w:r>
    </w:p>
    <w:p>
      <w:pPr>
        <w:spacing w:after="120"/>
        <w:jc w:val="both"/>
      </w:pPr>
      <w:r>
        <w:rPr>
          <w:sz w:val="22"/>
          <w:szCs w:val="22"/>
        </w:rPr>
        <w:t xml:space="preserve">Podczas gdy męska spirala kończy się częściej ŚMIERTELNOŚCIĄ (samobójstwa, wypadki, choroby serca), kobieca spirala kończy się częściej ZACHOROWALNOŚCIĄ:</w:t>
      </w:r>
    </w:p>
    <w:p>
      <w:pPr>
        <w:pStyle w:val="ListParagraph"/>
        <w:numPr>
          <w:ilvl w:val="0"/>
          <w:numId w:val="4"/>
        </w:numPr>
        <w:spacing w:after="80"/>
      </w:pPr>
      <w:r>
        <w:rPr>
          <w:sz w:val="22"/>
          <w:szCs w:val="22"/>
        </w:rPr>
        <w:t xml:space="preserve">Depresja: kobiety diagnozowane 2x częściej niż mężczyźni</w:t>
      </w:r>
    </w:p>
    <w:p>
      <w:pPr>
        <w:pStyle w:val="ListParagraph"/>
        <w:numPr>
          <w:ilvl w:val="0"/>
          <w:numId w:val="4"/>
        </w:numPr>
        <w:spacing w:after="80"/>
      </w:pPr>
      <w:r>
        <w:rPr>
          <w:sz w:val="22"/>
          <w:szCs w:val="22"/>
        </w:rPr>
        <w:t xml:space="preserve">Zaburzenia odżywiania: 90%+ przypadków to kobiety (anoreksja, bulimia)</w:t>
      </w:r>
    </w:p>
    <w:p>
      <w:pPr>
        <w:pStyle w:val="ListParagraph"/>
        <w:numPr>
          <w:ilvl w:val="0"/>
          <w:numId w:val="4"/>
        </w:numPr>
        <w:spacing w:after="80"/>
      </w:pPr>
      <w:r>
        <w:rPr>
          <w:sz w:val="22"/>
          <w:szCs w:val="22"/>
        </w:rPr>
        <w:t xml:space="preserve">Zaburzenia lękowe: wyższa prevalencja u kobiet</w:t>
      </w:r>
    </w:p>
    <w:p>
      <w:pPr>
        <w:pStyle w:val="ListParagraph"/>
        <w:numPr>
          <w:ilvl w:val="0"/>
          <w:numId w:val="4"/>
        </w:numPr>
        <w:spacing w:after="80"/>
      </w:pPr>
      <w:r>
        <w:rPr>
          <w:sz w:val="22"/>
          <w:szCs w:val="22"/>
        </w:rPr>
        <w:t xml:space="preserve">Próby samobójcze: 2-4x częstsze u kobiet (ale mniej letalne)</w:t>
      </w:r>
    </w:p>
    <w:p>
      <w:pPr>
        <w:pStyle w:val="ListParagraph"/>
        <w:numPr>
          <w:ilvl w:val="0"/>
          <w:numId w:val="4"/>
        </w:numPr>
        <w:spacing w:after="120"/>
      </w:pPr>
      <w:r>
        <w:rPr>
          <w:sz w:val="22"/>
          <w:szCs w:val="22"/>
        </w:rPr>
        <w:t xml:space="preserve">Autoagresja (samookaleczenia): znacznie częstsza u dziewcząt</w:t>
      </w:r>
    </w:p>
    <w:p>
      <w:pPr>
        <w:spacing w:after="120"/>
        <w:jc w:val="both"/>
      </w:pPr>
      <w:r>
        <w:rPr>
          <w:sz w:val="22"/>
          <w:szCs w:val="22"/>
        </w:rPr>
        <w:t xml:space="preserve">Paradoks: Kobiety żyją dłużej, ale więcej lat przeżywają w chorobie i niesprawności. Mężczyźni umierają wcześniej, ale rzadziej doświadczają chronicznych problemów zdrowia psychicznego (lub nie są diagnozowani/nie szukają pomocy).</w:t>
      </w:r>
    </w:p>
    <w:p>
      <w:pPr>
        <w:spacing w:before="400"/>
      </w:pPr>
    </w:p>
    <w:p>
      <w:pPr>
        <w:pStyle w:val="Heading1"/>
        <w:spacing w:before="400" w:after="200"/>
      </w:pPr>
      <w:r>
        <w:rPr>
          <w:b/>
          <w:bCs/>
          <w:color w:val="2B579A"/>
          <w:sz w:val="32"/>
          <w:szCs w:val="32"/>
        </w:rPr>
        <w:t xml:space="preserve">Część IX: Konsekwencje systemowe — dane empiryczne (POPRAWIONE)</w:t>
      </w:r>
    </w:p>
    <w:p>
      <w:pPr>
        <w:pStyle w:val="Heading2"/>
        <w:spacing w:before="300" w:after="150"/>
      </w:pPr>
      <w:r>
        <w:rPr>
          <w:b/>
          <w:bCs/>
          <w:color w:val="404040"/>
          <w:sz w:val="26"/>
          <w:szCs w:val="26"/>
        </w:rPr>
        <w:t xml:space="preserve">9.3. Asymetria w sądach rodzinnych — korekta danych</w:t>
      </w:r>
    </w:p>
    <w:p>
      <w:pPr>
        <w:spacing w:after="120"/>
        <w:jc w:val="both"/>
      </w:pPr>
      <w:r>
        <w:rPr>
          <w:sz w:val="22"/>
          <w:szCs w:val="22"/>
        </w:rPr>
        <w:t xml:space="preserve">WAŻNE SPROSTOWANIE dotyczące danych o opiece nad dziećmi w Polsce: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Statystyka</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Wartość</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Opieka naprzemienna w Polsce</w:t>
            </w:r>
          </w:p>
        </w:tc>
        <w:tc>
          <w:tcPr>
            <w:tcW w:type="dxa" w:w="4680"/>
            <w:tcBorders>
              <w:top w:val="single" w:color="CCCCCC" w:sz="1"/>
              <w:left w:val="single" w:color="CCCCCC" w:sz="1"/>
              <w:bottom w:val="single" w:color="CCCCCC" w:sz="1"/>
              <w:right w:val="single" w:color="CCCCCC" w:sz="1"/>
            </w:tcBorders>
          </w:tcPr>
          <w:p>
            <w:pPr>
              <w:jc w:val="center"/>
            </w:pPr>
            <w:r>
              <w:rPr>
                <w:b/>
                <w:bCs/>
                <w:sz w:val="22"/>
                <w:szCs w:val="22"/>
              </w:rPr>
              <w:t xml:space="preserve">2,3%</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Wszystkie inne formy podziału opieki (matka dominuje)</w:t>
            </w:r>
          </w:p>
        </w:tc>
        <w:tc>
          <w:tcPr>
            <w:tcW w:type="dxa" w:w="468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97,7%</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Typowy podział (matka 51-100%, ojciec 0-49%)</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~80-90%</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Średnia UE — opieka naprzemienna</w:t>
            </w:r>
          </w:p>
        </w:tc>
        <w:tc>
          <w:tcPr>
            <w:tcW w:type="dxa" w:w="468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~20%</w:t>
            </w:r>
          </w:p>
        </w:tc>
      </w:tr>
    </w:tbl>
    <w:p>
      <w:pPr>
        <w:spacing w:after="200"/>
      </w:pPr>
      <w:r>
        <w:rPr>
          <w:i/>
          <w:iCs/>
          <w:color w:val="595959"/>
          <w:sz w:val="20"/>
          <w:szCs w:val="20"/>
        </w:rPr>
        <w:t xml:space="preserve">Tabela 9.3. Struktura opieki nad dziećmi po rozwodzie w Polsce</w:t>
      </w:r>
    </w:p>
    <w:p>
      <w:pPr>
        <w:spacing w:after="120"/>
        <w:jc w:val="both"/>
      </w:pPr>
      <w:r>
        <w:rPr>
          <w:sz w:val="22"/>
          <w:szCs w:val="22"/>
        </w:rPr>
        <w:t xml:space="preserve">Wyjaśnienie: Statystyka '97,7%' NIE oznacza, że 97,7% dzieci mieszka wyłącznie z matką. Oznacza, że 97,7% spraw kończy się podziałem INNYM niż opieka naprzemienna (50/50). W większości przypadków rodzice dzielą opiekę w proporcjach od 51/49 do nawet 90/10, z matką jako rodzicem dominującym. Tylko 2,3% spraw kończy się rzeczywistą opieką naprzemienną — dramatycznie poniżej średniej europejskiej (~20%).</w:t>
      </w:r>
    </w:p>
    <w:p>
      <w:pPr>
        <w:spacing w:after="120"/>
        <w:jc w:val="both"/>
      </w:pPr>
      <w:r>
        <w:rPr>
          <w:sz w:val="22"/>
          <w:szCs w:val="22"/>
        </w:rPr>
        <w:t xml:space="preserve">Miller (2018) w badaniu 619 sędziów wykazał, że sędziowie są BARDZIEJ stronniczy niż laicy w faworyzowaniu matek — przyznawali matkom ~0,5 dnia więcej opieki niż ojcom. Tylko 3% sędziów przyznało ojcu więcej czasu opieki niż matce. Co więcej, sędziowie z większym doświadczeniem w prawie rodzinnym wykazywali SILNIEJSZY bias, nie słabszy.</w:t>
      </w:r>
    </w:p>
    <w:p>
      <w:pPr>
        <w:spacing w:before="400"/>
      </w:pPr>
    </w:p>
    <w:p>
      <w:pPr>
        <w:pStyle w:val="Heading1"/>
        <w:spacing w:before="400" w:after="200"/>
      </w:pPr>
      <w:r>
        <w:rPr>
          <w:b/>
          <w:bCs/>
          <w:color w:val="2B579A"/>
          <w:sz w:val="32"/>
          <w:szCs w:val="32"/>
        </w:rPr>
        <w:t xml:space="preserve">Część X: Synteza — Dwie pętle, jeden system</w:t>
      </w:r>
    </w:p>
    <w:p>
      <w:pPr>
        <w:pStyle w:val="Heading2"/>
        <w:spacing w:before="300" w:after="150"/>
      </w:pPr>
      <w:r>
        <w:rPr>
          <w:b/>
          <w:bCs/>
          <w:color w:val="404040"/>
          <w:sz w:val="26"/>
          <w:szCs w:val="26"/>
        </w:rPr>
        <w:t xml:space="preserve">10.1. Porównanie spirali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04040" w:val="clear"/>
          </w:tcPr>
          <w:p>
            <w:pPr>
              <w:jc w:val="center"/>
            </w:pPr>
            <w:r>
              <w:rPr>
                <w:b/>
                <w:bCs/>
                <w:color w:val="FFFFFF"/>
                <w:sz w:val="22"/>
                <w:szCs w:val="22"/>
              </w:rPr>
              <w:t xml:space="preserve">Wymiar</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Spirala męska</w:t>
            </w:r>
          </w:p>
        </w:tc>
        <w:tc>
          <w:tcPr>
            <w:tcW w:type="dxa" w:w="3120"/>
            <w:tcBorders>
              <w:top w:val="single" w:color="CCCCCC" w:sz="1"/>
              <w:left w:val="single" w:color="CCCCCC" w:sz="1"/>
              <w:bottom w:val="single" w:color="CCCCCC" w:sz="1"/>
              <w:right w:val="single" w:color="CCCCCC" w:sz="1"/>
            </w:tcBorders>
            <w:shd w:fill="8B4789" w:val="clear"/>
          </w:tcPr>
          <w:p>
            <w:pPr>
              <w:jc w:val="center"/>
            </w:pPr>
            <w:r>
              <w:rPr>
                <w:b/>
                <w:bCs/>
                <w:color w:val="FFFFFF"/>
                <w:sz w:val="22"/>
                <w:szCs w:val="22"/>
              </w:rPr>
              <w:t xml:space="preserve">Spirala kobieca</w:t>
            </w:r>
          </w:p>
        </w:tc>
      </w:tr>
      <w:tr>
        <w:tc>
          <w:tcPr>
            <w:tcW w:type="dxa" w:w="3120"/>
            <w:tcBorders>
              <w:top w:val="single" w:color="CCCCCC" w:sz="1"/>
              <w:left w:val="single" w:color="CCCCCC" w:sz="1"/>
              <w:bottom w:val="single" w:color="CCCCCC" w:sz="1"/>
              <w:right w:val="single" w:color="CCCCCC" w:sz="1"/>
            </w:tcBorders>
          </w:tcPr>
          <w:p>
            <w:r>
              <w:rPr>
                <w:b/>
                <w:bCs/>
                <w:sz w:val="22"/>
                <w:szCs w:val="22"/>
              </w:rPr>
              <w:t xml:space="preserve">Domena niewystarczalności</w:t>
            </w:r>
          </w:p>
        </w:tc>
        <w:tc>
          <w:tcPr>
            <w:tcW w:type="dxa" w:w="3120"/>
            <w:tcBorders>
              <w:top w:val="single" w:color="CCCCCC" w:sz="1"/>
              <w:left w:val="single" w:color="CCCCCC" w:sz="1"/>
              <w:bottom w:val="single" w:color="CCCCCC" w:sz="1"/>
              <w:right w:val="single" w:color="CCCCCC" w:sz="1"/>
            </w:tcBorders>
          </w:tcPr>
          <w:p>
            <w:r>
              <w:rPr>
                <w:sz w:val="22"/>
                <w:szCs w:val="22"/>
              </w:rPr>
              <w:t xml:space="preserve">Performans, status, zasoby</w:t>
            </w:r>
          </w:p>
        </w:tc>
        <w:tc>
          <w:tcPr>
            <w:tcW w:type="dxa" w:w="3120"/>
            <w:tcBorders>
              <w:top w:val="single" w:color="CCCCCC" w:sz="1"/>
              <w:left w:val="single" w:color="CCCCCC" w:sz="1"/>
              <w:bottom w:val="single" w:color="CCCCCC" w:sz="1"/>
              <w:right w:val="single" w:color="CCCCCC" w:sz="1"/>
            </w:tcBorders>
          </w:tcPr>
          <w:p>
            <w:r>
              <w:rPr>
                <w:sz w:val="22"/>
                <w:szCs w:val="22"/>
              </w:rPr>
              <w:t xml:space="preserve">Wygląd, przynależność, akceptacja</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Typ wartości</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Warunkowa (trzeba zdobyć)</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Wrodzona, ale zagrożona</w:t>
            </w:r>
          </w:p>
        </w:tc>
      </w:tr>
      <w:tr>
        <w:tc>
          <w:tcPr>
            <w:tcW w:type="dxa" w:w="3120"/>
            <w:tcBorders>
              <w:top w:val="single" w:color="CCCCCC" w:sz="1"/>
              <w:left w:val="single" w:color="CCCCCC" w:sz="1"/>
              <w:bottom w:val="single" w:color="CCCCCC" w:sz="1"/>
              <w:right w:val="single" w:color="CCCCCC" w:sz="1"/>
            </w:tcBorders>
          </w:tcPr>
          <w:p>
            <w:r>
              <w:rPr>
                <w:b/>
                <w:bCs/>
                <w:sz w:val="22"/>
                <w:szCs w:val="22"/>
              </w:rPr>
              <w:t xml:space="preserve">Typ agresji</w:t>
            </w:r>
          </w:p>
        </w:tc>
        <w:tc>
          <w:tcPr>
            <w:tcW w:type="dxa" w:w="3120"/>
            <w:tcBorders>
              <w:top w:val="single" w:color="CCCCCC" w:sz="1"/>
              <w:left w:val="single" w:color="CCCCCC" w:sz="1"/>
              <w:bottom w:val="single" w:color="CCCCCC" w:sz="1"/>
              <w:right w:val="single" w:color="CCCCCC" w:sz="1"/>
            </w:tcBorders>
          </w:tcPr>
          <w:p>
            <w:r>
              <w:rPr>
                <w:sz w:val="22"/>
                <w:szCs w:val="22"/>
              </w:rPr>
              <w:t xml:space="preserve">Fizyczna, otwarta</w:t>
            </w:r>
          </w:p>
        </w:tc>
        <w:tc>
          <w:tcPr>
            <w:tcW w:type="dxa" w:w="3120"/>
            <w:tcBorders>
              <w:top w:val="single" w:color="CCCCCC" w:sz="1"/>
              <w:left w:val="single" w:color="CCCCCC" w:sz="1"/>
              <w:bottom w:val="single" w:color="CCCCCC" w:sz="1"/>
              <w:right w:val="single" w:color="CCCCCC" w:sz="1"/>
            </w:tcBorders>
          </w:tcPr>
          <w:p>
            <w:r>
              <w:rPr>
                <w:sz w:val="22"/>
                <w:szCs w:val="22"/>
              </w:rPr>
              <w:t xml:space="preserve">Relacyjna, pośrednia</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Cel agresji</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Inne grupy, system, siebie</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Inne kobiety (intraseks.)</w:t>
            </w:r>
          </w:p>
        </w:tc>
      </w:tr>
      <w:tr>
        <w:tc>
          <w:tcPr>
            <w:tcW w:type="dxa" w:w="3120"/>
            <w:tcBorders>
              <w:top w:val="single" w:color="CCCCCC" w:sz="1"/>
              <w:left w:val="single" w:color="CCCCCC" w:sz="1"/>
              <w:bottom w:val="single" w:color="CCCCCC" w:sz="1"/>
              <w:right w:val="single" w:color="CCCCCC" w:sz="1"/>
            </w:tcBorders>
          </w:tcPr>
          <w:p>
            <w:r>
              <w:rPr>
                <w:b/>
                <w:bCs/>
                <w:sz w:val="22"/>
                <w:szCs w:val="22"/>
              </w:rPr>
              <w:t xml:space="preserve">Wzmacniacz współczesny</w:t>
            </w:r>
          </w:p>
        </w:tc>
        <w:tc>
          <w:tcPr>
            <w:tcW w:type="dxa" w:w="3120"/>
            <w:tcBorders>
              <w:top w:val="single" w:color="CCCCCC" w:sz="1"/>
              <w:left w:val="single" w:color="CCCCCC" w:sz="1"/>
              <w:bottom w:val="single" w:color="CCCCCC" w:sz="1"/>
              <w:right w:val="single" w:color="CCCCCC" w:sz="1"/>
            </w:tcBorders>
          </w:tcPr>
          <w:p>
            <w:r>
              <w:rPr>
                <w:sz w:val="22"/>
                <w:szCs w:val="22"/>
              </w:rPr>
              <w:t xml:space="preserve">Aplikacje randkowe, rynek pracy</w:t>
            </w:r>
          </w:p>
        </w:tc>
        <w:tc>
          <w:tcPr>
            <w:tcW w:type="dxa" w:w="3120"/>
            <w:tcBorders>
              <w:top w:val="single" w:color="CCCCCC" w:sz="1"/>
              <w:left w:val="single" w:color="CCCCCC" w:sz="1"/>
              <w:bottom w:val="single" w:color="CCCCCC" w:sz="1"/>
              <w:right w:val="single" w:color="CCCCCC" w:sz="1"/>
            </w:tcBorders>
          </w:tcPr>
          <w:p>
            <w:r>
              <w:rPr>
                <w:sz w:val="22"/>
                <w:szCs w:val="22"/>
              </w:rPr>
              <w:t xml:space="preserve">Instagram, TikTok, filtry</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Konsekwencja zdrowotna</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ŚMIERTELNOŚĆ (samobójstwa 84%)</w:t>
            </w:r>
          </w:p>
        </w:tc>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ZACHOROWALNOŚĆ (depresja, ED)</w:t>
            </w:r>
          </w:p>
        </w:tc>
      </w:tr>
    </w:tbl>
    <w:p>
      <w:pPr>
        <w:spacing w:after="200"/>
      </w:pPr>
      <w:r>
        <w:rPr>
          <w:i/>
          <w:iCs/>
          <w:color w:val="595959"/>
          <w:sz w:val="20"/>
          <w:szCs w:val="20"/>
        </w:rPr>
        <w:t xml:space="preserve">Tabela 10.1. Porównanie spiral niewystarczalności według płci</w:t>
      </w:r>
    </w:p>
    <w:p>
      <w:pPr>
        <w:pStyle w:val="Heading2"/>
        <w:spacing w:before="300" w:after="150"/>
      </w:pPr>
      <w:r>
        <w:rPr>
          <w:b/>
          <w:bCs/>
          <w:color w:val="404040"/>
          <w:sz w:val="26"/>
          <w:szCs w:val="26"/>
        </w:rPr>
        <w:t xml:space="preserve">10.2. Centralna teza (uzupełniona)</w:t>
      </w:r>
    </w:p>
    <w:p>
      <w:pPr>
        <w:shd w:fill="FFF3CD" w:val="clear"/>
        <w:spacing w:after="120" w:before="120"/>
        <w:ind w:left="720" w:right="720"/>
      </w:pPr>
      <w:r>
        <w:rPr>
          <w:i/>
          <w:iCs/>
          <w:sz w:val="22"/>
          <w:szCs w:val="22"/>
        </w:rPr>
        <w:t xml:space="preserve">System pętli niewystarczalności działa symetrycznie na OBU płciach, choć w różnych domenach. Obie płcie transmitują normy, egzekwują kary i doświadczają spirali. Wzajemne odrzucenie między płciami tworzy sprzężenie zwrotne, które eskaluje obie pętle jednocześnie. Media społecznościowe dramatycznie amplifikują zarówno męską spiralę performansu (porównania statusowe), jak i kobiecą spiralę przynależności (porównania wizerunkowe, slut-shaming). Rozwiązanie wymaga adresowania OBIE spiral jednocześnie, nie tylko jednej z nich.</w:t>
      </w:r>
    </w:p>
    <w:p>
      <w:pPr>
        <w:spacing w:before="400"/>
      </w:pPr>
    </w:p>
    <w:p>
      <w:pPr>
        <w:shd w:fill="F0F0F0" w:val="clear"/>
        <w:spacing w:before="400" w:after="200"/>
        <w:jc w:val="center"/>
      </w:pPr>
      <w:r>
        <w:rPr>
          <w:b/>
          <w:bCs/>
          <w:color w:val="595959"/>
          <w:sz w:val="24"/>
          <w:szCs w:val="24"/>
        </w:rPr>
        <w:t xml:space="preserve">— KONIEC DOKUMENTU —</w:t>
      </w:r>
    </w:p>
    <w:p>
      <w:pPr>
        <w:spacing w:after="100"/>
        <w:jc w:val="center"/>
      </w:pPr>
      <w:r>
        <w:rPr>
          <w:i/>
          <w:iCs/>
          <w:sz w:val="20"/>
          <w:szCs w:val="20"/>
        </w:rPr>
        <w:t xml:space="preserve">Model Pętli Niewystarczalności v2.0 — Symetryczna Synteza</w:t>
      </w:r>
    </w:p>
    <w:p>
      <w:pPr>
        <w:jc w:val="center"/>
      </w:pPr>
      <w:r>
        <w:rPr>
          <w:color w:val="808080"/>
          <w:sz w:val="20"/>
          <w:szCs w:val="20"/>
        </w:rPr>
        <w:t xml:space="preserve">Projekt Boy Burger | Grudzień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Strona </w:t>
    </w:r>
    <w:r>
      <w:rPr>
        <w:sz w:val="20"/>
        <w:szCs w:val="20"/>
      </w:rPr>
      <w:fldChar w:fldCharType="begin"/>
      <w:instrText xml:space="preserve">PAGE</w:instrText>
      <w:fldChar w:fldCharType="separate"/>
      <w:fldChar w:fldCharType="end"/>
    </w:r>
    <w:r>
      <w:rPr>
        <w:sz w:val="20"/>
        <w:szCs w:val="20"/>
      </w:rPr>
      <w:t xml:space="preserve"> z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Model Pętli Niewystarczalności — Synteza Akademicka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B579A"/>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2025-12-02T17:49:09.059Z</dcterms:created>
  <dcterms:modified xsi:type="dcterms:W3CDTF">2025-12-02T17:49:09.060Z</dcterms:modified>
</cp:coreProperties>
</file>

<file path=docProps/custom.xml><?xml version="1.0" encoding="utf-8"?>
<Properties xmlns="http://schemas.openxmlformats.org/officeDocument/2006/custom-properties" xmlns:vt="http://schemas.openxmlformats.org/officeDocument/2006/docPropsVTypes"/>
</file>