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CA3" w:rsidRDefault="005C42F9" w:rsidP="00AE1E98">
      <w:pPr>
        <w:pStyle w:val="Title"/>
      </w:pPr>
      <w:r w:rsidRPr="005C42F9">
        <w:t>FlowTasks Sketch Overview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64830621"/>
        <w:docPartObj>
          <w:docPartGallery w:val="Table of Contents"/>
          <w:docPartUnique/>
        </w:docPartObj>
      </w:sdtPr>
      <w:sdtContent>
        <w:p w:rsidR="001A556F" w:rsidRDefault="001A556F">
          <w:pPr>
            <w:pStyle w:val="TOCHeading"/>
          </w:pPr>
          <w:r>
            <w:t>Contents</w:t>
          </w:r>
        </w:p>
        <w:p w:rsidR="006E4769" w:rsidRDefault="00797F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1A556F">
            <w:instrText xml:space="preserve"> TOC \o "1-3" \h \z \u </w:instrText>
          </w:r>
          <w:r>
            <w:fldChar w:fldCharType="separate"/>
          </w:r>
          <w:hyperlink w:anchor="_Toc355258227" w:history="1">
            <w:r w:rsidR="006E4769" w:rsidRPr="0078004A">
              <w:rPr>
                <w:rStyle w:val="Hyperlink"/>
                <w:noProof/>
              </w:rPr>
              <w:t>Introduction</w:t>
            </w:r>
            <w:r w:rsidR="006E4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769">
              <w:rPr>
                <w:noProof/>
                <w:webHidden/>
              </w:rPr>
              <w:instrText xml:space="preserve"> PAGEREF _Toc355258227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769" w:rsidRDefault="00797F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258228" w:history="1">
            <w:r w:rsidR="006E4769" w:rsidRPr="0078004A">
              <w:rPr>
                <w:rStyle w:val="Hyperlink"/>
                <w:noProof/>
              </w:rPr>
              <w:t>Design the workflow</w:t>
            </w:r>
            <w:r w:rsidR="006E4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769">
              <w:rPr>
                <w:noProof/>
                <w:webHidden/>
              </w:rPr>
              <w:instrText xml:space="preserve"> PAGEREF _Toc355258228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769" w:rsidRDefault="00797F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258229" w:history="1">
            <w:r w:rsidR="006E4769" w:rsidRPr="0078004A">
              <w:rPr>
                <w:rStyle w:val="Hyperlink"/>
                <w:noProof/>
              </w:rPr>
              <w:t>Development</w:t>
            </w:r>
            <w:r w:rsidR="006E4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769">
              <w:rPr>
                <w:noProof/>
                <w:webHidden/>
              </w:rPr>
              <w:instrText xml:space="preserve"> PAGEREF _Toc355258229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769" w:rsidRDefault="00797F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55258230" w:history="1">
            <w:r w:rsidR="006E4769" w:rsidRPr="0078004A">
              <w:rPr>
                <w:rStyle w:val="Hyperlink"/>
                <w:noProof/>
              </w:rPr>
              <w:t>Conclusion</w:t>
            </w:r>
            <w:r w:rsidR="006E4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4769">
              <w:rPr>
                <w:noProof/>
                <w:webHidden/>
              </w:rPr>
              <w:instrText xml:space="preserve"> PAGEREF _Toc355258230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7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6F" w:rsidRDefault="00797FCC">
          <w:r>
            <w:fldChar w:fldCharType="end"/>
          </w:r>
        </w:p>
      </w:sdtContent>
    </w:sdt>
    <w:p w:rsidR="00AE1E98" w:rsidRDefault="00AE1E98" w:rsidP="00AE1E98">
      <w:pPr>
        <w:pStyle w:val="Heading1"/>
      </w:pPr>
      <w:bookmarkStart w:id="0" w:name="_Toc355258227"/>
      <w:r>
        <w:t>Introduction</w:t>
      </w:r>
      <w:bookmarkEnd w:id="0"/>
    </w:p>
    <w:p w:rsidR="00AE1E98" w:rsidRDefault="00113978" w:rsidP="00113978">
      <w:r>
        <w:t>Sketch is an easy an intuitive workflow designer that all levels of the business can use to design process workflow</w:t>
      </w:r>
      <w:r w:rsidR="000A5331">
        <w:t>s</w:t>
      </w:r>
      <w:r>
        <w:t xml:space="preserve">. The developers can then </w:t>
      </w:r>
      <w:r w:rsidR="005B5F5E">
        <w:t xml:space="preserve">load the workflow sketched by the business, load it in Microsoft Visual Studio, and </w:t>
      </w:r>
      <w:r>
        <w:t>complete the dev</w:t>
      </w:r>
      <w:r w:rsidR="005B5F5E">
        <w:t>elopment</w:t>
      </w:r>
      <w:r>
        <w:t>. This eliminates the communication gap</w:t>
      </w:r>
      <w:r w:rsidR="005B5F5E">
        <w:t>s</w:t>
      </w:r>
      <w:r>
        <w:t xml:space="preserve"> that sometimes exists between developers </w:t>
      </w:r>
      <w:r w:rsidR="005B5F5E">
        <w:t xml:space="preserve">and other parts of the business and reduce the development time and effort of your </w:t>
      </w:r>
      <w:r w:rsidR="000A5331">
        <w:t>process workflows.</w:t>
      </w:r>
    </w:p>
    <w:p w:rsidR="00AE1E98" w:rsidRDefault="00113978" w:rsidP="00AE1E98">
      <w:pPr>
        <w:pStyle w:val="Heading1"/>
      </w:pPr>
      <w:bookmarkStart w:id="1" w:name="_Toc355258228"/>
      <w:r>
        <w:t>Design the workflow</w:t>
      </w:r>
      <w:bookmarkEnd w:id="1"/>
    </w:p>
    <w:p w:rsidR="006147F8" w:rsidRDefault="00D12ECC" w:rsidP="006147F8">
      <w:r>
        <w:t>If you login as a user in the Business Analyst role (BA) you can access Sketch.</w:t>
      </w:r>
    </w:p>
    <w:p w:rsidR="00D12ECC" w:rsidRDefault="00D12ECC" w:rsidP="006147F8">
      <w:r>
        <w:rPr>
          <w:noProof/>
          <w:lang w:eastAsia="en-AU"/>
        </w:rPr>
        <w:drawing>
          <wp:inline distT="0" distB="0" distL="0" distR="0">
            <wp:extent cx="5731510" cy="3718376"/>
            <wp:effectExtent l="19050" t="19050" r="21590" b="1542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3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ECC" w:rsidRDefault="00D12ECC" w:rsidP="006147F8">
      <w:r>
        <w:t xml:space="preserve">You can use </w:t>
      </w:r>
      <w:r w:rsidR="00FA4017">
        <w:t>the test</w:t>
      </w:r>
      <w:r w:rsidR="009F1721">
        <w:t xml:space="preserve"> user</w:t>
      </w:r>
      <w:r w:rsidR="00FA4017">
        <w:t xml:space="preserve"> </w:t>
      </w:r>
      <w:r>
        <w:t>&lt;hbogart, pwd&gt;.</w:t>
      </w:r>
    </w:p>
    <w:p w:rsidR="00D12ECC" w:rsidRDefault="00FA4017" w:rsidP="006147F8">
      <w:r>
        <w:lastRenderedPageBreak/>
        <w:t>In here you can create your workflow. The tasks “FlowDecision” and “FlowSwitch” are used to control the process flow. “Approve” is a task that require user approval, “Generic” is a task used to perform some system computation.</w:t>
      </w:r>
    </w:p>
    <w:p w:rsidR="00E0528A" w:rsidRDefault="00E0528A" w:rsidP="006147F8"/>
    <w:p w:rsidR="00E0528A" w:rsidRDefault="00E0528A" w:rsidP="006147F8">
      <w:r>
        <w:rPr>
          <w:noProof/>
          <w:lang w:eastAsia="en-AU"/>
        </w:rPr>
        <w:drawing>
          <wp:inline distT="0" distB="0" distL="0" distR="0">
            <wp:extent cx="5731510" cy="3624407"/>
            <wp:effectExtent l="19050" t="19050" r="21590" b="14143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4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8A" w:rsidRDefault="00E0528A" w:rsidP="006147F8">
      <w:r>
        <w:t xml:space="preserve">To add a task to the workflow just drag &amp; drop it from the toolbox to the workflow panel. If you double click a task a property pop up window will open. </w:t>
      </w:r>
    </w:p>
    <w:p w:rsidR="00E0528A" w:rsidRDefault="00E0528A" w:rsidP="006147F8">
      <w:r>
        <w:rPr>
          <w:noProof/>
          <w:lang w:eastAsia="en-AU"/>
        </w:rPr>
        <w:drawing>
          <wp:inline distT="0" distB="0" distL="0" distR="0">
            <wp:extent cx="4343400" cy="2466975"/>
            <wp:effectExtent l="19050" t="19050" r="19050" b="285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8A" w:rsidRDefault="003F7104" w:rsidP="006147F8">
      <w:r>
        <w:t>When you</w:t>
      </w:r>
      <w:r w:rsidR="000A5331">
        <w:t xml:space="preserve">’ve finished, </w:t>
      </w:r>
      <w:r>
        <w:t>save and deploy the workflow.</w:t>
      </w:r>
    </w:p>
    <w:p w:rsidR="008B1322" w:rsidRPr="006147F8" w:rsidRDefault="008B1322" w:rsidP="006147F8">
      <w:r>
        <w:t xml:space="preserve">After you deploy the workflow a new task </w:t>
      </w:r>
      <w:r w:rsidR="000A5331">
        <w:t>is</w:t>
      </w:r>
      <w:r>
        <w:t xml:space="preserve"> created for the development team.</w:t>
      </w:r>
    </w:p>
    <w:p w:rsidR="00D2727A" w:rsidRDefault="00113978" w:rsidP="004C76FA">
      <w:pPr>
        <w:pStyle w:val="Heading1"/>
      </w:pPr>
      <w:bookmarkStart w:id="2" w:name="_Toc355258229"/>
      <w:r>
        <w:lastRenderedPageBreak/>
        <w:t>Develop</w:t>
      </w:r>
      <w:r w:rsidR="00D9103B">
        <w:t>ment</w:t>
      </w:r>
      <w:bookmarkEnd w:id="2"/>
    </w:p>
    <w:p w:rsidR="00097410" w:rsidRDefault="008B1322" w:rsidP="006147F8">
      <w:r>
        <w:t>If you login as a developer &lt;cgrant, pwd&gt; you can see the development task.</w:t>
      </w:r>
    </w:p>
    <w:p w:rsidR="008B1322" w:rsidRDefault="008B1322" w:rsidP="006147F8">
      <w:r>
        <w:rPr>
          <w:noProof/>
          <w:lang w:eastAsia="en-AU"/>
        </w:rPr>
        <w:drawing>
          <wp:inline distT="0" distB="0" distL="0" distR="0">
            <wp:extent cx="5731510" cy="1839048"/>
            <wp:effectExtent l="19050" t="19050" r="21590" b="2785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21" w:rsidRDefault="009F1721" w:rsidP="006147F8">
      <w:r>
        <w:t>Open the task</w:t>
      </w:r>
    </w:p>
    <w:p w:rsidR="008B1322" w:rsidRDefault="009F1721" w:rsidP="006147F8">
      <w:r>
        <w:rPr>
          <w:noProof/>
          <w:lang w:eastAsia="en-AU"/>
        </w:rPr>
        <w:drawing>
          <wp:inline distT="0" distB="0" distL="0" distR="0">
            <wp:extent cx="5731510" cy="3856336"/>
            <wp:effectExtent l="19050" t="19050" r="21590" b="10814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21" w:rsidRDefault="009F1721" w:rsidP="006147F8">
      <w:r>
        <w:t>Download the document attached and open it with Visual Studio.</w:t>
      </w:r>
    </w:p>
    <w:p w:rsidR="009F1721" w:rsidRDefault="009F1721" w:rsidP="006147F8">
      <w:r>
        <w:rPr>
          <w:noProof/>
          <w:lang w:eastAsia="en-AU"/>
        </w:rPr>
        <w:lastRenderedPageBreak/>
        <w:drawing>
          <wp:inline distT="0" distB="0" distL="0" distR="0">
            <wp:extent cx="5731510" cy="4783812"/>
            <wp:effectExtent l="19050" t="19050" r="21590" b="16788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38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21" w:rsidRDefault="009F1721" w:rsidP="006147F8">
      <w:r>
        <w:t xml:space="preserve">The workflow </w:t>
      </w:r>
      <w:r w:rsidR="007101D9">
        <w:t xml:space="preserve">created in </w:t>
      </w:r>
      <w:r>
        <w:t xml:space="preserve">Sketch </w:t>
      </w:r>
      <w:r w:rsidR="007101D9">
        <w:t>c</w:t>
      </w:r>
      <w:r w:rsidR="0013788D">
        <w:t>an be opened with Visual Studio. Y</w:t>
      </w:r>
      <w:r w:rsidR="007101D9">
        <w:t xml:space="preserve">ou </w:t>
      </w:r>
      <w:r w:rsidR="0013788D">
        <w:t xml:space="preserve">could actually </w:t>
      </w:r>
      <w:r w:rsidR="007101D9">
        <w:t>make changes in Visual Studio</w:t>
      </w:r>
      <w:r>
        <w:t xml:space="preserve"> </w:t>
      </w:r>
      <w:r w:rsidR="0013788D">
        <w:t>and then load the workflow in Sketch</w:t>
      </w:r>
      <w:r w:rsidR="000C4722">
        <w:t xml:space="preserve"> again</w:t>
      </w:r>
      <w:r w:rsidR="0013788D">
        <w:t>.</w:t>
      </w:r>
    </w:p>
    <w:p w:rsidR="00DA6664" w:rsidRDefault="00DA6664" w:rsidP="006147F8">
      <w:r>
        <w:t>Note that when you load the workflow in Visual Studio you need to open it within a project that has a reference to the</w:t>
      </w:r>
      <w:r w:rsidR="002310D8">
        <w:t xml:space="preserve"> assembly</w:t>
      </w:r>
      <w:r>
        <w:t xml:space="preserve"> “Flow.Tasks.Workflow</w:t>
      </w:r>
      <w:r w:rsidR="000A5331">
        <w:t>.dll</w:t>
      </w:r>
      <w:r>
        <w:t>”.</w:t>
      </w:r>
    </w:p>
    <w:p w:rsidR="009F1721" w:rsidRDefault="00D0112D" w:rsidP="006147F8">
      <w:r>
        <w:t>F</w:t>
      </w:r>
      <w:r w:rsidR="0013788D">
        <w:t xml:space="preserve">inish the development of the workflow in Visual Studio and then deploy the workflow. The application will copy the workflow file to </w:t>
      </w:r>
      <w:r>
        <w:t xml:space="preserve">the </w:t>
      </w:r>
      <w:r w:rsidR="0013788D">
        <w:t>server for you.</w:t>
      </w:r>
    </w:p>
    <w:p w:rsidR="0013788D" w:rsidRDefault="0013788D" w:rsidP="006147F8">
      <w:r>
        <w:t xml:space="preserve">If there is something that you don’t understand or you want more clarification </w:t>
      </w:r>
      <w:r w:rsidR="000A5331">
        <w:t>regarding the workflow then you can send it</w:t>
      </w:r>
      <w:r>
        <w:t xml:space="preserve"> back to the BA team</w:t>
      </w:r>
      <w:r w:rsidR="000A5331">
        <w:t>, using the “Send Back” button</w:t>
      </w:r>
      <w:r>
        <w:t>.</w:t>
      </w:r>
    </w:p>
    <w:p w:rsidR="000A5331" w:rsidRDefault="000A5331" w:rsidP="006147F8">
      <w:r>
        <w:t>If you do that a new task for the BA users is created.</w:t>
      </w:r>
    </w:p>
    <w:p w:rsidR="0013788D" w:rsidRDefault="00D0112D" w:rsidP="006147F8">
      <w:r>
        <w:rPr>
          <w:noProof/>
          <w:lang w:eastAsia="en-AU"/>
        </w:rPr>
        <w:lastRenderedPageBreak/>
        <w:drawing>
          <wp:inline distT="0" distB="0" distL="0" distR="0">
            <wp:extent cx="5731510" cy="2579420"/>
            <wp:effectExtent l="19050" t="19050" r="21590" b="113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2D" w:rsidRDefault="00D0112D" w:rsidP="006147F8">
      <w:r>
        <w:rPr>
          <w:noProof/>
          <w:lang w:eastAsia="en-AU"/>
        </w:rPr>
        <w:drawing>
          <wp:inline distT="0" distB="0" distL="0" distR="0">
            <wp:extent cx="5731510" cy="2279578"/>
            <wp:effectExtent l="19050" t="19050" r="21590" b="2547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5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2D" w:rsidRDefault="001D446A" w:rsidP="006147F8">
      <w:r>
        <w:t xml:space="preserve">The BA user can make changes to the workflow and then deploy </w:t>
      </w:r>
      <w:r w:rsidR="000A5331">
        <w:t xml:space="preserve">it </w:t>
      </w:r>
      <w:r>
        <w:t>again to the development team.</w:t>
      </w:r>
    </w:p>
    <w:p w:rsidR="00B05EFE" w:rsidRDefault="00B05EFE" w:rsidP="00B05EFE">
      <w:pPr>
        <w:pStyle w:val="Heading1"/>
      </w:pPr>
      <w:bookmarkStart w:id="3" w:name="_Toc355258230"/>
      <w:r>
        <w:t>Conclusion</w:t>
      </w:r>
      <w:bookmarkEnd w:id="3"/>
    </w:p>
    <w:p w:rsidR="001D446A" w:rsidRDefault="00B05EFE" w:rsidP="006147F8">
      <w:r>
        <w:t>With Sketch you can create workflows without any development knowledge in the same way you would do with a normal office application. The very innovative thing is th</w:t>
      </w:r>
      <w:r w:rsidR="006E4769">
        <w:t xml:space="preserve">at the output from Sketch can </w:t>
      </w:r>
      <w:r>
        <w:t>then be loaded in the development environment of Visual Studio without any change.</w:t>
      </w:r>
    </w:p>
    <w:p w:rsidR="00B05EFE" w:rsidRDefault="00B05EFE" w:rsidP="006147F8">
      <w:r>
        <w:t xml:space="preserve">This will decrease communication issues between teams and </w:t>
      </w:r>
      <w:r w:rsidR="00CF61F9">
        <w:t>reduce</w:t>
      </w:r>
      <w:r>
        <w:t xml:space="preserve"> the development life cycle.</w:t>
      </w:r>
    </w:p>
    <w:p w:rsidR="00B05EFE" w:rsidRDefault="00B05EFE" w:rsidP="006147F8"/>
    <w:sectPr w:rsidR="00B05EFE" w:rsidSect="00C8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C3D"/>
    <w:rsid w:val="000808BC"/>
    <w:rsid w:val="00097410"/>
    <w:rsid w:val="000A5331"/>
    <w:rsid w:val="000C4722"/>
    <w:rsid w:val="00113978"/>
    <w:rsid w:val="001370B7"/>
    <w:rsid w:val="0013788D"/>
    <w:rsid w:val="001A556F"/>
    <w:rsid w:val="001D446A"/>
    <w:rsid w:val="002310D8"/>
    <w:rsid w:val="00265499"/>
    <w:rsid w:val="002B2EEF"/>
    <w:rsid w:val="002F7040"/>
    <w:rsid w:val="00355C33"/>
    <w:rsid w:val="003E446F"/>
    <w:rsid w:val="003F7104"/>
    <w:rsid w:val="00421B9D"/>
    <w:rsid w:val="004249B4"/>
    <w:rsid w:val="004511EE"/>
    <w:rsid w:val="004C76FA"/>
    <w:rsid w:val="004F70E7"/>
    <w:rsid w:val="00597EA5"/>
    <w:rsid w:val="005B5F5E"/>
    <w:rsid w:val="005C42F9"/>
    <w:rsid w:val="005F10FF"/>
    <w:rsid w:val="00607794"/>
    <w:rsid w:val="006147F8"/>
    <w:rsid w:val="006E0175"/>
    <w:rsid w:val="006E4769"/>
    <w:rsid w:val="007101D9"/>
    <w:rsid w:val="00797FCC"/>
    <w:rsid w:val="007B5AEE"/>
    <w:rsid w:val="007E576A"/>
    <w:rsid w:val="008B1322"/>
    <w:rsid w:val="00907BF3"/>
    <w:rsid w:val="00913DC0"/>
    <w:rsid w:val="009F1721"/>
    <w:rsid w:val="00A41296"/>
    <w:rsid w:val="00A722A6"/>
    <w:rsid w:val="00AE1E98"/>
    <w:rsid w:val="00B05EFE"/>
    <w:rsid w:val="00B1037D"/>
    <w:rsid w:val="00B169FF"/>
    <w:rsid w:val="00B224E2"/>
    <w:rsid w:val="00B36357"/>
    <w:rsid w:val="00B62A75"/>
    <w:rsid w:val="00BC71CB"/>
    <w:rsid w:val="00C15F29"/>
    <w:rsid w:val="00C636B8"/>
    <w:rsid w:val="00C81CA3"/>
    <w:rsid w:val="00CF61F9"/>
    <w:rsid w:val="00D0112D"/>
    <w:rsid w:val="00D12ECC"/>
    <w:rsid w:val="00D2727A"/>
    <w:rsid w:val="00D9103B"/>
    <w:rsid w:val="00DA6664"/>
    <w:rsid w:val="00DC1C3D"/>
    <w:rsid w:val="00DF3505"/>
    <w:rsid w:val="00E0528A"/>
    <w:rsid w:val="00E154AF"/>
    <w:rsid w:val="00E54428"/>
    <w:rsid w:val="00FA4017"/>
    <w:rsid w:val="00FE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3"/>
  </w:style>
  <w:style w:type="paragraph" w:styleId="Heading1">
    <w:name w:val="heading 1"/>
    <w:basedOn w:val="Normal"/>
    <w:next w:val="Normal"/>
    <w:link w:val="Heading1Char"/>
    <w:uiPriority w:val="9"/>
    <w:qFormat/>
    <w:rsid w:val="00AE1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1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727A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5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5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56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F17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721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4DF13-7819-4468-94FB-0244CED3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 Pty Ltd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Gava</dc:creator>
  <cp:keywords/>
  <dc:description/>
  <cp:lastModifiedBy>Paolo Gava</cp:lastModifiedBy>
  <cp:revision>47</cp:revision>
  <dcterms:created xsi:type="dcterms:W3CDTF">2012-08-17T05:44:00Z</dcterms:created>
  <dcterms:modified xsi:type="dcterms:W3CDTF">2013-06-06T23:09:00Z</dcterms:modified>
</cp:coreProperties>
</file>