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Research &amp; Publication Incentive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KRMU/RID/RES/2026-27/019</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2.2</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"Research &amp; Publication Incentive Policy," is maintained by the concerned administrative office of K.R. Mangalam University and is subject to periodic review. The table below records the revision history of this document under notice number KRMU/RID/RES/2026-27/019.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2.2</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"Research Incentive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w:t>
      </w:r>
    </w:p>
    <w:p>
      <w:pPr>
        <w:spacing w:after="160" w:line="300"/>
      </w:pPr>
      <w:r>
        <w:rPr>
          <w:sz w:val="22"/>
          <w:szCs w:val="22"/>
        </w:rPr>
        <w:t xml:space="preserve">The Research &amp; Innovation Division (RID) of K.R. Mangalam University administers this policy to incentivise high-quality research output, patents, and sponsored projects among faculty and research scholars, in support of the University's research strategy for the 2026–2027 cycle.</w:t>
      </w:r>
    </w:p>
    <w:p>
      <w:pPr>
        <w:pStyle w:val="Heading1"/>
        <w:spacing w:after="160" w:before="340"/>
      </w:pPr>
      <w:r>
        <w:rPr>
          <w:b/>
          <w:bCs/>
          <w:color w:val="1B2A5B"/>
        </w:rPr>
        <w:t xml:space="preserve">2. Eligibility</w:t>
      </w:r>
    </w:p>
    <w:p>
      <w:pPr>
        <w:pStyle w:val="ListParagraph"/>
        <w:numPr>
          <w:ilvl w:val="0"/>
          <w:numId w:val="2"/>
        </w:numPr>
        <w:spacing w:after="100" w:line="300"/>
      </w:pPr>
      <w:r>
        <w:rPr>
          <w:sz w:val="22"/>
          <w:szCs w:val="22"/>
        </w:rPr>
        <w:t xml:space="preserve">All full-time faculty members and full-time PhD scholars registered with KRMU are eligible.</w:t>
      </w:r>
    </w:p>
    <w:p>
      <w:pPr>
        <w:pStyle w:val="ListParagraph"/>
        <w:numPr>
          <w:ilvl w:val="0"/>
          <w:numId w:val="2"/>
        </w:numPr>
        <w:spacing w:after="100" w:line="300"/>
      </w:pPr>
      <w:r>
        <w:rPr>
          <w:sz w:val="22"/>
          <w:szCs w:val="22"/>
        </w:rPr>
        <w:t xml:space="preserve">Publications must list K.R. Mangalam University as the affiliating institution to qualify for incentive.</w:t>
      </w:r>
    </w:p>
    <w:p>
      <w:pPr>
        <w:pStyle w:val="ListParagraph"/>
        <w:numPr>
          <w:ilvl w:val="0"/>
          <w:numId w:val="2"/>
        </w:numPr>
        <w:spacing w:after="100" w:line="300"/>
      </w:pPr>
      <w:r>
        <w:rPr>
          <w:sz w:val="22"/>
          <w:szCs w:val="22"/>
        </w:rPr>
        <w:t xml:space="preserve">Joint publications are incentivised proportionally based on the number of KRMU-affiliated authors.</w:t>
      </w:r>
    </w:p>
    <w:p>
      <w:pPr>
        <w:pStyle w:val="Heading1"/>
        <w:spacing w:after="160" w:before="340"/>
      </w:pPr>
      <w:r>
        <w:rPr>
          <w:b/>
          <w:bCs/>
          <w:color w:val="1B2A5B"/>
        </w:rPr>
        <w:t xml:space="preserve">3. Journal Publication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Journal 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Incentive (₹)</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SCI/SCIE Indexed, Q1</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SCI/SCIE Indexed, Q2</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Scopus Indexed, Q3/Q4</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UGC-CARE Listed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8,000</w:t>
            </w:r>
          </w:p>
        </w:tc>
      </w:tr>
    </w:tbl>
    <w:p>
      <w:pPr>
        <w:spacing w:after="160"/>
      </w:pPr>
    </w:p>
    <w:p>
      <w:pPr>
        <w:pStyle w:val="Heading1"/>
        <w:spacing w:after="160" w:before="340"/>
      </w:pPr>
      <w:r>
        <w:rPr>
          <w:b/>
          <w:bCs/>
          <w:color w:val="1B2A5B"/>
        </w:rPr>
        <w:t xml:space="preserve">4. Conference Publication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Conference 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Incentive (₹)</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IEEE/ACM/Springer Indexed International Conference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Other Scopus-Indexed International Conference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6,000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National Conference (UGC-recognised)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3,000</w:t>
            </w:r>
          </w:p>
        </w:tc>
      </w:tr>
    </w:tbl>
    <w:p>
      <w:pPr>
        <w:spacing w:after="160"/>
      </w:pPr>
    </w:p>
    <w:p>
      <w:pPr>
        <w:pStyle w:val="Heading1"/>
        <w:spacing w:after="160" w:before="340"/>
      </w:pPr>
      <w:r>
        <w:rPr>
          <w:b/>
          <w:bCs/>
          <w:color w:val="1B2A5B"/>
        </w:rPr>
        <w:t xml:space="preserve">5. Patent Filing &amp; Grant Incentives</w:t>
      </w:r>
    </w:p>
    <w:p>
      <w:pPr>
        <w:pStyle w:val="ListParagraph"/>
        <w:numPr>
          <w:ilvl w:val="0"/>
          <w:numId w:val="2"/>
        </w:numPr>
        <w:spacing w:after="100" w:line="300"/>
      </w:pPr>
      <w:r>
        <w:rPr>
          <w:sz w:val="22"/>
          <w:szCs w:val="22"/>
        </w:rPr>
        <w:t xml:space="preserve">Patent filing (Indian): ₹15,000 incentive plus reimbursement of filing fees up to ₹25,000.</w:t>
      </w:r>
    </w:p>
    <w:p>
      <w:pPr>
        <w:pStyle w:val="ListParagraph"/>
        <w:numPr>
          <w:ilvl w:val="0"/>
          <w:numId w:val="2"/>
        </w:numPr>
        <w:spacing w:after="100" w:line="300"/>
      </w:pPr>
      <w:r>
        <w:rPr>
          <w:sz w:val="22"/>
          <w:szCs w:val="22"/>
        </w:rPr>
        <w:t xml:space="preserve">Patent granted (Indian): additional ₹50,000 incentive.</w:t>
      </w:r>
    </w:p>
    <w:p>
      <w:pPr>
        <w:pStyle w:val="ListParagraph"/>
        <w:numPr>
          <w:ilvl w:val="0"/>
          <w:numId w:val="2"/>
        </w:numPr>
        <w:spacing w:after="100" w:line="300"/>
      </w:pPr>
      <w:r>
        <w:rPr>
          <w:sz w:val="22"/>
          <w:szCs w:val="22"/>
        </w:rPr>
        <w:t xml:space="preserve">International patent (PCT filing): ₹1,00,000 incentive plus reimbursement of filing costs, subject to RID approval.</w:t>
      </w:r>
    </w:p>
    <w:p>
      <w:pPr>
        <w:pStyle w:val="Heading1"/>
        <w:spacing w:after="160" w:before="340"/>
      </w:pPr>
      <w:r>
        <w:rPr>
          <w:b/>
          <w:bCs/>
          <w:color w:val="1B2A5B"/>
        </w:rPr>
        <w:t xml:space="preserve">6. Book &amp; Book Chapter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Publication Type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Incentive (₹)</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Authored Book (International Publisher)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40,000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Authored Book (National Publisher)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20,000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Book Chapter (Scopus/WoS Indexed)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8,000</w:t>
            </w:r>
          </w:p>
        </w:tc>
      </w:tr>
    </w:tbl>
    <w:p>
      <w:pPr>
        <w:spacing w:after="160"/>
      </w:pPr>
    </w:p>
    <w:p>
      <w:pPr>
        <w:pStyle w:val="Heading1"/>
        <w:spacing w:after="160" w:before="340"/>
      </w:pPr>
      <w:r>
        <w:rPr>
          <w:b/>
          <w:bCs/>
          <w:color w:val="1B2A5B"/>
        </w:rPr>
        <w:t xml:space="preserve">7. Sponsored Research Project Support</w:t>
      </w:r>
    </w:p>
    <w:p>
      <w:pPr>
        <w:spacing w:after="160" w:line="300"/>
      </w:pPr>
      <w:r>
        <w:rPr>
          <w:sz w:val="22"/>
          <w:szCs w:val="22"/>
        </w:rPr>
        <w:t xml:space="preserve">Faculty members securing externally funded research grants (from DST, DBT, SERB, AICTE, ICSSR, or industry) are eligible for a one-time incentive of 2% of the sanctioned grant amount (capped at ₹1,00,000), along with seed funding matching support of up to ₹2,00,000 for preliminary research toward large grant applications.</w:t>
      </w:r>
    </w:p>
    <w:p>
      <w:pPr>
        <w:pStyle w:val="Heading1"/>
        <w:spacing w:after="160" w:before="340"/>
      </w:pPr>
      <w:r>
        <w:rPr>
          <w:b/>
          <w:bCs/>
          <w:color w:val="1B2A5B"/>
        </w:rPr>
        <w:t xml:space="preserve">8. Application &amp; Claim Process</w:t>
      </w:r>
    </w:p>
    <w:p>
      <w:pPr>
        <w:pStyle w:val="ListParagraph"/>
        <w:numPr>
          <w:ilvl w:val="0"/>
          <w:numId w:val="3"/>
        </w:numPr>
        <w:spacing w:after="100" w:line="300"/>
      </w:pPr>
      <w:r>
        <w:rPr>
          <w:sz w:val="22"/>
          <w:szCs w:val="22"/>
        </w:rPr>
        <w:t xml:space="preserve">Submit the Research Incentive Claim Form via the RID ERP Module, along with proof of publication/patent/grant.</w:t>
      </w:r>
    </w:p>
    <w:p>
      <w:pPr>
        <w:pStyle w:val="ListParagraph"/>
        <w:numPr>
          <w:ilvl w:val="0"/>
          <w:numId w:val="3"/>
        </w:numPr>
        <w:spacing w:after="100" w:line="300"/>
      </w:pPr>
      <w:r>
        <w:rPr>
          <w:sz w:val="22"/>
          <w:szCs w:val="22"/>
        </w:rPr>
        <w:t xml:space="preserve">RID verifies the claim against the journal/conference indexing database within 10 working days.</w:t>
      </w:r>
    </w:p>
    <w:p>
      <w:pPr>
        <w:pStyle w:val="ListParagraph"/>
        <w:numPr>
          <w:ilvl w:val="0"/>
          <w:numId w:val="3"/>
        </w:numPr>
        <w:spacing w:after="100" w:line="300"/>
      </w:pPr>
      <w:r>
        <w:rPr>
          <w:sz w:val="22"/>
          <w:szCs w:val="22"/>
        </w:rPr>
        <w:t xml:space="preserve">Approved incentive is credited to the faculty member's salary account in the following payroll cycle.</w:t>
      </w:r>
    </w:p>
    <w:p>
      <w:pPr>
        <w:pStyle w:val="Heading1"/>
        <w:spacing w:after="160" w:before="340"/>
      </w:pPr>
      <w:r>
        <w:rPr>
          <w:b/>
          <w:bCs/>
          <w:color w:val="1B2A5B"/>
        </w:rPr>
        <w:t xml:space="preserve">9. Conference Travel Grant</w:t>
      </w:r>
    </w:p>
    <w:p>
      <w:pPr>
        <w:spacing w:after="160" w:line="300"/>
      </w:pPr>
      <w:r>
        <w:rPr>
          <w:sz w:val="22"/>
          <w:szCs w:val="22"/>
        </w:rPr>
        <w:t xml:space="preserve">Faculty members and PhD scholars presenting a paper at an international conference are eligible for a travel grant of up to ₹75,000 (domestic conferences: up to ₹15,000), subject to prior approval from the Dean of Research and availability of budget for the financial year.</w:t>
      </w:r>
    </w:p>
    <w:p>
      <w:pPr>
        <w:pStyle w:val="Heading1"/>
        <w:spacing w:after="160" w:before="340"/>
      </w:pPr>
      <w:r>
        <w:rPr>
          <w:b/>
          <w:bCs/>
          <w:color w:val="1B2A5B"/>
        </w:rPr>
        <w:t xml:space="preserve">10. Plagiarism &amp; Retraction Clause</w:t>
      </w:r>
    </w:p>
    <w:p>
      <w:pPr>
        <w:spacing w:after="160" w:line="300"/>
      </w:pPr>
      <w:r>
        <w:rPr>
          <w:sz w:val="22"/>
          <w:szCs w:val="22"/>
        </w:rPr>
        <w:t xml:space="preserve">Any publication found to be plagiarised, retracted, or published in a predatory/UGC-blacklisted journal after incentive disbursement will result in recovery of the incentive amount and referral to the Research Integrity Committee, which may recommend further disciplinary action.</w:t>
      </w:r>
    </w:p>
    <w:p>
      <w:pPr>
        <w:pStyle w:val="Heading1"/>
        <w:spacing w:after="160" w:before="340"/>
      </w:pPr>
      <w:r>
        <w:rPr>
          <w:b/>
          <w:bCs/>
          <w:color w:val="1B2A5B"/>
        </w:rPr>
        <w:t xml:space="preserve">11. International Collaboration Grants</w:t>
      </w:r>
    </w:p>
    <w:p>
      <w:pPr>
        <w:spacing w:after="160" w:line="300"/>
      </w:pPr>
      <w:r>
        <w:rPr>
          <w:sz w:val="22"/>
          <w:szCs w:val="22"/>
        </w:rPr>
        <w:t xml:space="preserve">Faculty members initiating joint research with an international partner institution may apply for a Collaboration Seed Grant of up to ₹3,00,000 to support preliminary joint work, exchange visits, and joint publication costs, subject to a signed MoU between K.R. Mangalam University and the partner institution.</w:t>
      </w:r>
    </w:p>
    <w:p>
      <w:pPr>
        <w:pStyle w:val="Heading1"/>
        <w:spacing w:after="160" w:before="340"/>
      </w:pPr>
      <w:r>
        <w:rPr>
          <w:b/>
          <w:bCs/>
          <w:color w:val="1B2A5B"/>
        </w:rPr>
        <w:t xml:space="preserve">12. Annual Research Excellence Awards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Award 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Recognition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Best Researcher of the Year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₹1,00,000 + Citation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Best PhD Thesis of the Year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₹50,000 + Citation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Most Impactful Industry Collaboration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₹50,000 + Citation</w:t>
            </w:r>
          </w:p>
        </w:tc>
      </w:tr>
    </w:tbl>
    <w:p>
      <w:pPr>
        <w:spacing w:after="160"/>
      </w:pPr>
    </w:p>
    <w:p>
      <w:pPr>
        <w:pStyle w:val="Heading1"/>
        <w:spacing w:after="160" w:before="340"/>
      </w:pPr>
      <w:r>
        <w:rPr>
          <w:b/>
          <w:bCs/>
          <w:color w:val="1B2A5B"/>
        </w:rPr>
        <w:t xml:space="preserve">13. Frequently Asked Questions</w:t>
      </w:r>
    </w:p>
    <w:p>
      <w:pPr>
        <w:spacing w:after="60" w:before="180"/>
      </w:pPr>
      <w:r>
        <w:rPr>
          <w:b/>
          <w:bCs/>
          <w:sz w:val="22"/>
          <w:szCs w:val="22"/>
        </w:rPr>
        <w:t xml:space="preserve">Q1. Can PhD scholars claim publication incentives independently of their supervisor?</w:t>
      </w:r>
    </w:p>
    <w:p>
      <w:pPr>
        <w:spacing w:after="100" w:line="300"/>
      </w:pPr>
      <w:r>
        <w:rPr>
          <w:sz w:val="22"/>
          <w:szCs w:val="22"/>
        </w:rPr>
        <w:t xml:space="preserve">A: Yes, provided the scholar is a KRMU-affiliated author; the incentive is shared proportionally between scholar and supervisor(s) as per co-authorship.</w:t>
      </w:r>
    </w:p>
    <w:p>
      <w:pPr>
        <w:spacing w:after="60" w:before="180"/>
      </w:pPr>
      <w:r>
        <w:rPr>
          <w:b/>
          <w:bCs/>
          <w:sz w:val="22"/>
          <w:szCs w:val="22"/>
        </w:rPr>
        <w:t xml:space="preserve">Q2. Is there a cap on the number of claims per faculty member per year?</w:t>
      </w:r>
    </w:p>
    <w:p>
      <w:pPr>
        <w:spacing w:after="100" w:line="300"/>
      </w:pPr>
      <w:r>
        <w:rPr>
          <w:sz w:val="22"/>
          <w:szCs w:val="22"/>
        </w:rPr>
        <w:t xml:space="preserve">A: No annual cap exists, but each claim is independently verified for indexing status and originality before disbursement.</w:t>
      </w:r>
    </w:p>
    <w:p>
      <w:pPr>
        <w:spacing w:after="60" w:before="180"/>
      </w:pPr>
      <w:r>
        <w:rPr>
          <w:b/>
          <w:bCs/>
          <w:sz w:val="22"/>
          <w:szCs w:val="22"/>
        </w:rPr>
        <w:t xml:space="preserve">Q3. What is the processing time for a research incentive claim?</w:t>
      </w:r>
    </w:p>
    <w:p>
      <w:pPr>
        <w:spacing w:after="100" w:line="300"/>
      </w:pPr>
      <w:r>
        <w:rPr>
          <w:sz w:val="22"/>
          <w:szCs w:val="22"/>
        </w:rPr>
        <w:t xml:space="preserve">A: Typically 10 working days for verification, followed by disbursement in the next payroll cycle.</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Research &amp; Innovation Division</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Ramesh Iyer, Dean of Research</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research@krmangalam.edu.in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Patent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Shalini Verma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patents@krmangalam.edu.in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Research Incentive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2026-08-08T07:54:30.041Z</dcterms:created>
  <dcterms:modified xsi:type="dcterms:W3CDTF">2026-08-08T07:54:30.041Z</dcterms:modified>
</cp:coreProperties>
</file>

<file path=docProps/custom.xml><?xml version="1.0" encoding="utf-8"?>
<Properties xmlns="http://schemas.openxmlformats.org/officeDocument/2006/custom-properties" xmlns:vt="http://schemas.openxmlformats.org/officeDocument/2006/docPropsVTypes"/>
</file>