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jc w:val="center"/>
      </w:pPr>
      <w:r>
        <w:rPr>
          <w:b/>
          <w:bCs/>
          <w:color w:val="1B2A5B"/>
          <w:sz w:val="40"/>
          <w:szCs w:val="40"/>
        </w:rPr>
        <w:t xml:space="preserve">K.R. MANGALAM UNIVERSITY</w:t>
      </w:r>
    </w:p>
    <w:p>
      <w:pPr>
        <w:spacing w:after="300"/>
        <w:jc w:val="center"/>
      </w:pPr>
      <w:r>
        <w:rPr>
          <w:color w:val="666666"/>
          <w:sz w:val="18"/>
          <w:szCs w:val="18"/>
        </w:rPr>
        <w:t xml:space="preserve">Sohna Road, Gurugram, Haryana – 122103 | www.krmangalam.edu.in</w:t>
      </w:r>
    </w:p>
    <w:p>
      <w:pPr>
        <w:pBdr>
          <w:top w:val="single" w:color="B08D2B" w:sz="6"/>
          <w:bottom w:val="single" w:color="B08D2B" w:sz="6"/>
        </w:pBdr>
        <w:spacing w:after="200" w:before="200"/>
      </w:pPr>
      <w:r>
        <w:t xml:space="preserve"/>
      </w:r>
    </w:p>
    <w:p>
      <w:pPr>
        <w:spacing w:before="600"/>
      </w:pPr>
      <w:r>
        <w:t xml:space="preserve"/>
      </w:r>
    </w:p>
    <w:p>
      <w:pPr>
        <w:spacing w:after="200"/>
        <w:jc w:val="center"/>
      </w:pPr>
      <w:r>
        <w:rPr>
          <w:b/>
          <w:bCs/>
          <w:color w:val="B08D2B"/>
          <w:sz w:val="24"/>
          <w:szCs w:val="24"/>
        </w:rPr>
        <w:t xml:space="preserve">OFFICIAL POLICY DOCUMENT</w:t>
      </w:r>
    </w:p>
    <w:p>
      <w:pPr>
        <w:spacing w:after="600"/>
        <w:jc w:val="center"/>
      </w:pPr>
      <w:r>
        <w:rPr>
          <w:b/>
          <w:bCs/>
          <w:sz w:val="44"/>
          <w:szCs w:val="44"/>
        </w:rPr>
        <w:t xml:space="preserve">Student &amp; Faculty Grievance Redressal Policy</w:t>
      </w:r>
    </w:p>
    <w:p>
      <w:pPr>
        <w:spacing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B2A5B" w:val="clear"/>
            <w:tcMar>
              <w:top w:type="dxa" w:w="80"/>
              <w:left w:type="dxa" w:w="100"/>
              <w:bottom w:type="dxa" w:w="80"/>
              <w:right w:type="dxa" w:w="100"/>
            </w:tcMar>
            <w:vAlign w:val="center"/>
          </w:tcPr>
          <w:p>
            <w:pPr>
              <w:jc w:val="left"/>
            </w:pPr>
            <w:r>
              <w:rPr>
                <w:b/>
                <w:bCs/>
                <w:color w:val="FFFFFF"/>
                <w:sz w:val="21"/>
                <w:szCs w:val="21"/>
              </w:rPr>
              <w:t xml:space="preserve">Field</w:t>
            </w:r>
          </w:p>
        </w:tc>
        <w:tc>
          <w:tcPr>
            <w:tcW w:type="dxa" w:w="6360"/>
            <w:shd w:fill="1B2A5B" w:val="clear"/>
            <w:tcMar>
              <w:top w:type="dxa" w:w="80"/>
              <w:left w:type="dxa" w:w="100"/>
              <w:bottom w:type="dxa" w:w="80"/>
              <w:right w:type="dxa" w:w="100"/>
            </w:tcMar>
            <w:vAlign w:val="center"/>
          </w:tcPr>
          <w:p>
            <w:pPr>
              <w:jc w:val="left"/>
            </w:pPr>
            <w:r>
              <w:rPr>
                <w:b/>
                <w:bCs/>
                <w:color w:val="FFFFFF"/>
                <w:sz w:val="21"/>
                <w:szCs w:val="21"/>
              </w:rPr>
              <w:t xml:space="preserve">Detail</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Notice Number</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KRMU/GRC/POL/2026-27/008</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Effective Date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1 July 2026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Version</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Version 2.0</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Approved By</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Office of the Registrar, K.R. Mangalam University</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Applicable To</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All students, faculty, and staff, Academic Session 2026–2027</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Review Cycle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Annual, or as directed by the Academic Council</w:t>
            </w:r>
          </w:p>
        </w:tc>
      </w:tr>
    </w:tbl>
    <w:p>
      <w:r>
        <w:br w:type="page"/>
      </w:r>
    </w:p>
    <w:p>
      <w:pPr>
        <w:pStyle w:val="Heading1"/>
        <w:spacing w:after="160" w:before="340"/>
      </w:pPr>
      <w:r>
        <w:rPr>
          <w:b/>
          <w:bCs/>
          <w:color w:val="1B2A5B"/>
        </w:rPr>
        <w:t xml:space="preserve">Document Control &amp; Revision History</w:t>
      </w:r>
    </w:p>
    <w:p>
      <w:pPr>
        <w:spacing w:after="160" w:line="300"/>
      </w:pPr>
      <w:r>
        <w:rPr>
          <w:sz w:val="22"/>
          <w:szCs w:val="22"/>
        </w:rPr>
        <w:t xml:space="preserve">This document, "Student &amp; Faculty Grievance Redressal Policy," is maintained by the concerned administrative office of K.R. Mangalam University and is subject to periodic review. The table below records the revision history of this document under notice number KRMU/GRC/POL/2026-27/008.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400"/>
        <w:gridCol w:w="1660"/>
      </w:tblGrid>
      <w:tr>
        <w:tc>
          <w:tcPr>
            <w:tcW w:type="dxa" w:w="1400"/>
            <w:shd w:fill="1B2A5B" w:val="clear"/>
            <w:tcMar>
              <w:top w:type="dxa" w:w="80"/>
              <w:left w:type="dxa" w:w="100"/>
              <w:bottom w:type="dxa" w:w="80"/>
              <w:right w:type="dxa" w:w="100"/>
            </w:tcMar>
            <w:vAlign w:val="center"/>
          </w:tcPr>
          <w:p>
            <w:pPr>
              <w:jc w:val="left"/>
            </w:pPr>
            <w:r>
              <w:rPr>
                <w:b/>
                <w:bCs/>
                <w:color w:val="FFFFFF"/>
                <w:sz w:val="21"/>
                <w:szCs w:val="21"/>
              </w:rPr>
              <w:t xml:space="preserve">Version</w:t>
            </w:r>
          </w:p>
        </w:tc>
        <w:tc>
          <w:tcPr>
            <w:tcW w:type="dxa" w:w="1900"/>
            <w:shd w:fill="1B2A5B" w:val="clear"/>
            <w:tcMar>
              <w:top w:type="dxa" w:w="80"/>
              <w:left w:type="dxa" w:w="100"/>
              <w:bottom w:type="dxa" w:w="80"/>
              <w:right w:type="dxa" w:w="100"/>
            </w:tcMar>
            <w:vAlign w:val="center"/>
          </w:tcPr>
          <w:p>
            <w:pPr>
              <w:jc w:val="left"/>
            </w:pPr>
            <w:r>
              <w:rPr>
                <w:b/>
                <w:bCs/>
                <w:color w:val="FFFFFF"/>
                <w:sz w:val="21"/>
                <w:szCs w:val="21"/>
              </w:rPr>
              <w:t xml:space="preserve">Date</w:t>
            </w:r>
          </w:p>
        </w:tc>
        <w:tc>
          <w:tcPr>
            <w:tcW w:type="dxa" w:w="4400"/>
            <w:shd w:fill="1B2A5B" w:val="clear"/>
            <w:tcMar>
              <w:top w:type="dxa" w:w="80"/>
              <w:left w:type="dxa" w:w="100"/>
              <w:bottom w:type="dxa" w:w="80"/>
              <w:right w:type="dxa" w:w="100"/>
            </w:tcMar>
            <w:vAlign w:val="center"/>
          </w:tcPr>
          <w:p>
            <w:pPr>
              <w:jc w:val="left"/>
            </w:pPr>
            <w:r>
              <w:rPr>
                <w:b/>
                <w:bCs/>
                <w:color w:val="FFFFFF"/>
                <w:sz w:val="21"/>
                <w:szCs w:val="21"/>
              </w:rPr>
              <w:t xml:space="preserve">Summary of Change</w:t>
            </w:r>
          </w:p>
        </w:tc>
        <w:tc>
          <w:tcPr>
            <w:tcW w:type="dxa" w:w="1660"/>
            <w:shd w:fill="1B2A5B" w:val="clear"/>
            <w:tcMar>
              <w:top w:type="dxa" w:w="80"/>
              <w:left w:type="dxa" w:w="100"/>
              <w:bottom w:type="dxa" w:w="80"/>
              <w:right w:type="dxa" w:w="100"/>
            </w:tcMar>
            <w:vAlign w:val="center"/>
          </w:tcPr>
          <w:p>
            <w:pPr>
              <w:jc w:val="left"/>
            </w:pPr>
            <w:r>
              <w:rPr>
                <w:b/>
                <w:bCs/>
                <w:color w:val="FFFFFF"/>
                <w:sz w:val="21"/>
                <w:szCs w:val="21"/>
              </w:rPr>
              <w:t xml:space="preserve">Approved By</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15 June 2024</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Initial release for Academic Session 2024–2025</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10 June 2025</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updated fee/fine figures and contact details</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 July 2026</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for Academic Session 2026–2027; policy realigned with current ERP workflow</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Office of the Registrar</w:t>
            </w:r>
          </w:p>
        </w:tc>
      </w:tr>
    </w:tbl>
    <w:p>
      <w:pPr>
        <w:spacing w:after="160"/>
      </w:pPr>
    </w:p>
    <w:p>
      <w:pPr>
        <w:pStyle w:val="Heading1"/>
        <w:spacing w:after="160" w:before="340"/>
      </w:pPr>
      <w:r>
        <w:rPr>
          <w:b/>
          <w:bCs/>
          <w:color w:val="1B2A5B"/>
        </w:rPr>
        <w:t xml:space="preserve">Related Documents</w:t>
      </w:r>
    </w:p>
    <w:p>
      <w:pPr>
        <w:spacing w:after="160" w:line="300"/>
      </w:pPr>
      <w:r>
        <w:rPr>
          <w:sz w:val="22"/>
          <w:szCs w:val="22"/>
        </w:rPr>
        <w:t xml:space="preserve">Readers of "Grievance Redressal Policy 2026–27" should also refer to the following related official documents for a complete understanding of University policy:</w:t>
      </w:r>
    </w:p>
    <w:p>
      <w:pPr>
        <w:pStyle w:val="ListParagraph"/>
        <w:numPr>
          <w:ilvl w:val="0"/>
          <w:numId w:val="2"/>
        </w:numPr>
        <w:spacing w:after="100" w:line="300"/>
      </w:pPr>
      <w:r>
        <w:rPr>
          <w:sz w:val="22"/>
          <w:szCs w:val="22"/>
        </w:rPr>
        <w:t xml:space="preserve">University Attendance Policy (Academic Session 2026–2027)</w:t>
      </w:r>
    </w:p>
    <w:p>
      <w:pPr>
        <w:pStyle w:val="ListParagraph"/>
        <w:numPr>
          <w:ilvl w:val="0"/>
          <w:numId w:val="2"/>
        </w:numPr>
        <w:spacing w:after="100" w:line="300"/>
      </w:pPr>
      <w:r>
        <w:rPr>
          <w:sz w:val="22"/>
          <w:szCs w:val="22"/>
        </w:rPr>
        <w:t xml:space="preserve">Examination Rules &amp; Evaluation Policy (2026–2027)</w:t>
      </w:r>
    </w:p>
    <w:p>
      <w:pPr>
        <w:pStyle w:val="ListParagraph"/>
        <w:numPr>
          <w:ilvl w:val="0"/>
          <w:numId w:val="2"/>
        </w:numPr>
        <w:spacing w:after="100" w:line="300"/>
      </w:pPr>
      <w:r>
        <w:rPr>
          <w:sz w:val="22"/>
          <w:szCs w:val="22"/>
        </w:rPr>
        <w:t xml:space="preserve">Student Code of Conduct &amp; Discipline Policy</w:t>
      </w:r>
    </w:p>
    <w:p>
      <w:pPr>
        <w:pStyle w:val="ListParagraph"/>
        <w:numPr>
          <w:ilvl w:val="0"/>
          <w:numId w:val="2"/>
        </w:numPr>
        <w:spacing w:after="100" w:line="300"/>
      </w:pPr>
      <w:r>
        <w:rPr>
          <w:sz w:val="22"/>
          <w:szCs w:val="22"/>
        </w:rPr>
        <w:t xml:space="preserve">Hostel Rules &amp; Residential Handbook (2026–2027)</w:t>
      </w:r>
    </w:p>
    <w:p>
      <w:pPr>
        <w:pStyle w:val="ListParagraph"/>
        <w:numPr>
          <w:ilvl w:val="0"/>
          <w:numId w:val="2"/>
        </w:numPr>
        <w:spacing w:after="100" w:line="300"/>
      </w:pPr>
      <w:r>
        <w:rPr>
          <w:sz w:val="22"/>
          <w:szCs w:val="22"/>
        </w:rPr>
        <w:t xml:space="preserve">Campus IT Services &amp; Digital Identity Guide</w:t>
      </w:r>
    </w:p>
    <w:p>
      <w:pPr>
        <w:spacing w:after="160" w:line="300"/>
      </w:pPr>
      <w:r>
        <w:rPr>
          <w:sz w:val="22"/>
          <w:szCs w:val="22"/>
        </w:rPr>
        <w:t xml:space="preserve">Where any provision of this document conflicts with a related policy listed above, the more recently notified document shall prevail, unless otherwise specified by the Office of the Registrar.</w:t>
      </w:r>
    </w:p>
    <w:p>
      <w:pPr>
        <w:pStyle w:val="Heading1"/>
        <w:spacing w:after="160" w:before="340"/>
      </w:pPr>
      <w:r>
        <w:rPr>
          <w:b/>
          <w:bCs/>
          <w:color w:val="1B2A5B"/>
        </w:rPr>
        <w:t xml:space="preserve">1. Purpose</w:t>
      </w:r>
    </w:p>
    <w:p>
      <w:pPr>
        <w:spacing w:after="160" w:line="300"/>
      </w:pPr>
      <w:r>
        <w:rPr>
          <w:sz w:val="22"/>
          <w:szCs w:val="22"/>
        </w:rPr>
        <w:t xml:space="preserve">This policy establishes the mechanism for lodging, processing, and resolving grievances raised by students and faculty at K.R. Mangalam University, in compliance with the UGC (Grievance Redressal) Regulations, 2023, ensuring a fair, timely, and transparent resolution process.</w:t>
      </w:r>
    </w:p>
    <w:p>
      <w:pPr>
        <w:pStyle w:val="Heading1"/>
        <w:spacing w:after="160" w:before="340"/>
      </w:pPr>
      <w:r>
        <w:rPr>
          <w:b/>
          <w:bCs/>
          <w:color w:val="1B2A5B"/>
        </w:rPr>
        <w:t xml:space="preserve">2. Scope of Grievances Covered</w:t>
      </w:r>
    </w:p>
    <w:p>
      <w:pPr>
        <w:pStyle w:val="ListParagraph"/>
        <w:numPr>
          <w:ilvl w:val="0"/>
          <w:numId w:val="2"/>
        </w:numPr>
        <w:spacing w:after="100" w:line="300"/>
      </w:pPr>
      <w:r>
        <w:rPr>
          <w:sz w:val="22"/>
          <w:szCs w:val="22"/>
        </w:rPr>
        <w:t xml:space="preserve">Academic matters: evaluation disputes, delay in results, denial of admission benefits.</w:t>
      </w:r>
    </w:p>
    <w:p>
      <w:pPr>
        <w:pStyle w:val="ListParagraph"/>
        <w:numPr>
          <w:ilvl w:val="0"/>
          <w:numId w:val="2"/>
        </w:numPr>
        <w:spacing w:after="100" w:line="300"/>
      </w:pPr>
      <w:r>
        <w:rPr>
          <w:sz w:val="22"/>
          <w:szCs w:val="22"/>
        </w:rPr>
        <w:t xml:space="preserve">Administrative matters: fee-related issues, ERP/ID card errors, hostel allocation disputes.</w:t>
      </w:r>
    </w:p>
    <w:p>
      <w:pPr>
        <w:pStyle w:val="ListParagraph"/>
        <w:numPr>
          <w:ilvl w:val="0"/>
          <w:numId w:val="2"/>
        </w:numPr>
        <w:spacing w:after="100" w:line="300"/>
      </w:pPr>
      <w:r>
        <w:rPr>
          <w:sz w:val="22"/>
          <w:szCs w:val="22"/>
        </w:rPr>
        <w:t xml:space="preserve">Harassment or discrimination not covered under the Internal Complaints Committee (sexual harassment cases are routed separately per Section 8).</w:t>
      </w:r>
    </w:p>
    <w:p>
      <w:pPr>
        <w:pStyle w:val="ListParagraph"/>
        <w:numPr>
          <w:ilvl w:val="0"/>
          <w:numId w:val="2"/>
        </w:numPr>
        <w:spacing w:after="100" w:line="300"/>
      </w:pPr>
      <w:r>
        <w:rPr>
          <w:sz w:val="22"/>
          <w:szCs w:val="22"/>
        </w:rPr>
        <w:t xml:space="preserve">Victimisation of a student/employee for a previously filed grievance.</w:t>
      </w:r>
    </w:p>
    <w:p>
      <w:pPr>
        <w:pStyle w:val="Heading1"/>
        <w:spacing w:after="160" w:before="340"/>
      </w:pPr>
      <w:r>
        <w:rPr>
          <w:b/>
          <w:bCs/>
          <w:color w:val="1B2A5B"/>
        </w:rPr>
        <w:t xml:space="preserve">3. Grievance Redressal Committee (GRC)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Role</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Member</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Chairperson</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Dean of Students Welfare / designated Pro Vice Chancellor nominee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Faculty Representative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One senior faculty member per School</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Student Representative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Elected student council member</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External Member</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Independent member nominated by the Vice Chancellor</w:t>
            </w:r>
          </w:p>
        </w:tc>
      </w:tr>
    </w:tbl>
    <w:p>
      <w:pPr>
        <w:spacing w:after="160"/>
      </w:pPr>
    </w:p>
    <w:p>
      <w:pPr>
        <w:pStyle w:val="Heading1"/>
        <w:spacing w:after="160" w:before="340"/>
      </w:pPr>
      <w:r>
        <w:rPr>
          <w:b/>
          <w:bCs/>
          <w:color w:val="1B2A5B"/>
        </w:rPr>
        <w:t xml:space="preserve">4. Filing a Grievance</w:t>
      </w:r>
    </w:p>
    <w:p>
      <w:pPr>
        <w:pStyle w:val="ListParagraph"/>
        <w:numPr>
          <w:ilvl w:val="0"/>
          <w:numId w:val="3"/>
        </w:numPr>
        <w:spacing w:after="100" w:line="300"/>
      </w:pPr>
      <w:r>
        <w:rPr>
          <w:sz w:val="22"/>
          <w:szCs w:val="22"/>
        </w:rPr>
        <w:t xml:space="preserve">Submit the grievance via the ERP Grievance Module, in writing, or through the designated grievance email address.</w:t>
      </w:r>
    </w:p>
    <w:p>
      <w:pPr>
        <w:pStyle w:val="ListParagraph"/>
        <w:numPr>
          <w:ilvl w:val="0"/>
          <w:numId w:val="3"/>
        </w:numPr>
        <w:spacing w:after="100" w:line="300"/>
      </w:pPr>
      <w:r>
        <w:rPr>
          <w:sz w:val="22"/>
          <w:szCs w:val="22"/>
        </w:rPr>
        <w:t xml:space="preserve">Provide a clear description of the issue, supporting documents, and desired resolution.</w:t>
      </w:r>
    </w:p>
    <w:p>
      <w:pPr>
        <w:pStyle w:val="ListParagraph"/>
        <w:numPr>
          <w:ilvl w:val="0"/>
          <w:numId w:val="3"/>
        </w:numPr>
        <w:spacing w:after="100" w:line="300"/>
      </w:pPr>
      <w:r>
        <w:rPr>
          <w:sz w:val="22"/>
          <w:szCs w:val="22"/>
        </w:rPr>
        <w:t xml:space="preserve">Anonymous grievances are accepted but may limit the extent of investigation possible.</w:t>
      </w:r>
    </w:p>
    <w:p>
      <w:pPr>
        <w:pStyle w:val="Heading1"/>
        <w:spacing w:after="160" w:before="340"/>
      </w:pPr>
      <w:r>
        <w:rPr>
          <w:b/>
          <w:bCs/>
          <w:color w:val="1B2A5B"/>
        </w:rPr>
        <w:t xml:space="preserve">5. Acknowledgement &amp;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Stage</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Timeline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Acknowledgement of receipt</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Within 48 hours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Preliminary assessment</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Within 5 working days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Investigation &amp; hearing (if required)</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Within 15 working days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Final resolution communicated</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Within 30 working days of filing</w:t>
            </w:r>
          </w:p>
        </w:tc>
      </w:tr>
    </w:tbl>
    <w:p>
      <w:pPr>
        <w:spacing w:after="160"/>
      </w:pPr>
    </w:p>
    <w:p>
      <w:pPr>
        <w:pStyle w:val="Heading1"/>
        <w:spacing w:after="160" w:before="340"/>
      </w:pPr>
      <w:r>
        <w:rPr>
          <w:b/>
          <w:bCs/>
          <w:color w:val="1B2A5B"/>
        </w:rPr>
        <w:t xml:space="preserve">6. Informal Resolution</w:t>
      </w:r>
    </w:p>
    <w:p>
      <w:pPr>
        <w:spacing w:after="160" w:line="300"/>
      </w:pPr>
      <w:r>
        <w:rPr>
          <w:sz w:val="22"/>
          <w:szCs w:val="22"/>
        </w:rPr>
        <w:t xml:space="preserve">Where feasible, the GRC first attempts informal resolution through mediation between the concerned parties, typically for minor academic or administrative grievances, before proceeding to a formal hearing.</w:t>
      </w:r>
    </w:p>
    <w:p>
      <w:pPr>
        <w:pStyle w:val="Heading1"/>
        <w:spacing w:after="160" w:before="340"/>
      </w:pPr>
      <w:r>
        <w:rPr>
          <w:b/>
          <w:bCs/>
          <w:color w:val="1B2A5B"/>
        </w:rPr>
        <w:t xml:space="preserve">7. Formal Hearing Process</w:t>
      </w:r>
    </w:p>
    <w:p>
      <w:pPr>
        <w:pStyle w:val="ListParagraph"/>
        <w:numPr>
          <w:ilvl w:val="0"/>
          <w:numId w:val="2"/>
        </w:numPr>
        <w:spacing w:after="100" w:line="300"/>
      </w:pPr>
      <w:r>
        <w:rPr>
          <w:sz w:val="22"/>
          <w:szCs w:val="22"/>
        </w:rPr>
        <w:t xml:space="preserve">Both parties are given an opportunity to present their case in person or in writing before the GRC.</w:t>
      </w:r>
    </w:p>
    <w:p>
      <w:pPr>
        <w:pStyle w:val="ListParagraph"/>
        <w:numPr>
          <w:ilvl w:val="0"/>
          <w:numId w:val="2"/>
        </w:numPr>
        <w:spacing w:after="100" w:line="300"/>
      </w:pPr>
      <w:r>
        <w:rPr>
          <w:sz w:val="22"/>
          <w:szCs w:val="22"/>
        </w:rPr>
        <w:t xml:space="preserve">The GRC may call for additional documents, witness statements, or departmental records as needed.</w:t>
      </w:r>
    </w:p>
    <w:p>
      <w:pPr>
        <w:pStyle w:val="ListParagraph"/>
        <w:numPr>
          <w:ilvl w:val="0"/>
          <w:numId w:val="2"/>
        </w:numPr>
        <w:spacing w:after="100" w:line="300"/>
      </w:pPr>
      <w:r>
        <w:rPr>
          <w:sz w:val="22"/>
          <w:szCs w:val="22"/>
        </w:rPr>
        <w:t xml:space="preserve">A written decision, with reasons, is issued to all parties upon conclusion of the hearing.</w:t>
      </w:r>
    </w:p>
    <w:p>
      <w:pPr>
        <w:pStyle w:val="Heading1"/>
        <w:spacing w:after="160" w:before="340"/>
      </w:pPr>
      <w:r>
        <w:rPr>
          <w:b/>
          <w:bCs/>
          <w:color w:val="1B2A5B"/>
        </w:rPr>
        <w:t xml:space="preserve">8. Sexual Harassment Complaints</w:t>
      </w:r>
    </w:p>
    <w:p>
      <w:pPr>
        <w:spacing w:after="160" w:line="300"/>
      </w:pPr>
      <w:r>
        <w:rPr>
          <w:sz w:val="22"/>
          <w:szCs w:val="22"/>
        </w:rPr>
        <w:t xml:space="preserve">Complaints of sexual harassment are not handled by the GRC and must be routed directly to the Internal Complaints Committee (ICC), constituted under the UGC (Prevention, Prohibition and Redressal of Sexual Harassment of Women Employees and Students) Regulations, 2015. Contact icc@krmangalam.edu.in.</w:t>
      </w:r>
    </w:p>
    <w:p>
      <w:pPr>
        <w:pStyle w:val="Heading1"/>
        <w:spacing w:after="160" w:before="340"/>
      </w:pPr>
      <w:r>
        <w:rPr>
          <w:b/>
          <w:bCs/>
          <w:color w:val="1B2A5B"/>
        </w:rPr>
        <w:t xml:space="preserve">9. Appeal Process</w:t>
      </w:r>
    </w:p>
    <w:p>
      <w:pPr>
        <w:spacing w:after="160" w:line="300"/>
      </w:pPr>
      <w:r>
        <w:rPr>
          <w:sz w:val="22"/>
          <w:szCs w:val="22"/>
        </w:rPr>
        <w:t xml:space="preserve">A party dissatisfied with the GRC's decision may appeal to the Ombudsperson (appointed as per UGC Regulations) within 15 days of the decision. The Ombudsperson's decision, rendered within 30 days of the appeal, is final and binding on the University.</w:t>
      </w:r>
    </w:p>
    <w:p>
      <w:pPr>
        <w:pStyle w:val="Heading1"/>
        <w:spacing w:after="160" w:before="340"/>
      </w:pPr>
      <w:r>
        <w:rPr>
          <w:b/>
          <w:bCs/>
          <w:color w:val="1B2A5B"/>
        </w:rPr>
        <w:t xml:space="preserve">10. Anti-Victimisation Clause</w:t>
      </w:r>
    </w:p>
    <w:p>
      <w:pPr>
        <w:spacing w:after="160" w:line="300"/>
      </w:pPr>
      <w:r>
        <w:rPr>
          <w:sz w:val="22"/>
          <w:szCs w:val="22"/>
        </w:rPr>
        <w:t xml:space="preserve">No student or employee shall be subjected to victimisation, retaliation, or adverse academic/employment action for having filed a grievance in good faith. Any reported instance of victimisation is treated as a severe disciplinary matter under the Student Code of Conduct or applicable HR policy.</w:t>
      </w:r>
    </w:p>
    <w:p>
      <w:pPr>
        <w:pStyle w:val="Heading1"/>
        <w:spacing w:after="160" w:before="340"/>
      </w:pPr>
      <w:r>
        <w:rPr>
          <w:b/>
          <w:bCs/>
          <w:color w:val="1B2A5B"/>
        </w:rPr>
        <w:t xml:space="preserve">11. Confidentiality</w:t>
      </w:r>
    </w:p>
    <w:p>
      <w:pPr>
        <w:spacing w:after="160" w:line="300"/>
      </w:pPr>
      <w:r>
        <w:rPr>
          <w:sz w:val="22"/>
          <w:szCs w:val="22"/>
        </w:rPr>
        <w:t xml:space="preserve">All grievance records, hearings, and communications are treated as strictly confidential and are accessible only to the GRC members, the concerned parties, and the Office of the Registrar for record-keeping purposes.</w:t>
      </w:r>
    </w:p>
    <w:p>
      <w:pPr>
        <w:pStyle w:val="Heading1"/>
        <w:spacing w:after="160" w:before="340"/>
      </w:pPr>
      <w:r>
        <w:rPr>
          <w:b/>
          <w:bCs/>
          <w:color w:val="1B2A5B"/>
        </w:rPr>
        <w:t xml:space="preserve">12. Annual Grievance Report</w:t>
      </w:r>
    </w:p>
    <w:p>
      <w:pPr>
        <w:spacing w:after="160" w:line="300"/>
      </w:pPr>
      <w:r>
        <w:rPr>
          <w:sz w:val="22"/>
          <w:szCs w:val="22"/>
        </w:rPr>
        <w:t xml:space="preserve">The GRC compiles an anonymised annual report summarising the number, nature, and resolution status of grievances filed during the academic year, presented to the Academic Council and published on the University's grievance transparency page as required under UGC Regulations, 2023.</w:t>
      </w:r>
    </w:p>
    <w:p>
      <w:pPr>
        <w:pStyle w:val="Heading1"/>
        <w:spacing w:after="160" w:before="340"/>
      </w:pPr>
      <w:r>
        <w:rPr>
          <w:b/>
          <w:bCs/>
          <w:color w:val="1B2A5B"/>
        </w:rPr>
        <w:t xml:space="preserve">13. Frequently Asked Questions</w:t>
      </w:r>
    </w:p>
    <w:p>
      <w:pPr>
        <w:spacing w:after="60" w:before="180"/>
      </w:pPr>
      <w:r>
        <w:rPr>
          <w:b/>
          <w:bCs/>
          <w:sz w:val="22"/>
          <w:szCs w:val="22"/>
        </w:rPr>
        <w:t xml:space="preserve">Q1. Can I file a grievance anonymously?</w:t>
      </w:r>
    </w:p>
    <w:p>
      <w:pPr>
        <w:spacing w:after="100" w:line="300"/>
      </w:pPr>
      <w:r>
        <w:rPr>
          <w:sz w:val="22"/>
          <w:szCs w:val="22"/>
        </w:rPr>
        <w:t xml:space="preserve">A: Yes, though anonymous grievances may limit the GRC's ability to fully investigate or follow up for clarification.</w:t>
      </w:r>
    </w:p>
    <w:p>
      <w:pPr>
        <w:spacing w:after="60" w:before="180"/>
      </w:pPr>
      <w:r>
        <w:rPr>
          <w:b/>
          <w:bCs/>
          <w:sz w:val="22"/>
          <w:szCs w:val="22"/>
        </w:rPr>
        <w:t xml:space="preserve">Q2. What is the difference between the GRC and the ICC?</w:t>
      </w:r>
    </w:p>
    <w:p>
      <w:pPr>
        <w:spacing w:after="100" w:line="300"/>
      </w:pPr>
      <w:r>
        <w:rPr>
          <w:sz w:val="22"/>
          <w:szCs w:val="22"/>
        </w:rPr>
        <w:t xml:space="preserve">A: The GRC handles general academic, administrative, and non-sexual-harassment grievances; the ICC exclusively handles complaints of sexual harassment as per UGC Regulations, 2015.</w:t>
      </w:r>
    </w:p>
    <w:p>
      <w:pPr>
        <w:spacing w:after="60" w:before="180"/>
      </w:pPr>
      <w:r>
        <w:rPr>
          <w:b/>
          <w:bCs/>
          <w:sz w:val="22"/>
          <w:szCs w:val="22"/>
        </w:rPr>
        <w:t xml:space="preserve">Q3. Is there a fee for filing a grievance?</w:t>
      </w:r>
    </w:p>
    <w:p>
      <w:pPr>
        <w:spacing w:after="100" w:line="300"/>
      </w:pPr>
      <w:r>
        <w:rPr>
          <w:sz w:val="22"/>
          <w:szCs w:val="22"/>
        </w:rPr>
        <w:t xml:space="preserve">A: No, the grievance redressal process is entirely free of cost for students and employees.</w:t>
      </w:r>
    </w:p>
    <w:p>
      <w:pPr>
        <w:pStyle w:val="Heading1"/>
        <w:spacing w:after="160" w:before="340"/>
      </w:pPr>
      <w:r>
        <w:rPr>
          <w:b/>
          <w:bCs/>
          <w:color w:val="1B2A5B"/>
        </w:rPr>
        <w:t xml:space="preserve">14.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Office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Contact Person</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Email</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Grievance Redressal Committee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Dr. Manav Sethi (Chair)</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grievance@krmangalam.edu.in</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Ombudsperson</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Justice (Retd.) R.K. Sabharwal</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ombudsperson@krmangalam.edu.in</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B" w:sz="4"/>
      </w:pBdr>
      <w:spacing w:before="60"/>
      <w:jc w:val="center"/>
    </w:pPr>
    <w:r>
      <w:rPr>
        <w:color w:val="666666"/>
        <w:sz w:val="16"/>
        <w:szCs w:val="16"/>
      </w:rPr>
      <w:t xml:space="preserve">Office of the Registrar | K.R. Mangalam University | Confidential – For Internal &amp; Student Use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B" w:sz="4"/>
      </w:pBdr>
      <w:tabs>
        <w:tab w:val="right" w:pos="9360"/>
      </w:tabs>
      <w:spacing w:after="60"/>
    </w:pPr>
    <w:r>
      <w:rPr>
        <w:b/>
        <w:bCs/>
        <w:color w:val="1B2A5B"/>
        <w:sz w:val="18"/>
        <w:szCs w:val="18"/>
      </w:rPr>
      <w:t xml:space="preserve">K.R. Mangalam University</w:t>
    </w:r>
    <w:r>
      <w:rPr>
        <w:color w:val="666666"/>
        <w:sz w:val="18"/>
        <w:szCs w:val="18"/>
      </w:rPr>
      <w:t xml:space="preserve">	Grievance Redressal Policy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2026-08-08T07:54:30.088Z</dcterms:created>
  <dcterms:modified xsi:type="dcterms:W3CDTF">2026-08-08T07:54:30.088Z</dcterms:modified>
</cp:coreProperties>
</file>

<file path=docProps/custom.xml><?xml version="1.0" encoding="utf-8"?>
<Properties xmlns="http://schemas.openxmlformats.org/officeDocument/2006/custom-properties" xmlns:vt="http://schemas.openxmlformats.org/officeDocument/2006/docPropsVTypes"/>
</file>