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r>
        <w:t xml:space="preserve"/>
      </w:r>
    </w:p>
    <w:p>
      <w:pPr>
        <w:spacing w:after="100"/>
        <w:jc w:val="center"/>
      </w:pPr>
      <w:r>
        <w:rPr>
          <w:b/>
          <w:bCs/>
          <w:color w:val="1B2A5B"/>
          <w:sz w:val="40"/>
          <w:szCs w:val="40"/>
        </w:rPr>
        <w:t xml:space="preserve">K.R. MANGALAM UNIVERSITY</w:t>
      </w:r>
    </w:p>
    <w:p>
      <w:pPr>
        <w:spacing w:after="300"/>
        <w:jc w:val="center"/>
      </w:pPr>
      <w:r>
        <w:rPr>
          <w:color w:val="666666"/>
          <w:sz w:val="18"/>
          <w:szCs w:val="18"/>
        </w:rPr>
        <w:t xml:space="preserve">Sohna Road, Gurugram, Haryana – 122103 | www.krmangalam.edu.in</w:t>
      </w:r>
    </w:p>
    <w:p>
      <w:pPr>
        <w:pBdr>
          <w:top w:val="single" w:color="B08D2B" w:sz="6"/>
          <w:bottom w:val="single" w:color="B08D2B" w:sz="6"/>
        </w:pBdr>
        <w:spacing w:after="200" w:before="200"/>
      </w:pPr>
      <w:r>
        <w:t xml:space="preserve"/>
      </w:r>
    </w:p>
    <w:p>
      <w:pPr>
        <w:spacing w:before="600"/>
      </w:pPr>
      <w:r>
        <w:t xml:space="preserve"/>
      </w:r>
    </w:p>
    <w:p>
      <w:pPr>
        <w:spacing w:after="200"/>
        <w:jc w:val="center"/>
      </w:pPr>
      <w:r>
        <w:rPr>
          <w:b/>
          <w:bCs/>
          <w:color w:val="B08D2B"/>
          <w:sz w:val="24"/>
          <w:szCs w:val="24"/>
        </w:rPr>
        <w:t xml:space="preserve">OFFICIAL HANDBOOK</w:t>
      </w:r>
    </w:p>
    <w:p>
      <w:pPr>
        <w:spacing w:after="600"/>
        <w:jc w:val="center"/>
      </w:pPr>
      <w:r>
        <w:rPr>
          <w:b/>
          <w:bCs/>
          <w:sz w:val="44"/>
          <w:szCs w:val="44"/>
        </w:rPr>
        <w:t xml:space="preserve">Alumni Relations &amp; Engagement Handbook</w:t>
      </w:r>
    </w:p>
    <w:p>
      <w:pPr>
        <w:spacing w:before="8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1B2A5B" w:val="clear"/>
            <w:tcMar>
              <w:top w:type="dxa" w:w="80"/>
              <w:left w:type="dxa" w:w="100"/>
              <w:bottom w:type="dxa" w:w="80"/>
              <w:right w:type="dxa" w:w="100"/>
            </w:tcMar>
            <w:vAlign w:val="center"/>
          </w:tcPr>
          <w:p>
            <w:pPr>
              <w:jc w:val="left"/>
            </w:pPr>
            <w:r>
              <w:rPr>
                <w:b/>
                <w:bCs/>
                <w:color w:val="FFFFFF"/>
                <w:sz w:val="21"/>
                <w:szCs w:val="21"/>
              </w:rPr>
              <w:t xml:space="preserve">Field</w:t>
            </w:r>
          </w:p>
        </w:tc>
        <w:tc>
          <w:tcPr>
            <w:tcW w:type="dxa" w:w="6360"/>
            <w:shd w:fill="1B2A5B" w:val="clear"/>
            <w:tcMar>
              <w:top w:type="dxa" w:w="80"/>
              <w:left w:type="dxa" w:w="100"/>
              <w:bottom w:type="dxa" w:w="80"/>
              <w:right w:type="dxa" w:w="100"/>
            </w:tcMar>
            <w:vAlign w:val="center"/>
          </w:tcPr>
          <w:p>
            <w:pPr>
              <w:jc w:val="left"/>
            </w:pPr>
            <w:r>
              <w:rPr>
                <w:b/>
                <w:bCs/>
                <w:color w:val="FFFFFF"/>
                <w:sz w:val="21"/>
                <w:szCs w:val="21"/>
              </w:rPr>
              <w:t xml:space="preserve">Detail</w:t>
            </w:r>
          </w:p>
        </w:tc>
      </w:tr>
      <w:tr>
        <w:tc>
          <w:tcPr>
            <w:tcW w:type="dxa" w:w="3000"/>
            <w:tcMar>
              <w:top w:type="dxa" w:w="80"/>
              <w:left w:type="dxa" w:w="100"/>
              <w:bottom w:type="dxa" w:w="80"/>
              <w:right w:type="dxa" w:w="100"/>
            </w:tcMar>
            <w:vAlign w:val="center"/>
          </w:tcPr>
          <w:p>
            <w:pPr>
              <w:jc w:val="left"/>
            </w:pPr>
            <w:r>
              <w:rPr>
                <w:b w:val="false"/>
                <w:bCs w:val="false"/>
                <w:color w:val="000000"/>
                <w:sz w:val="21"/>
                <w:szCs w:val="21"/>
              </w:rPr>
              <w:t xml:space="preserve">Notice Number</w:t>
            </w:r>
          </w:p>
        </w:tc>
        <w:tc>
          <w:tcPr>
            <w:tcW w:type="dxa" w:w="6360"/>
            <w:tcMar>
              <w:top w:type="dxa" w:w="80"/>
              <w:left w:type="dxa" w:w="100"/>
              <w:bottom w:type="dxa" w:w="80"/>
              <w:right w:type="dxa" w:w="100"/>
            </w:tcMar>
            <w:vAlign w:val="center"/>
          </w:tcPr>
          <w:p>
            <w:pPr>
              <w:jc w:val="left"/>
            </w:pPr>
            <w:r>
              <w:rPr>
                <w:b w:val="false"/>
                <w:bCs w:val="false"/>
                <w:color w:val="000000"/>
                <w:sz w:val="21"/>
                <w:szCs w:val="21"/>
              </w:rPr>
              <w:t xml:space="preserve">KRMU/ALM/ENG/2026-27/007</w:t>
            </w:r>
          </w:p>
        </w:tc>
      </w:tr>
      <w:tr>
        <w:tc>
          <w:tcPr>
            <w:tcW w:type="dxa" w:w="3000"/>
            <w:tcMar>
              <w:top w:type="dxa" w:w="80"/>
              <w:left w:type="dxa" w:w="100"/>
              <w:bottom w:type="dxa" w:w="80"/>
              <w:right w:type="dxa" w:w="100"/>
            </w:tcMar>
            <w:vAlign w:val="center"/>
          </w:tcPr>
          <w:p>
            <w:pPr>
              <w:jc w:val="left"/>
            </w:pPr>
            <w:r>
              <w:rPr>
                <w:b w:val="false"/>
                <w:bCs w:val="false"/>
                <w:color w:val="000000"/>
                <w:sz w:val="21"/>
                <w:szCs w:val="21"/>
              </w:rPr>
              <w:t xml:space="preserve">Effective Date</w:t>
            </w:r>
          </w:p>
        </w:tc>
        <w:tc>
          <w:tcPr>
            <w:tcW w:type="dxa" w:w="6360"/>
            <w:tcMar>
              <w:top w:type="dxa" w:w="80"/>
              <w:left w:type="dxa" w:w="100"/>
              <w:bottom w:type="dxa" w:w="80"/>
              <w:right w:type="dxa" w:w="100"/>
            </w:tcMar>
            <w:vAlign w:val="center"/>
          </w:tcPr>
          <w:p>
            <w:pPr>
              <w:jc w:val="left"/>
            </w:pPr>
            <w:r>
              <w:rPr>
                <w:b w:val="false"/>
                <w:bCs w:val="false"/>
                <w:color w:val="000000"/>
                <w:sz w:val="21"/>
                <w:szCs w:val="21"/>
              </w:rPr>
              <w:t xml:space="preserve">1 July 2026</w:t>
            </w:r>
          </w:p>
        </w:tc>
      </w:tr>
      <w:tr>
        <w:tc>
          <w:tcPr>
            <w:tcW w:type="dxa" w:w="3000"/>
            <w:tcMar>
              <w:top w:type="dxa" w:w="80"/>
              <w:left w:type="dxa" w:w="100"/>
              <w:bottom w:type="dxa" w:w="80"/>
              <w:right w:type="dxa" w:w="100"/>
            </w:tcMar>
            <w:vAlign w:val="center"/>
          </w:tcPr>
          <w:p>
            <w:pPr>
              <w:jc w:val="left"/>
            </w:pPr>
            <w:r>
              <w:rPr>
                <w:b w:val="false"/>
                <w:bCs w:val="false"/>
                <w:color w:val="000000"/>
                <w:sz w:val="21"/>
                <w:szCs w:val="21"/>
              </w:rPr>
              <w:t xml:space="preserve">Version</w:t>
            </w:r>
          </w:p>
        </w:tc>
        <w:tc>
          <w:tcPr>
            <w:tcW w:type="dxa" w:w="6360"/>
            <w:tcMar>
              <w:top w:type="dxa" w:w="80"/>
              <w:left w:type="dxa" w:w="100"/>
              <w:bottom w:type="dxa" w:w="80"/>
              <w:right w:type="dxa" w:w="100"/>
            </w:tcMar>
            <w:vAlign w:val="center"/>
          </w:tcPr>
          <w:p>
            <w:pPr>
              <w:jc w:val="left"/>
            </w:pPr>
            <w:r>
              <w:rPr>
                <w:b w:val="false"/>
                <w:bCs w:val="false"/>
                <w:color w:val="000000"/>
                <w:sz w:val="21"/>
                <w:szCs w:val="21"/>
              </w:rPr>
              <w:t xml:space="preserve">Version 1.4</w:t>
            </w:r>
          </w:p>
        </w:tc>
      </w:tr>
      <w:tr>
        <w:tc>
          <w:tcPr>
            <w:tcW w:type="dxa" w:w="3000"/>
            <w:tcMar>
              <w:top w:type="dxa" w:w="80"/>
              <w:left w:type="dxa" w:w="100"/>
              <w:bottom w:type="dxa" w:w="80"/>
              <w:right w:type="dxa" w:w="100"/>
            </w:tcMar>
            <w:vAlign w:val="center"/>
          </w:tcPr>
          <w:p>
            <w:pPr>
              <w:jc w:val="left"/>
            </w:pPr>
            <w:r>
              <w:rPr>
                <w:b w:val="false"/>
                <w:bCs w:val="false"/>
                <w:color w:val="000000"/>
                <w:sz w:val="21"/>
                <w:szCs w:val="21"/>
              </w:rPr>
              <w:t xml:space="preserve">Approved By</w:t>
            </w:r>
          </w:p>
        </w:tc>
        <w:tc>
          <w:tcPr>
            <w:tcW w:type="dxa" w:w="6360"/>
            <w:tcMar>
              <w:top w:type="dxa" w:w="80"/>
              <w:left w:type="dxa" w:w="100"/>
              <w:bottom w:type="dxa" w:w="80"/>
              <w:right w:type="dxa" w:w="100"/>
            </w:tcMar>
            <w:vAlign w:val="center"/>
          </w:tcPr>
          <w:p>
            <w:pPr>
              <w:jc w:val="left"/>
            </w:pPr>
            <w:r>
              <w:rPr>
                <w:b w:val="false"/>
                <w:bCs w:val="false"/>
                <w:color w:val="000000"/>
                <w:sz w:val="21"/>
                <w:szCs w:val="21"/>
              </w:rPr>
              <w:t xml:space="preserve">Office of the Registrar, K.R. Mangalam University</w:t>
            </w:r>
          </w:p>
        </w:tc>
      </w:tr>
      <w:tr>
        <w:tc>
          <w:tcPr>
            <w:tcW w:type="dxa" w:w="3000"/>
            <w:tcMar>
              <w:top w:type="dxa" w:w="80"/>
              <w:left w:type="dxa" w:w="100"/>
              <w:bottom w:type="dxa" w:w="80"/>
              <w:right w:type="dxa" w:w="100"/>
            </w:tcMar>
            <w:vAlign w:val="center"/>
          </w:tcPr>
          <w:p>
            <w:pPr>
              <w:jc w:val="left"/>
            </w:pPr>
            <w:r>
              <w:rPr>
                <w:b w:val="false"/>
                <w:bCs w:val="false"/>
                <w:color w:val="000000"/>
                <w:sz w:val="21"/>
                <w:szCs w:val="21"/>
              </w:rPr>
              <w:t xml:space="preserve">Applicable To</w:t>
            </w:r>
          </w:p>
        </w:tc>
        <w:tc>
          <w:tcPr>
            <w:tcW w:type="dxa" w:w="6360"/>
            <w:tcMar>
              <w:top w:type="dxa" w:w="80"/>
              <w:left w:type="dxa" w:w="100"/>
              <w:bottom w:type="dxa" w:w="80"/>
              <w:right w:type="dxa" w:w="100"/>
            </w:tcMar>
            <w:vAlign w:val="center"/>
          </w:tcPr>
          <w:p>
            <w:pPr>
              <w:jc w:val="left"/>
            </w:pPr>
            <w:r>
              <w:rPr>
                <w:b w:val="false"/>
                <w:bCs w:val="false"/>
                <w:color w:val="000000"/>
                <w:sz w:val="21"/>
                <w:szCs w:val="21"/>
              </w:rPr>
              <w:t xml:space="preserve">All students, faculty, and staff, Academic Session 2026–2027</w:t>
            </w:r>
          </w:p>
        </w:tc>
      </w:tr>
      <w:tr>
        <w:tc>
          <w:tcPr>
            <w:tcW w:type="dxa" w:w="3000"/>
            <w:tcMar>
              <w:top w:type="dxa" w:w="80"/>
              <w:left w:type="dxa" w:w="100"/>
              <w:bottom w:type="dxa" w:w="80"/>
              <w:right w:type="dxa" w:w="100"/>
            </w:tcMar>
            <w:vAlign w:val="center"/>
          </w:tcPr>
          <w:p>
            <w:pPr>
              <w:jc w:val="left"/>
            </w:pPr>
            <w:r>
              <w:rPr>
                <w:b w:val="false"/>
                <w:bCs w:val="false"/>
                <w:color w:val="000000"/>
                <w:sz w:val="21"/>
                <w:szCs w:val="21"/>
              </w:rPr>
              <w:t xml:space="preserve">Review Cycle</w:t>
            </w:r>
          </w:p>
        </w:tc>
        <w:tc>
          <w:tcPr>
            <w:tcW w:type="dxa" w:w="6360"/>
            <w:tcMar>
              <w:top w:type="dxa" w:w="80"/>
              <w:left w:type="dxa" w:w="100"/>
              <w:bottom w:type="dxa" w:w="80"/>
              <w:right w:type="dxa" w:w="100"/>
            </w:tcMar>
            <w:vAlign w:val="center"/>
          </w:tcPr>
          <w:p>
            <w:pPr>
              <w:jc w:val="left"/>
            </w:pPr>
            <w:r>
              <w:rPr>
                <w:b w:val="false"/>
                <w:bCs w:val="false"/>
                <w:color w:val="000000"/>
                <w:sz w:val="21"/>
                <w:szCs w:val="21"/>
              </w:rPr>
              <w:t xml:space="preserve">Annual, or as directed by the Academic Council</w:t>
            </w:r>
          </w:p>
        </w:tc>
      </w:tr>
    </w:tbl>
    <w:p>
      <w:r>
        <w:br w:type="page"/>
      </w:r>
    </w:p>
    <w:p>
      <w:pPr>
        <w:pStyle w:val="Heading1"/>
        <w:spacing w:after="160" w:before="340"/>
      </w:pPr>
      <w:r>
        <w:rPr>
          <w:b/>
          <w:bCs/>
          <w:color w:val="1B2A5B"/>
        </w:rPr>
        <w:t xml:space="preserve">Document Control &amp; Revision History</w:t>
      </w:r>
    </w:p>
    <w:p>
      <w:pPr>
        <w:spacing w:after="160" w:line="300"/>
      </w:pPr>
      <w:r>
        <w:rPr>
          <w:sz w:val="22"/>
          <w:szCs w:val="22"/>
        </w:rPr>
        <w:t xml:space="preserve">This document, "Alumni Relations &amp; Engagement Handbook," is maintained by the concerned administrative office of K.R. Mangalam University and is subject to periodic review. The table below records the revision history of this document under notice number KRMU/ALM/ENG/2026-27/007.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4400"/>
        <w:gridCol w:w="1660"/>
      </w:tblGrid>
      <w:tr>
        <w:tc>
          <w:tcPr>
            <w:tcW w:type="dxa" w:w="1400"/>
            <w:shd w:fill="1B2A5B" w:val="clear"/>
            <w:tcMar>
              <w:top w:type="dxa" w:w="80"/>
              <w:left w:type="dxa" w:w="100"/>
              <w:bottom w:type="dxa" w:w="80"/>
              <w:right w:type="dxa" w:w="100"/>
            </w:tcMar>
            <w:vAlign w:val="center"/>
          </w:tcPr>
          <w:p>
            <w:pPr>
              <w:jc w:val="left"/>
            </w:pPr>
            <w:r>
              <w:rPr>
                <w:b/>
                <w:bCs/>
                <w:color w:val="FFFFFF"/>
                <w:sz w:val="21"/>
                <w:szCs w:val="21"/>
              </w:rPr>
              <w:t xml:space="preserve">Version</w:t>
            </w:r>
          </w:p>
        </w:tc>
        <w:tc>
          <w:tcPr>
            <w:tcW w:type="dxa" w:w="1900"/>
            <w:shd w:fill="1B2A5B" w:val="clear"/>
            <w:tcMar>
              <w:top w:type="dxa" w:w="80"/>
              <w:left w:type="dxa" w:w="100"/>
              <w:bottom w:type="dxa" w:w="80"/>
              <w:right w:type="dxa" w:w="100"/>
            </w:tcMar>
            <w:vAlign w:val="center"/>
          </w:tcPr>
          <w:p>
            <w:pPr>
              <w:jc w:val="left"/>
            </w:pPr>
            <w:r>
              <w:rPr>
                <w:b/>
                <w:bCs/>
                <w:color w:val="FFFFFF"/>
                <w:sz w:val="21"/>
                <w:szCs w:val="21"/>
              </w:rPr>
              <w:t xml:space="preserve">Date</w:t>
            </w:r>
          </w:p>
        </w:tc>
        <w:tc>
          <w:tcPr>
            <w:tcW w:type="dxa" w:w="4400"/>
            <w:shd w:fill="1B2A5B" w:val="clear"/>
            <w:tcMar>
              <w:top w:type="dxa" w:w="80"/>
              <w:left w:type="dxa" w:w="100"/>
              <w:bottom w:type="dxa" w:w="80"/>
              <w:right w:type="dxa" w:w="100"/>
            </w:tcMar>
            <w:vAlign w:val="center"/>
          </w:tcPr>
          <w:p>
            <w:pPr>
              <w:jc w:val="left"/>
            </w:pPr>
            <w:r>
              <w:rPr>
                <w:b/>
                <w:bCs/>
                <w:color w:val="FFFFFF"/>
                <w:sz w:val="21"/>
                <w:szCs w:val="21"/>
              </w:rPr>
              <w:t xml:space="preserve">Summary of Change</w:t>
            </w:r>
          </w:p>
        </w:tc>
        <w:tc>
          <w:tcPr>
            <w:tcW w:type="dxa" w:w="1660"/>
            <w:shd w:fill="1B2A5B" w:val="clear"/>
            <w:tcMar>
              <w:top w:type="dxa" w:w="80"/>
              <w:left w:type="dxa" w:w="100"/>
              <w:bottom w:type="dxa" w:w="80"/>
              <w:right w:type="dxa" w:w="100"/>
            </w:tcMar>
            <w:vAlign w:val="center"/>
          </w:tcPr>
          <w:p>
            <w:pPr>
              <w:jc w:val="left"/>
            </w:pPr>
            <w:r>
              <w:rPr>
                <w:b/>
                <w:bCs/>
                <w:color w:val="FFFFFF"/>
                <w:sz w:val="21"/>
                <w:szCs w:val="21"/>
              </w:rPr>
              <w:t xml:space="preserve">Approved By</w:t>
            </w:r>
          </w:p>
        </w:tc>
      </w:tr>
      <w:tr>
        <w:tc>
          <w:tcPr>
            <w:tcW w:type="dxa" w:w="1400"/>
            <w:tcMar>
              <w:top w:type="dxa" w:w="80"/>
              <w:left w:type="dxa" w:w="100"/>
              <w:bottom w:type="dxa" w:w="80"/>
              <w:right w:type="dxa" w:w="100"/>
            </w:tcMar>
            <w:vAlign w:val="center"/>
          </w:tcPr>
          <w:p>
            <w:pPr>
              <w:jc w:val="left"/>
            </w:pPr>
            <w:r>
              <w:rPr>
                <w:b w:val="false"/>
                <w:bCs w:val="false"/>
                <w:color w:val="000000"/>
                <w:sz w:val="21"/>
                <w:szCs w:val="21"/>
              </w:rPr>
              <w:t xml:space="preserve">1.0</w:t>
            </w:r>
          </w:p>
        </w:tc>
        <w:tc>
          <w:tcPr>
            <w:tcW w:type="dxa" w:w="1900"/>
            <w:tcMar>
              <w:top w:type="dxa" w:w="80"/>
              <w:left w:type="dxa" w:w="100"/>
              <w:bottom w:type="dxa" w:w="80"/>
              <w:right w:type="dxa" w:w="100"/>
            </w:tcMar>
            <w:vAlign w:val="center"/>
          </w:tcPr>
          <w:p>
            <w:pPr>
              <w:jc w:val="left"/>
            </w:pPr>
            <w:r>
              <w:rPr>
                <w:b w:val="false"/>
                <w:bCs w:val="false"/>
                <w:color w:val="000000"/>
                <w:sz w:val="21"/>
                <w:szCs w:val="21"/>
              </w:rPr>
              <w:t xml:space="preserve">15 June 2024</w:t>
            </w:r>
          </w:p>
        </w:tc>
        <w:tc>
          <w:tcPr>
            <w:tcW w:type="dxa" w:w="4400"/>
            <w:tcMar>
              <w:top w:type="dxa" w:w="80"/>
              <w:left w:type="dxa" w:w="100"/>
              <w:bottom w:type="dxa" w:w="80"/>
              <w:right w:type="dxa" w:w="100"/>
            </w:tcMar>
            <w:vAlign w:val="center"/>
          </w:tcPr>
          <w:p>
            <w:pPr>
              <w:jc w:val="left"/>
            </w:pPr>
            <w:r>
              <w:rPr>
                <w:b w:val="false"/>
                <w:bCs w:val="false"/>
                <w:color w:val="000000"/>
                <w:sz w:val="21"/>
                <w:szCs w:val="21"/>
              </w:rPr>
              <w:t xml:space="preserve">Initial release for Academic Session 2024–2025</w:t>
            </w:r>
          </w:p>
        </w:tc>
        <w:tc>
          <w:tcPr>
            <w:tcW w:type="dxa" w:w="1660"/>
            <w:tcMar>
              <w:top w:type="dxa" w:w="80"/>
              <w:left w:type="dxa" w:w="100"/>
              <w:bottom w:type="dxa" w:w="80"/>
              <w:right w:type="dxa" w:w="100"/>
            </w:tcMar>
            <w:vAlign w:val="center"/>
          </w:tcPr>
          <w:p>
            <w:pPr>
              <w:jc w:val="left"/>
            </w:pPr>
            <w:r>
              <w:rPr>
                <w:b w:val="false"/>
                <w:bCs w:val="false"/>
                <w:color w:val="000000"/>
                <w:sz w:val="21"/>
                <w:szCs w:val="21"/>
              </w:rPr>
              <w:t xml:space="preserve">Academic Council</w:t>
            </w:r>
          </w:p>
        </w:tc>
      </w:tr>
      <w:tr>
        <w:tc>
          <w:tcPr>
            <w:tcW w:type="dxa" w:w="1400"/>
            <w:tcMar>
              <w:top w:type="dxa" w:w="80"/>
              <w:left w:type="dxa" w:w="100"/>
              <w:bottom w:type="dxa" w:w="80"/>
              <w:right w:type="dxa" w:w="100"/>
            </w:tcMar>
            <w:vAlign w:val="center"/>
          </w:tcPr>
          <w:p>
            <w:pPr>
              <w:jc w:val="left"/>
            </w:pPr>
            <w:r>
              <w:rPr>
                <w:b w:val="false"/>
                <w:bCs w:val="false"/>
                <w:color w:val="000000"/>
                <w:sz w:val="21"/>
                <w:szCs w:val="21"/>
              </w:rPr>
              <w:t xml:space="preserve">2.0</w:t>
            </w:r>
          </w:p>
        </w:tc>
        <w:tc>
          <w:tcPr>
            <w:tcW w:type="dxa" w:w="1900"/>
            <w:tcMar>
              <w:top w:type="dxa" w:w="80"/>
              <w:left w:type="dxa" w:w="100"/>
              <w:bottom w:type="dxa" w:w="80"/>
              <w:right w:type="dxa" w:w="100"/>
            </w:tcMar>
            <w:vAlign w:val="center"/>
          </w:tcPr>
          <w:p>
            <w:pPr>
              <w:jc w:val="left"/>
            </w:pPr>
            <w:r>
              <w:rPr>
                <w:b w:val="false"/>
                <w:bCs w:val="false"/>
                <w:color w:val="000000"/>
                <w:sz w:val="21"/>
                <w:szCs w:val="21"/>
              </w:rPr>
              <w:t xml:space="preserve">10 June 2025</w:t>
            </w:r>
          </w:p>
        </w:tc>
        <w:tc>
          <w:tcPr>
            <w:tcW w:type="dxa" w:w="4400"/>
            <w:tcMar>
              <w:top w:type="dxa" w:w="80"/>
              <w:left w:type="dxa" w:w="100"/>
              <w:bottom w:type="dxa" w:w="80"/>
              <w:right w:type="dxa" w:w="100"/>
            </w:tcMar>
            <w:vAlign w:val="center"/>
          </w:tcPr>
          <w:p>
            <w:pPr>
              <w:jc w:val="left"/>
            </w:pPr>
            <w:r>
              <w:rPr>
                <w:b w:val="false"/>
                <w:bCs w:val="false"/>
                <w:color w:val="000000"/>
                <w:sz w:val="21"/>
                <w:szCs w:val="21"/>
              </w:rPr>
              <w:t xml:space="preserve">Annual review; updated fee/fine figures and contact details</w:t>
            </w:r>
          </w:p>
        </w:tc>
        <w:tc>
          <w:tcPr>
            <w:tcW w:type="dxa" w:w="1660"/>
            <w:tcMar>
              <w:top w:type="dxa" w:w="80"/>
              <w:left w:type="dxa" w:w="100"/>
              <w:bottom w:type="dxa" w:w="80"/>
              <w:right w:type="dxa" w:w="100"/>
            </w:tcMar>
            <w:vAlign w:val="center"/>
          </w:tcPr>
          <w:p>
            <w:pPr>
              <w:jc w:val="left"/>
            </w:pPr>
            <w:r>
              <w:rPr>
                <w:b w:val="false"/>
                <w:bCs w:val="false"/>
                <w:color w:val="000000"/>
                <w:sz w:val="21"/>
                <w:szCs w:val="21"/>
              </w:rPr>
              <w:t xml:space="preserve">Academic Council</w:t>
            </w:r>
          </w:p>
        </w:tc>
      </w:tr>
      <w:tr>
        <w:tc>
          <w:tcPr>
            <w:tcW w:type="dxa" w:w="1400"/>
            <w:tcMar>
              <w:top w:type="dxa" w:w="80"/>
              <w:left w:type="dxa" w:w="100"/>
              <w:bottom w:type="dxa" w:w="80"/>
              <w:right w:type="dxa" w:w="100"/>
            </w:tcMar>
            <w:vAlign w:val="center"/>
          </w:tcPr>
          <w:p>
            <w:pPr>
              <w:jc w:val="left"/>
            </w:pPr>
            <w:r>
              <w:rPr>
                <w:b w:val="false"/>
                <w:bCs w:val="false"/>
                <w:color w:val="000000"/>
                <w:sz w:val="21"/>
                <w:szCs w:val="21"/>
              </w:rPr>
              <w:t xml:space="preserve">1.4</w:t>
            </w:r>
          </w:p>
        </w:tc>
        <w:tc>
          <w:tcPr>
            <w:tcW w:type="dxa" w:w="1900"/>
            <w:tcMar>
              <w:top w:type="dxa" w:w="80"/>
              <w:left w:type="dxa" w:w="100"/>
              <w:bottom w:type="dxa" w:w="80"/>
              <w:right w:type="dxa" w:w="100"/>
            </w:tcMar>
            <w:vAlign w:val="center"/>
          </w:tcPr>
          <w:p>
            <w:pPr>
              <w:jc w:val="left"/>
            </w:pPr>
            <w:r>
              <w:rPr>
                <w:b w:val="false"/>
                <w:bCs w:val="false"/>
                <w:color w:val="000000"/>
                <w:sz w:val="21"/>
                <w:szCs w:val="21"/>
              </w:rPr>
              <w:t xml:space="preserve">1 July 2026</w:t>
            </w:r>
          </w:p>
        </w:tc>
        <w:tc>
          <w:tcPr>
            <w:tcW w:type="dxa" w:w="4400"/>
            <w:tcMar>
              <w:top w:type="dxa" w:w="80"/>
              <w:left w:type="dxa" w:w="100"/>
              <w:bottom w:type="dxa" w:w="80"/>
              <w:right w:type="dxa" w:w="100"/>
            </w:tcMar>
            <w:vAlign w:val="center"/>
          </w:tcPr>
          <w:p>
            <w:pPr>
              <w:jc w:val="left"/>
            </w:pPr>
            <w:r>
              <w:rPr>
                <w:b w:val="false"/>
                <w:bCs w:val="false"/>
                <w:color w:val="000000"/>
                <w:sz w:val="21"/>
                <w:szCs w:val="21"/>
              </w:rPr>
              <w:t xml:space="preserve">Annual review for Academic Session 2026–2027; policy realigned with current ERP workflow</w:t>
            </w:r>
          </w:p>
        </w:tc>
        <w:tc>
          <w:tcPr>
            <w:tcW w:type="dxa" w:w="1660"/>
            <w:tcMar>
              <w:top w:type="dxa" w:w="80"/>
              <w:left w:type="dxa" w:w="100"/>
              <w:bottom w:type="dxa" w:w="80"/>
              <w:right w:type="dxa" w:w="100"/>
            </w:tcMar>
            <w:vAlign w:val="center"/>
          </w:tcPr>
          <w:p>
            <w:pPr>
              <w:jc w:val="left"/>
            </w:pPr>
            <w:r>
              <w:rPr>
                <w:b w:val="false"/>
                <w:bCs w:val="false"/>
                <w:color w:val="000000"/>
                <w:sz w:val="21"/>
                <w:szCs w:val="21"/>
              </w:rPr>
              <w:t xml:space="preserve">Office of the Registrar</w:t>
            </w:r>
          </w:p>
        </w:tc>
      </w:tr>
    </w:tbl>
    <w:p>
      <w:pPr>
        <w:spacing w:after="160"/>
      </w:pPr>
    </w:p>
    <w:p>
      <w:pPr>
        <w:pStyle w:val="Heading1"/>
        <w:spacing w:after="160" w:before="340"/>
      </w:pPr>
      <w:r>
        <w:rPr>
          <w:b/>
          <w:bCs/>
          <w:color w:val="1B2A5B"/>
        </w:rPr>
        <w:t xml:space="preserve">Related Documents</w:t>
      </w:r>
    </w:p>
    <w:p>
      <w:pPr>
        <w:spacing w:after="160" w:line="300"/>
      </w:pPr>
      <w:r>
        <w:rPr>
          <w:sz w:val="22"/>
          <w:szCs w:val="22"/>
        </w:rPr>
        <w:t xml:space="preserve">Readers of "Alumni Handbook 2026–27" should also refer to the following related official documents for a complete understanding of University policy:</w:t>
      </w:r>
    </w:p>
    <w:p>
      <w:pPr>
        <w:pStyle w:val="ListParagraph"/>
        <w:numPr>
          <w:ilvl w:val="0"/>
          <w:numId w:val="2"/>
        </w:numPr>
        <w:spacing w:after="100" w:line="300"/>
      </w:pPr>
      <w:r>
        <w:rPr>
          <w:sz w:val="22"/>
          <w:szCs w:val="22"/>
        </w:rPr>
        <w:t xml:space="preserve">University Attendance Policy (Academic Session 2026–2027)</w:t>
      </w:r>
    </w:p>
    <w:p>
      <w:pPr>
        <w:pStyle w:val="ListParagraph"/>
        <w:numPr>
          <w:ilvl w:val="0"/>
          <w:numId w:val="2"/>
        </w:numPr>
        <w:spacing w:after="100" w:line="300"/>
      </w:pPr>
      <w:r>
        <w:rPr>
          <w:sz w:val="22"/>
          <w:szCs w:val="22"/>
        </w:rPr>
        <w:t xml:space="preserve">Examination Rules &amp; Evaluation Policy (2026–2027)</w:t>
      </w:r>
    </w:p>
    <w:p>
      <w:pPr>
        <w:pStyle w:val="ListParagraph"/>
        <w:numPr>
          <w:ilvl w:val="0"/>
          <w:numId w:val="2"/>
        </w:numPr>
        <w:spacing w:after="100" w:line="300"/>
      </w:pPr>
      <w:r>
        <w:rPr>
          <w:sz w:val="22"/>
          <w:szCs w:val="22"/>
        </w:rPr>
        <w:t xml:space="preserve">Student Code of Conduct &amp; Discipline Policy</w:t>
      </w:r>
    </w:p>
    <w:p>
      <w:pPr>
        <w:pStyle w:val="ListParagraph"/>
        <w:numPr>
          <w:ilvl w:val="0"/>
          <w:numId w:val="2"/>
        </w:numPr>
        <w:spacing w:after="100" w:line="300"/>
      </w:pPr>
      <w:r>
        <w:rPr>
          <w:sz w:val="22"/>
          <w:szCs w:val="22"/>
        </w:rPr>
        <w:t xml:space="preserve">Hostel Rules &amp; Residential Handbook (2026–2027)</w:t>
      </w:r>
    </w:p>
    <w:p>
      <w:pPr>
        <w:pStyle w:val="ListParagraph"/>
        <w:numPr>
          <w:ilvl w:val="0"/>
          <w:numId w:val="2"/>
        </w:numPr>
        <w:spacing w:after="100" w:line="300"/>
      </w:pPr>
      <w:r>
        <w:rPr>
          <w:sz w:val="22"/>
          <w:szCs w:val="22"/>
        </w:rPr>
        <w:t xml:space="preserve">Campus IT Services &amp; Digital Identity Guide</w:t>
      </w:r>
    </w:p>
    <w:p>
      <w:pPr>
        <w:spacing w:after="160" w:line="300"/>
      </w:pPr>
      <w:r>
        <w:rPr>
          <w:sz w:val="22"/>
          <w:szCs w:val="22"/>
        </w:rPr>
        <w:t xml:space="preserve">Where any provision of this document conflicts with a related policy listed above, the more recently notified document shall prevail, unless otherwise specified by the Office of the Registrar.</w:t>
      </w:r>
    </w:p>
    <w:p>
      <w:pPr>
        <w:pStyle w:val="Heading1"/>
        <w:spacing w:after="160" w:before="340"/>
      </w:pPr>
      <w:r>
        <w:rPr>
          <w:b/>
          <w:bCs/>
          <w:color w:val="1B2A5B"/>
        </w:rPr>
        <w:t xml:space="preserve">1. Purpose</w:t>
      </w:r>
    </w:p>
    <w:p>
      <w:pPr>
        <w:spacing w:after="160" w:line="300"/>
      </w:pPr>
      <w:r>
        <w:rPr>
          <w:sz w:val="22"/>
          <w:szCs w:val="22"/>
        </w:rPr>
        <w:t xml:space="preserve">The Office of Alumni Relations at K.R. Mangalam University maintains lifelong engagement with graduates through networking events, mentorship programmes, and career support. This handbook outlines alumni registration, benefits, and engagement opportunities for the 2026–2027 cycle.</w:t>
      </w:r>
    </w:p>
    <w:p>
      <w:pPr>
        <w:pStyle w:val="Heading1"/>
        <w:spacing w:after="160" w:before="340"/>
      </w:pPr>
      <w:r>
        <w:rPr>
          <w:b/>
          <w:bCs/>
          <w:color w:val="1B2A5B"/>
        </w:rPr>
        <w:t xml:space="preserve">2. Alumni Registration</w:t>
      </w:r>
    </w:p>
    <w:p>
      <w:pPr>
        <w:spacing w:after="160" w:line="300"/>
      </w:pPr>
      <w:r>
        <w:rPr>
          <w:sz w:val="22"/>
          <w:szCs w:val="22"/>
        </w:rPr>
        <w:t xml:space="preserve">All graduating students are automatically registered on the KRMU Alumni Portal (alumni.krmangalam.edu.in) upon degree conferral. Alumni are encouraged to keep their contact and employment details updated to receive event invitations and career opportunities.</w:t>
      </w:r>
    </w:p>
    <w:p>
      <w:pPr>
        <w:pStyle w:val="Heading1"/>
        <w:spacing w:after="160" w:before="340"/>
      </w:pPr>
      <w:r>
        <w:rPr>
          <w:b/>
          <w:bCs/>
          <w:color w:val="1B2A5B"/>
        </w:rPr>
        <w:t xml:space="preserve">3. Alumni Benefits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B2A5B" w:val="clear"/>
            <w:tcMar>
              <w:top w:type="dxa" w:w="80"/>
              <w:left w:type="dxa" w:w="100"/>
              <w:bottom w:type="dxa" w:w="80"/>
              <w:right w:type="dxa" w:w="100"/>
            </w:tcMar>
            <w:vAlign w:val="center"/>
          </w:tcPr>
          <w:p>
            <w:pPr>
              <w:jc w:val="left"/>
            </w:pPr>
            <w:r>
              <w:rPr>
                <w:b/>
                <w:bCs/>
                <w:color w:val="FFFFFF"/>
                <w:sz w:val="21"/>
                <w:szCs w:val="21"/>
              </w:rPr>
              <w:t xml:space="preserve">Benefit</w:t>
            </w:r>
          </w:p>
        </w:tc>
        <w:tc>
          <w:tcPr>
            <w:tcW w:type="dxa" w:w="4680"/>
            <w:shd w:fill="1B2A5B" w:val="clear"/>
            <w:tcMar>
              <w:top w:type="dxa" w:w="80"/>
              <w:left w:type="dxa" w:w="100"/>
              <w:bottom w:type="dxa" w:w="80"/>
              <w:right w:type="dxa" w:w="100"/>
            </w:tcMar>
            <w:vAlign w:val="center"/>
          </w:tcPr>
          <w:p>
            <w:pPr>
              <w:jc w:val="left"/>
            </w:pPr>
            <w:r>
              <w:rPr>
                <w:b/>
                <w:bCs/>
                <w:color w:val="FFFFFF"/>
                <w:sz w:val="21"/>
                <w:szCs w:val="21"/>
              </w:rPr>
              <w:t xml:space="preserve">Details</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Library Access</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Reading-room membership at a nominal annual fee of ₹1,000</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Career Services</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Access to the TPC Alumni Job Board and resume review support</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Continuing Education Discount</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15% fee waiver on KRMU certificate/executive programmes</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Campus Facility Access</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Guest access to sports facilities on prior booking</w:t>
            </w:r>
          </w:p>
        </w:tc>
      </w:tr>
    </w:tbl>
    <w:p>
      <w:pPr>
        <w:spacing w:after="160"/>
      </w:pPr>
    </w:p>
    <w:p>
      <w:pPr>
        <w:pStyle w:val="Heading1"/>
        <w:spacing w:after="160" w:before="340"/>
      </w:pPr>
      <w:r>
        <w:rPr>
          <w:b/>
          <w:bCs/>
          <w:color w:val="1B2A5B"/>
        </w:rPr>
        <w:t xml:space="preserve">4. Alumni Chapters</w:t>
      </w:r>
    </w:p>
    <w:p>
      <w:pPr>
        <w:pStyle w:val="ListParagraph"/>
        <w:numPr>
          <w:ilvl w:val="0"/>
          <w:numId w:val="2"/>
        </w:numPr>
        <w:spacing w:after="100" w:line="300"/>
      </w:pPr>
      <w:r>
        <w:rPr>
          <w:sz w:val="22"/>
          <w:szCs w:val="22"/>
        </w:rPr>
        <w:t xml:space="preserve">City-based chapters currently active: Delhi-NCR, Bengaluru, Mumbai, Pune, and Hyderabad.</w:t>
      </w:r>
    </w:p>
    <w:p>
      <w:pPr>
        <w:pStyle w:val="ListParagraph"/>
        <w:numPr>
          <w:ilvl w:val="0"/>
          <w:numId w:val="2"/>
        </w:numPr>
        <w:spacing w:after="100" w:line="300"/>
      </w:pPr>
      <w:r>
        <w:rPr>
          <w:sz w:val="22"/>
          <w:szCs w:val="22"/>
        </w:rPr>
        <w:t xml:space="preserve">Each chapter is led by a volunteer Alumni Ambassador, coordinating local meet-ups and networking events.</w:t>
      </w:r>
    </w:p>
    <w:p>
      <w:pPr>
        <w:pStyle w:val="ListParagraph"/>
        <w:numPr>
          <w:ilvl w:val="0"/>
          <w:numId w:val="2"/>
        </w:numPr>
        <w:spacing w:after="100" w:line="300"/>
      </w:pPr>
      <w:r>
        <w:rPr>
          <w:sz w:val="22"/>
          <w:szCs w:val="22"/>
        </w:rPr>
        <w:t xml:space="preserve">New chapter proposals can be submitted through the Alumni Portal for review by the Office of Alumni Relations.</w:t>
      </w:r>
    </w:p>
    <w:p>
      <w:pPr>
        <w:pStyle w:val="Heading1"/>
        <w:spacing w:after="160" w:before="340"/>
      </w:pPr>
      <w:r>
        <w:rPr>
          <w:b/>
          <w:bCs/>
          <w:color w:val="1B2A5B"/>
        </w:rPr>
        <w:t xml:space="preserve">5. Mentorship Programme</w:t>
      </w:r>
    </w:p>
    <w:p>
      <w:pPr>
        <w:spacing w:after="160" w:line="300"/>
      </w:pPr>
      <w:r>
        <w:rPr>
          <w:sz w:val="22"/>
          <w:szCs w:val="22"/>
        </w:rPr>
        <w:t xml:space="preserve">The KRMU Alumni Mentorship Programme pairs final-year students with alumni working in relevant industries for a structured 3-month mentorship cycle, covering career guidance, interview preparation, and industry insights. Alumni interested in mentoring can register via the Alumni Portal.</w:t>
      </w:r>
    </w:p>
    <w:p>
      <w:pPr>
        <w:pStyle w:val="Heading1"/>
        <w:spacing w:after="160" w:before="340"/>
      </w:pPr>
      <w:r>
        <w:rPr>
          <w:b/>
          <w:bCs/>
          <w:color w:val="1B2A5B"/>
        </w:rPr>
        <w:t xml:space="preserve">6. Annual Alumni Meet</w:t>
      </w:r>
    </w:p>
    <w:p>
      <w:pPr>
        <w:spacing w:after="160" w:line="300"/>
      </w:pPr>
      <w:r>
        <w:rPr>
          <w:sz w:val="22"/>
          <w:szCs w:val="22"/>
        </w:rPr>
        <w:t xml:space="preserve">The Annual Alumni Meet, "KRMU Homecoming," is held every December on the main campus, featuring networking sessions, department-wise reunions, and recognition of Distinguished Alumni Award recipients across various fields of achievement.</w:t>
      </w:r>
    </w:p>
    <w:p>
      <w:pPr>
        <w:pStyle w:val="Heading1"/>
        <w:spacing w:after="160" w:before="340"/>
      </w:pPr>
      <w:r>
        <w:rPr>
          <w:b/>
          <w:bCs/>
          <w:color w:val="1B2A5B"/>
        </w:rPr>
        <w:t xml:space="preserve">7. Distinguished Alumni Award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B2A5B" w:val="clear"/>
            <w:tcMar>
              <w:top w:type="dxa" w:w="80"/>
              <w:left w:type="dxa" w:w="100"/>
              <w:bottom w:type="dxa" w:w="80"/>
              <w:right w:type="dxa" w:w="100"/>
            </w:tcMar>
            <w:vAlign w:val="center"/>
          </w:tcPr>
          <w:p>
            <w:pPr>
              <w:jc w:val="left"/>
            </w:pPr>
            <w:r>
              <w:rPr>
                <w:b/>
                <w:bCs/>
                <w:color w:val="FFFFFF"/>
                <w:sz w:val="21"/>
                <w:szCs w:val="21"/>
              </w:rPr>
              <w:t xml:space="preserve">Category</w:t>
            </w:r>
          </w:p>
        </w:tc>
        <w:tc>
          <w:tcPr>
            <w:tcW w:type="dxa" w:w="4680"/>
            <w:shd w:fill="1B2A5B" w:val="clear"/>
            <w:tcMar>
              <w:top w:type="dxa" w:w="80"/>
              <w:left w:type="dxa" w:w="100"/>
              <w:bottom w:type="dxa" w:w="80"/>
              <w:right w:type="dxa" w:w="100"/>
            </w:tcMar>
            <w:vAlign w:val="center"/>
          </w:tcPr>
          <w:p>
            <w:pPr>
              <w:jc w:val="left"/>
            </w:pPr>
            <w:r>
              <w:rPr>
                <w:b/>
                <w:bCs/>
                <w:color w:val="FFFFFF"/>
                <w:sz w:val="21"/>
                <w:szCs w:val="21"/>
              </w:rPr>
              <w:t xml:space="preserve">Criteria</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Outstanding Professional Achievement</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Significant career milestone or leadership role in industry</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Entrepreneurial Excellence</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Founder/co-founder of a recognised successful venture</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Social Impact</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Demonstrated contribution to community or social causes</w:t>
            </w:r>
          </w:p>
        </w:tc>
      </w:tr>
    </w:tbl>
    <w:p>
      <w:pPr>
        <w:spacing w:after="160"/>
      </w:pPr>
    </w:p>
    <w:p>
      <w:pPr>
        <w:pStyle w:val="Heading1"/>
        <w:spacing w:after="160" w:before="340"/>
      </w:pPr>
      <w:r>
        <w:rPr>
          <w:b/>
          <w:bCs/>
          <w:color w:val="1B2A5B"/>
        </w:rPr>
        <w:t xml:space="preserve">8. Alumni Giving &amp; Endowment</w:t>
      </w:r>
    </w:p>
    <w:p>
      <w:pPr>
        <w:spacing w:after="160" w:line="300"/>
      </w:pPr>
      <w:r>
        <w:rPr>
          <w:sz w:val="22"/>
          <w:szCs w:val="22"/>
        </w:rPr>
        <w:t xml:space="preserve">Alumni may contribute to the KRMU Endowment Fund, supporting scholarships, research grants, and infrastructure development. Contributions can be made through the Alumni Portal and are eligible for tax benefits under applicable provisions of the Income Tax Act, 1961.</w:t>
      </w:r>
    </w:p>
    <w:p>
      <w:pPr>
        <w:pStyle w:val="Heading1"/>
        <w:spacing w:after="160" w:before="340"/>
      </w:pPr>
      <w:r>
        <w:rPr>
          <w:b/>
          <w:bCs/>
          <w:color w:val="1B2A5B"/>
        </w:rPr>
        <w:t xml:space="preserve">9. Alumni Speaker Series</w:t>
      </w:r>
    </w:p>
    <w:p>
      <w:pPr>
        <w:spacing w:after="160" w:line="300"/>
      </w:pPr>
      <w:r>
        <w:rPr>
          <w:sz w:val="22"/>
          <w:szCs w:val="22"/>
        </w:rPr>
        <w:t xml:space="preserve">Departments regularly invite alumni to deliver guest lectures and industry talks as part of the Alumni Speaker Series, offering current students exposure to real-world career trajectories. Alumni interested in speaking may reach out through the Office of Alumni Relations.</w:t>
      </w:r>
    </w:p>
    <w:p>
      <w:pPr>
        <w:pStyle w:val="Heading1"/>
        <w:spacing w:after="160" w:before="340"/>
      </w:pPr>
      <w:r>
        <w:rPr>
          <w:b/>
          <w:bCs/>
          <w:color w:val="1B2A5B"/>
        </w:rPr>
        <w:t xml:space="preserve">10. Updating Alumni Records</w:t>
      </w:r>
    </w:p>
    <w:p>
      <w:pPr>
        <w:pStyle w:val="ListParagraph"/>
        <w:numPr>
          <w:ilvl w:val="0"/>
          <w:numId w:val="3"/>
        </w:numPr>
        <w:spacing w:after="100" w:line="300"/>
      </w:pPr>
      <w:r>
        <w:rPr>
          <w:sz w:val="22"/>
          <w:szCs w:val="22"/>
        </w:rPr>
        <w:t xml:space="preserve">Log in to the Alumni Portal using your registered email.</w:t>
      </w:r>
    </w:p>
    <w:p>
      <w:pPr>
        <w:pStyle w:val="ListParagraph"/>
        <w:numPr>
          <w:ilvl w:val="0"/>
          <w:numId w:val="3"/>
        </w:numPr>
        <w:spacing w:after="100" w:line="300"/>
      </w:pPr>
      <w:r>
        <w:rPr>
          <w:sz w:val="22"/>
          <w:szCs w:val="22"/>
        </w:rPr>
        <w:t xml:space="preserve">Update employment, contact, and location details under the Profile section.</w:t>
      </w:r>
    </w:p>
    <w:p>
      <w:pPr>
        <w:pStyle w:val="ListParagraph"/>
        <w:numPr>
          <w:ilvl w:val="0"/>
          <w:numId w:val="3"/>
        </w:numPr>
        <w:spacing w:after="100" w:line="300"/>
      </w:pPr>
      <w:r>
        <w:rPr>
          <w:sz w:val="22"/>
          <w:szCs w:val="22"/>
        </w:rPr>
        <w:t xml:space="preserve">Records are periodically verified through the annual Alumni Survey circulated each March.</w:t>
      </w:r>
    </w:p>
    <w:p>
      <w:pPr>
        <w:pStyle w:val="Heading1"/>
        <w:spacing w:after="160" w:before="340"/>
      </w:pPr>
      <w:r>
        <w:rPr>
          <w:b/>
          <w:bCs/>
          <w:color w:val="1B2A5B"/>
        </w:rPr>
        <w:t xml:space="preserve">11. Alumni Volunteering Opportunities</w:t>
      </w:r>
    </w:p>
    <w:p>
      <w:pPr>
        <w:pStyle w:val="ListParagraph"/>
        <w:numPr>
          <w:ilvl w:val="0"/>
          <w:numId w:val="2"/>
        </w:numPr>
        <w:spacing w:after="100" w:line="300"/>
      </w:pPr>
      <w:r>
        <w:rPr>
          <w:sz w:val="22"/>
          <w:szCs w:val="22"/>
        </w:rPr>
        <w:t xml:space="preserve">Guest lecturing under the Alumni Speaker Series (Section 9).</w:t>
      </w:r>
    </w:p>
    <w:p>
      <w:pPr>
        <w:pStyle w:val="ListParagraph"/>
        <w:numPr>
          <w:ilvl w:val="0"/>
          <w:numId w:val="2"/>
        </w:numPr>
        <w:spacing w:after="100" w:line="300"/>
      </w:pPr>
      <w:r>
        <w:rPr>
          <w:sz w:val="22"/>
          <w:szCs w:val="22"/>
        </w:rPr>
        <w:t xml:space="preserve">Serving as an industry mentor under the Mentorship Programme (Section 5).</w:t>
      </w:r>
    </w:p>
    <w:p>
      <w:pPr>
        <w:pStyle w:val="ListParagraph"/>
        <w:numPr>
          <w:ilvl w:val="0"/>
          <w:numId w:val="2"/>
        </w:numPr>
        <w:spacing w:after="100" w:line="300"/>
      </w:pPr>
      <w:r>
        <w:rPr>
          <w:sz w:val="22"/>
          <w:szCs w:val="22"/>
        </w:rPr>
        <w:t xml:space="preserve">Supporting the Training &amp; Placement Cell by sharing job openings on the Alumni Job Board.</w:t>
      </w:r>
    </w:p>
    <w:p>
      <w:pPr>
        <w:pStyle w:val="ListParagraph"/>
        <w:numPr>
          <w:ilvl w:val="0"/>
          <w:numId w:val="2"/>
        </w:numPr>
        <w:spacing w:after="100" w:line="300"/>
      </w:pPr>
      <w:r>
        <w:rPr>
          <w:sz w:val="22"/>
          <w:szCs w:val="22"/>
        </w:rPr>
        <w:t xml:space="preserve">Volunteering as an Alumni Ambassador for a city chapter (Section 4).</w:t>
      </w:r>
    </w:p>
    <w:p>
      <w:pPr>
        <w:pStyle w:val="Heading1"/>
        <w:spacing w:after="160" w:before="340"/>
      </w:pPr>
      <w:r>
        <w:rPr>
          <w:b/>
          <w:bCs/>
          <w:color w:val="1B2A5B"/>
        </w:rPr>
        <w:t xml:space="preserve">12. Alumni Success Stories &amp; Newsletter</w:t>
      </w:r>
    </w:p>
    <w:p>
      <w:pPr>
        <w:spacing w:after="160" w:line="300"/>
      </w:pPr>
      <w:r>
        <w:rPr>
          <w:sz w:val="22"/>
          <w:szCs w:val="22"/>
        </w:rPr>
        <w:t xml:space="preserve">The Office of Alumni Relations publishes a quarterly newsletter, "KRMU Connect," featuring alumni success stories, chapter event highlights, and upcoming engagement opportunities. Alumni wishing to feature their journey may submit their story through the Alumni Portal for editorial review.</w:t>
      </w:r>
    </w:p>
    <w:p>
      <w:pPr>
        <w:pStyle w:val="Heading1"/>
        <w:spacing w:after="160" w:before="340"/>
      </w:pPr>
      <w:r>
        <w:rPr>
          <w:b/>
          <w:bCs/>
          <w:color w:val="1B2A5B"/>
        </w:rPr>
        <w:t xml:space="preserve">13. Frequently Asked Questions</w:t>
      </w:r>
    </w:p>
    <w:p>
      <w:pPr>
        <w:spacing w:after="60" w:before="180"/>
      </w:pPr>
      <w:r>
        <w:rPr>
          <w:b/>
          <w:bCs/>
          <w:sz w:val="22"/>
          <w:szCs w:val="22"/>
        </w:rPr>
        <w:t xml:space="preserve">Q1. Is there a fee to register on the Alumni Portal?</w:t>
      </w:r>
    </w:p>
    <w:p>
      <w:pPr>
        <w:spacing w:after="100" w:line="300"/>
      </w:pPr>
      <w:r>
        <w:rPr>
          <w:sz w:val="22"/>
          <w:szCs w:val="22"/>
        </w:rPr>
        <w:t xml:space="preserve">A: No, registration on the Alumni Portal is free and automatic upon degree conferral.</w:t>
      </w:r>
    </w:p>
    <w:p>
      <w:pPr>
        <w:spacing w:after="60" w:before="180"/>
      </w:pPr>
      <w:r>
        <w:rPr>
          <w:b/>
          <w:bCs/>
          <w:sz w:val="22"/>
          <w:szCs w:val="22"/>
        </w:rPr>
        <w:t xml:space="preserve">Q2. Can alumni access placement services indefinitely?</w:t>
      </w:r>
    </w:p>
    <w:p>
      <w:pPr>
        <w:spacing w:after="100" w:line="300"/>
      </w:pPr>
      <w:r>
        <w:rPr>
          <w:sz w:val="22"/>
          <w:szCs w:val="22"/>
        </w:rPr>
        <w:t xml:space="preserve">A: Alumni have ongoing access to the Alumni Job Board; direct placement drive participation is reserved for currently enrolled students.</w:t>
      </w:r>
    </w:p>
    <w:p>
      <w:pPr>
        <w:spacing w:after="60" w:before="180"/>
      </w:pPr>
      <w:r>
        <w:rPr>
          <w:b/>
          <w:bCs/>
          <w:sz w:val="22"/>
          <w:szCs w:val="22"/>
        </w:rPr>
        <w:t xml:space="preserve">Q3. How can I start a new city chapter?</w:t>
      </w:r>
    </w:p>
    <w:p>
      <w:pPr>
        <w:spacing w:after="100" w:line="300"/>
      </w:pPr>
      <w:r>
        <w:rPr>
          <w:sz w:val="22"/>
          <w:szCs w:val="22"/>
        </w:rPr>
        <w:t xml:space="preserve">A: Submit a proposal through the Alumni Portal with at least 15 interested alumni in the proposed city; the Office of Alumni Relations reviews and approves new chapters quarterly.</w:t>
      </w:r>
    </w:p>
    <w:p>
      <w:pPr>
        <w:pStyle w:val="Heading1"/>
        <w:spacing w:after="160" w:before="340"/>
      </w:pPr>
      <w:r>
        <w:rPr>
          <w:b/>
          <w:bCs/>
          <w:color w:val="1B2A5B"/>
        </w:rPr>
        <w:t xml:space="preserve">14. Contact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B2A5B" w:val="clear"/>
            <w:tcMar>
              <w:top w:type="dxa" w:w="80"/>
              <w:left w:type="dxa" w:w="100"/>
              <w:bottom w:type="dxa" w:w="80"/>
              <w:right w:type="dxa" w:w="100"/>
            </w:tcMar>
            <w:vAlign w:val="center"/>
          </w:tcPr>
          <w:p>
            <w:pPr>
              <w:jc w:val="left"/>
            </w:pPr>
            <w:r>
              <w:rPr>
                <w:b/>
                <w:bCs/>
                <w:color w:val="FFFFFF"/>
                <w:sz w:val="21"/>
                <w:szCs w:val="21"/>
              </w:rPr>
              <w:t xml:space="preserve">Office</w:t>
            </w:r>
          </w:p>
        </w:tc>
        <w:tc>
          <w:tcPr>
            <w:tcW w:type="dxa" w:w="3120"/>
            <w:shd w:fill="1B2A5B" w:val="clear"/>
            <w:tcMar>
              <w:top w:type="dxa" w:w="80"/>
              <w:left w:type="dxa" w:w="100"/>
              <w:bottom w:type="dxa" w:w="80"/>
              <w:right w:type="dxa" w:w="100"/>
            </w:tcMar>
            <w:vAlign w:val="center"/>
          </w:tcPr>
          <w:p>
            <w:pPr>
              <w:jc w:val="left"/>
            </w:pPr>
            <w:r>
              <w:rPr>
                <w:b/>
                <w:bCs/>
                <w:color w:val="FFFFFF"/>
                <w:sz w:val="21"/>
                <w:szCs w:val="21"/>
              </w:rPr>
              <w:t xml:space="preserve">Contact Person</w:t>
            </w:r>
          </w:p>
        </w:tc>
        <w:tc>
          <w:tcPr>
            <w:tcW w:type="dxa" w:w="3120"/>
            <w:shd w:fill="1B2A5B" w:val="clear"/>
            <w:tcMar>
              <w:top w:type="dxa" w:w="80"/>
              <w:left w:type="dxa" w:w="100"/>
              <w:bottom w:type="dxa" w:w="80"/>
              <w:right w:type="dxa" w:w="100"/>
            </w:tcMar>
            <w:vAlign w:val="center"/>
          </w:tcPr>
          <w:p>
            <w:pPr>
              <w:jc w:val="left"/>
            </w:pPr>
            <w:r>
              <w:rPr>
                <w:b/>
                <w:bCs/>
                <w:color w:val="FFFFFF"/>
                <w:sz w:val="21"/>
                <w:szCs w:val="21"/>
              </w:rPr>
              <w:t xml:space="preserve">Email</w:t>
            </w:r>
          </w:p>
        </w:tc>
      </w:tr>
      <w:tr>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Office of Alumni Relations</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Ms. Simran Kaur, Alumni Relations Officer</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alumni@krmangalam.edu.in</w:t>
            </w:r>
          </w:p>
        </w:tc>
      </w:tr>
    </w:tbl>
    <w:p>
      <w:pPr>
        <w:spacing w:after="16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2A5B" w:sz="4"/>
      </w:pBdr>
      <w:spacing w:before="60"/>
      <w:jc w:val="center"/>
    </w:pPr>
    <w:r>
      <w:rPr>
        <w:color w:val="666666"/>
        <w:sz w:val="16"/>
        <w:szCs w:val="16"/>
      </w:rPr>
      <w:t xml:space="preserve">Office of the Registrar | K.R. Mangalam University | Confidential – For Internal &amp; Student Use  </w:t>
    </w:r>
    <w:r>
      <w:rPr>
        <w:color w:val="666666"/>
        <w:sz w:val="16"/>
        <w:szCs w:val="16"/>
      </w:rPr>
      <w:t xml:space="preserve">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5B" w:sz="4"/>
      </w:pBdr>
      <w:tabs>
        <w:tab w:val="right" w:pos="9360"/>
      </w:tabs>
      <w:spacing w:after="60"/>
    </w:pPr>
    <w:r>
      <w:rPr>
        <w:b/>
        <w:bCs/>
        <w:color w:val="1B2A5B"/>
        <w:sz w:val="18"/>
        <w:szCs w:val="18"/>
      </w:rPr>
      <w:t xml:space="preserve">K.R. Mangalam University</w:t>
    </w:r>
    <w:r>
      <w:rPr>
        <w:color w:val="666666"/>
        <w:sz w:val="18"/>
        <w:szCs w:val="18"/>
      </w:rPr>
      <w:t xml:space="preserve">	Alumni Handbook 2026–27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abstractNum w:abstractNumId="3"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2026-08-08T07:54:30.263Z</dcterms:created>
  <dcterms:modified xsi:type="dcterms:W3CDTF">2026-08-08T07:54:30.263Z</dcterms:modified>
</cp:coreProperties>
</file>

<file path=docProps/custom.xml><?xml version="1.0" encoding="utf-8"?>
<Properties xmlns="http://schemas.openxmlformats.org/officeDocument/2006/custom-properties" xmlns:vt="http://schemas.openxmlformats.org/officeDocument/2006/docPropsVTypes"/>
</file>