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b/>
          <w:bCs/>
          <w:color w:val="1B2A5B"/>
          <w:sz w:val="40"/>
          <w:szCs w:val="40"/>
        </w:rPr>
        <w:t xml:space="preserve">K.R. MANGALAM UNIVERSITY</w:t>
      </w:r>
    </w:p>
    <w:p>
      <w:pPr>
        <w:spacing w:after="300"/>
        <w:jc w:val="center"/>
      </w:pPr>
      <w:r>
        <w:rPr>
          <w:color w:val="666666"/>
          <w:sz w:val="18"/>
          <w:szCs w:val="18"/>
        </w:rPr>
        <w:t xml:space="preserve">Sohna Road, Gurugram, Haryana – 122103 | www.krmangalam.edu.in</w:t>
      </w:r>
    </w:p>
    <w:p>
      <w:pPr>
        <w:pBdr>
          <w:top w:val="single" w:color="B08D2B" w:sz="6"/>
          <w:bottom w:val="single" w:color="B08D2B" w:sz="6"/>
        </w:pBdr>
        <w:spacing w:after="200" w:before="200"/>
      </w:pPr>
      <w:r>
        <w:t xml:space="preserve"/>
      </w:r>
    </w:p>
    <w:p>
      <w:pPr>
        <w:spacing w:before="600"/>
      </w:pPr>
      <w:r>
        <w:t xml:space="preserve"/>
      </w:r>
    </w:p>
    <w:p>
      <w:pPr>
        <w:spacing w:after="200"/>
        <w:jc w:val="center"/>
      </w:pPr>
      <w:r>
        <w:rPr>
          <w:b/>
          <w:bCs/>
          <w:color w:val="B08D2B"/>
          <w:sz w:val="24"/>
          <w:szCs w:val="24"/>
        </w:rPr>
        <w:t xml:space="preserve">OFFICIAL POLICY DOCUMENT</w:t>
      </w:r>
    </w:p>
    <w:p>
      <w:pPr>
        <w:spacing w:after="600"/>
        <w:jc w:val="center"/>
      </w:pPr>
      <w:r>
        <w:rPr>
          <w:b/>
          <w:bCs/>
          <w:sz w:val="44"/>
          <w:szCs w:val="44"/>
        </w:rPr>
        <w:t xml:space="preserve">Intellectual Property Rights (IPR) Policy</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B2A5B" w:val="clear"/>
            <w:tcMar>
              <w:top w:type="dxa" w:w="80"/>
              <w:left w:type="dxa" w:w="100"/>
              <w:bottom w:type="dxa" w:w="80"/>
              <w:right w:type="dxa" w:w="100"/>
            </w:tcMar>
            <w:vAlign w:val="center"/>
          </w:tcPr>
          <w:p>
            <w:pPr>
              <w:jc w:val="left"/>
            </w:pPr>
            <w:r>
              <w:rPr>
                <w:b/>
                <w:bCs/>
                <w:color w:val="FFFFFF"/>
                <w:sz w:val="21"/>
                <w:szCs w:val="21"/>
              </w:rPr>
              <w:t xml:space="preserve">Field</w:t>
            </w:r>
          </w:p>
        </w:tc>
        <w:tc>
          <w:tcPr>
            <w:tcW w:type="dxa" w:w="6360"/>
            <w:shd w:fill="1B2A5B" w:val="clear"/>
            <w:tcMar>
              <w:top w:type="dxa" w:w="80"/>
              <w:left w:type="dxa" w:w="100"/>
              <w:bottom w:type="dxa" w:w="80"/>
              <w:right w:type="dxa" w:w="100"/>
            </w:tcMar>
            <w:vAlign w:val="center"/>
          </w:tcPr>
          <w:p>
            <w:pPr>
              <w:jc w:val="left"/>
            </w:pPr>
            <w:r>
              <w:rPr>
                <w:b/>
                <w:bCs/>
                <w:color w:val="FFFFFF"/>
                <w:sz w:val="21"/>
                <w:szCs w:val="21"/>
              </w:rPr>
              <w:t xml:space="preserve">Detail</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Notice Number</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KRMU/RID/IPR/2026-27/021</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Effective Date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1 April 2026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Version</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Version 2.0</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Approved By</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Office of the Registrar, K.R. Mangalam University</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Applicable To</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All students, faculty, and staff, Academic Session 2026–2027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Review Cycle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Annual, or as directed by the Academic Council</w:t>
            </w:r>
          </w:p>
        </w:tc>
      </w:tr>
    </w:tbl>
    <w:p>
      <w:r>
        <w:br w:type="page"/>
      </w:r>
    </w:p>
    <w:p>
      <w:pPr>
        <w:pStyle w:val="Heading1"/>
        <w:spacing w:after="160" w:before="340"/>
      </w:pPr>
      <w:r>
        <w:rPr>
          <w:b/>
          <w:bCs/>
          <w:color w:val="1B2A5B"/>
        </w:rPr>
        <w:t xml:space="preserve">Document Control &amp; Revision History</w:t>
      </w:r>
    </w:p>
    <w:p>
      <w:pPr>
        <w:spacing w:after="160" w:line="300"/>
      </w:pPr>
      <w:r>
        <w:rPr>
          <w:sz w:val="22"/>
          <w:szCs w:val="22"/>
        </w:rPr>
        <w:t xml:space="preserve">This document, "Intellectual Property Rights (IPR) Policy," is maintained by the concerned administrative office of K.R. Mangalam University and is subject to periodic review. The table below records the revision history of this document under notice number KRMU/RID/IPR/2026-27/021.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400"/>
        <w:gridCol w:w="1660"/>
      </w:tblGrid>
      <w:tr>
        <w:tc>
          <w:tcPr>
            <w:tcW w:type="dxa" w:w="1400"/>
            <w:shd w:fill="1B2A5B" w:val="clear"/>
            <w:tcMar>
              <w:top w:type="dxa" w:w="80"/>
              <w:left w:type="dxa" w:w="100"/>
              <w:bottom w:type="dxa" w:w="80"/>
              <w:right w:type="dxa" w:w="100"/>
            </w:tcMar>
            <w:vAlign w:val="center"/>
          </w:tcPr>
          <w:p>
            <w:pPr>
              <w:jc w:val="left"/>
            </w:pPr>
            <w:r>
              <w:rPr>
                <w:b/>
                <w:bCs/>
                <w:color w:val="FFFFFF"/>
                <w:sz w:val="21"/>
                <w:szCs w:val="21"/>
              </w:rPr>
              <w:t xml:space="preserve">Version</w:t>
            </w:r>
          </w:p>
        </w:tc>
        <w:tc>
          <w:tcPr>
            <w:tcW w:type="dxa" w:w="1900"/>
            <w:shd w:fill="1B2A5B" w:val="clear"/>
            <w:tcMar>
              <w:top w:type="dxa" w:w="80"/>
              <w:left w:type="dxa" w:w="100"/>
              <w:bottom w:type="dxa" w:w="80"/>
              <w:right w:type="dxa" w:w="100"/>
            </w:tcMar>
            <w:vAlign w:val="center"/>
          </w:tcPr>
          <w:p>
            <w:pPr>
              <w:jc w:val="left"/>
            </w:pPr>
            <w:r>
              <w:rPr>
                <w:b/>
                <w:bCs/>
                <w:color w:val="FFFFFF"/>
                <w:sz w:val="21"/>
                <w:szCs w:val="21"/>
              </w:rPr>
              <w:t xml:space="preserve">Date</w:t>
            </w:r>
          </w:p>
        </w:tc>
        <w:tc>
          <w:tcPr>
            <w:tcW w:type="dxa" w:w="4400"/>
            <w:shd w:fill="1B2A5B" w:val="clear"/>
            <w:tcMar>
              <w:top w:type="dxa" w:w="80"/>
              <w:left w:type="dxa" w:w="100"/>
              <w:bottom w:type="dxa" w:w="80"/>
              <w:right w:type="dxa" w:w="100"/>
            </w:tcMar>
            <w:vAlign w:val="center"/>
          </w:tcPr>
          <w:p>
            <w:pPr>
              <w:jc w:val="left"/>
            </w:pPr>
            <w:r>
              <w:rPr>
                <w:b/>
                <w:bCs/>
                <w:color w:val="FFFFFF"/>
                <w:sz w:val="21"/>
                <w:szCs w:val="21"/>
              </w:rPr>
              <w:t xml:space="preserve">Summary of Change</w:t>
            </w:r>
          </w:p>
        </w:tc>
        <w:tc>
          <w:tcPr>
            <w:tcW w:type="dxa" w:w="1660"/>
            <w:shd w:fill="1B2A5B" w:val="clear"/>
            <w:tcMar>
              <w:top w:type="dxa" w:w="80"/>
              <w:left w:type="dxa" w:w="100"/>
              <w:bottom w:type="dxa" w:w="80"/>
              <w:right w:type="dxa" w:w="100"/>
            </w:tcMar>
            <w:vAlign w:val="center"/>
          </w:tcPr>
          <w:p>
            <w:pPr>
              <w:jc w:val="left"/>
            </w:pPr>
            <w:r>
              <w:rPr>
                <w:b/>
                <w:bCs/>
                <w:color w:val="FFFFFF"/>
                <w:sz w:val="21"/>
                <w:szCs w:val="21"/>
              </w:rPr>
              <w:t xml:space="preserve">Approved By</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15 June 2024</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Initial release for Academic Session 2024–2025</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10 June 2025</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updated fee/fine figures and contact details</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 April 2026</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for Academic Session 2026–2027; policy realigned with current ERP workflow</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r>
    </w:tbl>
    <w:p>
      <w:pPr>
        <w:spacing w:after="160"/>
      </w:pPr>
    </w:p>
    <w:p>
      <w:pPr>
        <w:pStyle w:val="Heading1"/>
        <w:spacing w:after="160" w:before="340"/>
      </w:pPr>
      <w:r>
        <w:rPr>
          <w:b/>
          <w:bCs/>
          <w:color w:val="1B2A5B"/>
        </w:rPr>
        <w:t xml:space="preserve">Related Documents</w:t>
      </w:r>
    </w:p>
    <w:p>
      <w:pPr>
        <w:spacing w:after="160" w:line="300"/>
      </w:pPr>
      <w:r>
        <w:rPr>
          <w:sz w:val="22"/>
          <w:szCs w:val="22"/>
        </w:rPr>
        <w:t xml:space="preserve">Readers of "IPR Policy 2026–27" should also refer to the following related official documents for a complete understanding of University policy:</w:t>
      </w:r>
    </w:p>
    <w:p>
      <w:pPr>
        <w:pStyle w:val="ListParagraph"/>
        <w:numPr>
          <w:ilvl w:val="0"/>
          <w:numId w:val="2"/>
        </w:numPr>
        <w:spacing w:after="100" w:line="300"/>
      </w:pPr>
      <w:r>
        <w:rPr>
          <w:sz w:val="22"/>
          <w:szCs w:val="22"/>
        </w:rPr>
        <w:t xml:space="preserve">University Attendance Policy (Academic Session 2026–2027)</w:t>
      </w:r>
    </w:p>
    <w:p>
      <w:pPr>
        <w:pStyle w:val="ListParagraph"/>
        <w:numPr>
          <w:ilvl w:val="0"/>
          <w:numId w:val="2"/>
        </w:numPr>
        <w:spacing w:after="100" w:line="300"/>
      </w:pPr>
      <w:r>
        <w:rPr>
          <w:sz w:val="22"/>
          <w:szCs w:val="22"/>
        </w:rPr>
        <w:t xml:space="preserve">Examination Rules &amp; Evaluation Policy (2026–2027)</w:t>
      </w:r>
    </w:p>
    <w:p>
      <w:pPr>
        <w:pStyle w:val="ListParagraph"/>
        <w:numPr>
          <w:ilvl w:val="0"/>
          <w:numId w:val="2"/>
        </w:numPr>
        <w:spacing w:after="100" w:line="300"/>
      </w:pPr>
      <w:r>
        <w:rPr>
          <w:sz w:val="22"/>
          <w:szCs w:val="22"/>
        </w:rPr>
        <w:t xml:space="preserve">Student Code of Conduct &amp; Discipline Policy</w:t>
      </w:r>
    </w:p>
    <w:p>
      <w:pPr>
        <w:pStyle w:val="ListParagraph"/>
        <w:numPr>
          <w:ilvl w:val="0"/>
          <w:numId w:val="2"/>
        </w:numPr>
        <w:spacing w:after="100" w:line="300"/>
      </w:pPr>
      <w:r>
        <w:rPr>
          <w:sz w:val="22"/>
          <w:szCs w:val="22"/>
        </w:rPr>
        <w:t xml:space="preserve">Hostel Rules &amp; Residential Handbook (2026–2027)</w:t>
      </w:r>
    </w:p>
    <w:p>
      <w:pPr>
        <w:pStyle w:val="ListParagraph"/>
        <w:numPr>
          <w:ilvl w:val="0"/>
          <w:numId w:val="2"/>
        </w:numPr>
        <w:spacing w:after="100" w:line="300"/>
      </w:pPr>
      <w:r>
        <w:rPr>
          <w:sz w:val="22"/>
          <w:szCs w:val="22"/>
        </w:rPr>
        <w:t xml:space="preserve">Campus IT Services &amp; Digital Identity Guide</w:t>
      </w:r>
    </w:p>
    <w:p>
      <w:pPr>
        <w:spacing w:after="160" w:line="300"/>
      </w:pPr>
      <w:r>
        <w:rPr>
          <w:sz w:val="22"/>
          <w:szCs w:val="22"/>
        </w:rPr>
        <w:t xml:space="preserve">Where any provision of this document conflicts with a related policy listed above, the more recently notified document shall prevail, unless otherwise specified by the Office of the Registrar.</w:t>
      </w:r>
    </w:p>
    <w:p>
      <w:pPr>
        <w:pStyle w:val="Heading1"/>
        <w:spacing w:after="160" w:before="340"/>
      </w:pPr>
      <w:r>
        <w:rPr>
          <w:b/>
          <w:bCs/>
          <w:color w:val="1B2A5B"/>
        </w:rPr>
        <w:t xml:space="preserve">1. Purpose &amp; Applicability</w:t>
      </w:r>
    </w:p>
    <w:p>
      <w:pPr>
        <w:spacing w:after="160" w:line="300"/>
      </w:pPr>
      <w:r>
        <w:rPr>
          <w:sz w:val="22"/>
          <w:szCs w:val="22"/>
        </w:rPr>
        <w:t xml:space="preserve">This policy governs the ownership, protection, and commercialisation of intellectual property (IP) created by faculty, staff, and students of K.R. Mangalam University in the course of academic, research, or sponsored project activity, administered by the Research &amp; Innovation Division (RID).</w:t>
      </w:r>
    </w:p>
    <w:p>
      <w:pPr>
        <w:pStyle w:val="Heading1"/>
        <w:spacing w:after="160" w:before="340"/>
      </w:pPr>
      <w:r>
        <w:rPr>
          <w:b/>
          <w:bCs/>
          <w:color w:val="1B2A5B"/>
        </w:rPr>
        <w:t xml:space="preserve">2. Definitions</w:t>
      </w:r>
    </w:p>
    <w:p>
      <w:pPr>
        <w:pStyle w:val="ListParagraph"/>
        <w:numPr>
          <w:ilvl w:val="0"/>
          <w:numId w:val="2"/>
        </w:numPr>
        <w:spacing w:after="100" w:line="300"/>
      </w:pPr>
      <w:r>
        <w:rPr>
          <w:sz w:val="22"/>
          <w:szCs w:val="22"/>
        </w:rPr>
        <w:t xml:space="preserve">Intellectual Property (IP): Patents, copyrights, trademarks, trade secrets, industrial designs, and know-how arising from University-affiliated work.</w:t>
      </w:r>
    </w:p>
    <w:p>
      <w:pPr>
        <w:pStyle w:val="ListParagraph"/>
        <w:numPr>
          <w:ilvl w:val="0"/>
          <w:numId w:val="2"/>
        </w:numPr>
        <w:spacing w:after="100" w:line="300"/>
      </w:pPr>
      <w:r>
        <w:rPr>
          <w:sz w:val="22"/>
          <w:szCs w:val="22"/>
        </w:rPr>
        <w:t xml:space="preserve">University Resources: Any facility, funding, equipment, or paid time provided by the University toward the creation of IP.</w:t>
      </w:r>
    </w:p>
    <w:p>
      <w:pPr>
        <w:pStyle w:val="ListParagraph"/>
        <w:numPr>
          <w:ilvl w:val="0"/>
          <w:numId w:val="2"/>
        </w:numPr>
        <w:spacing w:after="100" w:line="300"/>
      </w:pPr>
      <w:r>
        <w:rPr>
          <w:sz w:val="22"/>
          <w:szCs w:val="22"/>
        </w:rPr>
        <w:t xml:space="preserve">Creator: The faculty member, staff member, or student who conceives or develops the IP.</w:t>
      </w:r>
    </w:p>
    <w:p>
      <w:pPr>
        <w:pStyle w:val="Heading1"/>
        <w:spacing w:after="160" w:before="340"/>
      </w:pPr>
      <w:r>
        <w:rPr>
          <w:b/>
          <w:bCs/>
          <w:color w:val="1B2A5B"/>
        </w:rPr>
        <w:t xml:space="preserve">3. Ownership of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Circumstance</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IP Ownership</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Created using substantial University resources / as part of employment duties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University (Creator retains right to royalty share)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Created by a student independently, without University resources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Student</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Created under a sponsored/industry-funded project</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As per the specific project agreement/MoU</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Joint creation with external collaborators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Shared as per collaboration agreement</w:t>
            </w:r>
          </w:p>
        </w:tc>
      </w:tr>
    </w:tbl>
    <w:p>
      <w:pPr>
        <w:spacing w:after="160"/>
      </w:pPr>
    </w:p>
    <w:p>
      <w:pPr>
        <w:pStyle w:val="Heading1"/>
        <w:spacing w:after="160" w:before="340"/>
      </w:pPr>
      <w:r>
        <w:rPr>
          <w:b/>
          <w:bCs/>
          <w:color w:val="1B2A5B"/>
        </w:rPr>
        <w:t xml:space="preserve">4. Disclosure Requirement</w:t>
      </w:r>
    </w:p>
    <w:p>
      <w:pPr>
        <w:spacing w:after="160" w:line="300"/>
      </w:pPr>
      <w:r>
        <w:rPr>
          <w:sz w:val="22"/>
          <w:szCs w:val="22"/>
        </w:rPr>
        <w:t xml:space="preserve">Any faculty member, staff member, or student who creates potentially patentable or commercially valuable IP must submit an Invention Disclosure Form to the RID Patent Cell within 30 days of conception, before any public disclosure, publication, or presentation of the work.</w:t>
      </w:r>
    </w:p>
    <w:p>
      <w:pPr>
        <w:pStyle w:val="Heading1"/>
        <w:spacing w:after="160" w:before="340"/>
      </w:pPr>
      <w:r>
        <w:rPr>
          <w:b/>
          <w:bCs/>
          <w:color w:val="1B2A5B"/>
        </w:rPr>
        <w:t xml:space="preserve">5. Patent Filing Process</w:t>
      </w:r>
    </w:p>
    <w:p>
      <w:pPr>
        <w:pStyle w:val="ListParagraph"/>
        <w:numPr>
          <w:ilvl w:val="0"/>
          <w:numId w:val="3"/>
        </w:numPr>
        <w:spacing w:after="100" w:line="300"/>
      </w:pPr>
      <w:r>
        <w:rPr>
          <w:sz w:val="22"/>
          <w:szCs w:val="22"/>
        </w:rPr>
        <w:t xml:space="preserve">Creator submits Invention Disclosure Form to the Patent Cell.</w:t>
      </w:r>
    </w:p>
    <w:p>
      <w:pPr>
        <w:pStyle w:val="ListParagraph"/>
        <w:numPr>
          <w:ilvl w:val="0"/>
          <w:numId w:val="3"/>
        </w:numPr>
        <w:spacing w:after="100" w:line="300"/>
      </w:pPr>
      <w:r>
        <w:rPr>
          <w:sz w:val="22"/>
          <w:szCs w:val="22"/>
        </w:rPr>
        <w:t xml:space="preserve">Patent Cell conducts a preliminary novelty search and commercial viability assessment.</w:t>
      </w:r>
    </w:p>
    <w:p>
      <w:pPr>
        <w:pStyle w:val="ListParagraph"/>
        <w:numPr>
          <w:ilvl w:val="0"/>
          <w:numId w:val="3"/>
        </w:numPr>
        <w:spacing w:after="100" w:line="300"/>
      </w:pPr>
      <w:r>
        <w:rPr>
          <w:sz w:val="22"/>
          <w:szCs w:val="22"/>
        </w:rPr>
        <w:t xml:space="preserve">If viable, the University engages a patent attorney to prepare and file the application, bearing all associated costs.</w:t>
      </w:r>
    </w:p>
    <w:p>
      <w:pPr>
        <w:pStyle w:val="ListParagraph"/>
        <w:numPr>
          <w:ilvl w:val="0"/>
          <w:numId w:val="3"/>
        </w:numPr>
        <w:spacing w:after="100" w:line="300"/>
      </w:pPr>
      <w:r>
        <w:rPr>
          <w:sz w:val="22"/>
          <w:szCs w:val="22"/>
        </w:rPr>
        <w:t xml:space="preserve">Creator is kept informed and consulted throughout the filing and prosecution process.</w:t>
      </w:r>
    </w:p>
    <w:p>
      <w:pPr>
        <w:pStyle w:val="Heading1"/>
        <w:spacing w:after="160" w:before="340"/>
      </w:pPr>
      <w:r>
        <w:rPr>
          <w:b/>
          <w:bCs/>
          <w:color w:val="1B2A5B"/>
        </w:rPr>
        <w:t xml:space="preserve">6. Revenue Sharing on Commercialisation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Net Revenue Slab</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Creator(s) Share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University Share</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First ₹10,00,000</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50%</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50%</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₹10,00,001 – ₹50,00,000</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40%</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60%</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Beyond ₹50,00,000</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30%</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70%</w:t>
            </w:r>
          </w:p>
        </w:tc>
      </w:tr>
    </w:tbl>
    <w:p>
      <w:pPr>
        <w:spacing w:after="160"/>
      </w:pPr>
    </w:p>
    <w:p>
      <w:pPr>
        <w:spacing w:after="160" w:line="300"/>
      </w:pPr>
      <w:r>
        <w:rPr>
          <w:sz w:val="22"/>
          <w:szCs w:val="22"/>
        </w:rPr>
        <w:t xml:space="preserve">Where multiple creators are involved, the creators' share is distributed among them as mutually agreed and recorded in writing with the RID at the time of disclosure.</w:t>
      </w:r>
    </w:p>
    <w:p>
      <w:pPr>
        <w:pStyle w:val="Heading1"/>
        <w:spacing w:after="160" w:before="340"/>
      </w:pPr>
      <w:r>
        <w:rPr>
          <w:b/>
          <w:bCs/>
          <w:color w:val="1B2A5B"/>
        </w:rPr>
        <w:t xml:space="preserve">7. Copyright of Academic Work</w:t>
      </w:r>
    </w:p>
    <w:p>
      <w:pPr>
        <w:pStyle w:val="ListParagraph"/>
        <w:numPr>
          <w:ilvl w:val="0"/>
          <w:numId w:val="2"/>
        </w:numPr>
        <w:spacing w:after="100" w:line="300"/>
      </w:pPr>
      <w:r>
        <w:rPr>
          <w:sz w:val="22"/>
          <w:szCs w:val="22"/>
        </w:rPr>
        <w:t xml:space="preserve">Copyright in theses, dissertations, and academic publications generally vests with the author(s), subject to the University's right to a non-exclusive licence for archival and non-commercial academic use.</w:t>
      </w:r>
    </w:p>
    <w:p>
      <w:pPr>
        <w:pStyle w:val="ListParagraph"/>
        <w:numPr>
          <w:ilvl w:val="0"/>
          <w:numId w:val="2"/>
        </w:numPr>
        <w:spacing w:after="100" w:line="300"/>
      </w:pPr>
      <w:r>
        <w:rPr>
          <w:sz w:val="22"/>
          <w:szCs w:val="22"/>
        </w:rPr>
        <w:t xml:space="preserve">Course material, lecture notes, and MOOCs developed for University programmes are owned by the University where developed using University resources or as part of assigned duties.</w:t>
      </w:r>
    </w:p>
    <w:p>
      <w:pPr>
        <w:pStyle w:val="Heading1"/>
        <w:spacing w:after="160" w:before="340"/>
      </w:pPr>
      <w:r>
        <w:rPr>
          <w:b/>
          <w:bCs/>
          <w:color w:val="1B2A5B"/>
        </w:rPr>
        <w:t xml:space="preserve">8. Student-Created IP in Coursework/Hackathons</w:t>
      </w:r>
    </w:p>
    <w:p>
      <w:pPr>
        <w:spacing w:after="160" w:line="300"/>
      </w:pPr>
      <w:r>
        <w:rPr>
          <w:sz w:val="22"/>
          <w:szCs w:val="22"/>
        </w:rPr>
        <w:t xml:space="preserve">IP created by students during coursework, capstone projects, or University-organised hackathons (such as the AI Innovation Challenge) generally remains with the student team, unless developed under a sponsored industry project with specific IP assignment terms disclosed at registration.</w:t>
      </w:r>
    </w:p>
    <w:p>
      <w:pPr>
        <w:pStyle w:val="Heading1"/>
        <w:spacing w:after="160" w:before="340"/>
      </w:pPr>
      <w:r>
        <w:rPr>
          <w:b/>
          <w:bCs/>
          <w:color w:val="1B2A5B"/>
        </w:rPr>
        <w:t xml:space="preserve">9. Confidentiality Obligations</w:t>
      </w:r>
    </w:p>
    <w:p>
      <w:pPr>
        <w:spacing w:after="160" w:line="300"/>
      </w:pPr>
      <w:r>
        <w:rPr>
          <w:sz w:val="22"/>
          <w:szCs w:val="22"/>
        </w:rPr>
        <w:t xml:space="preserve">All creators are obligated to maintain confidentiality regarding disclosed inventions until a patent application is filed or the University determines the invention is not commercially viable and releases it for open disclosure.</w:t>
      </w:r>
    </w:p>
    <w:p>
      <w:pPr>
        <w:pStyle w:val="Heading1"/>
        <w:spacing w:after="160" w:before="340"/>
      </w:pPr>
      <w:r>
        <w:rPr>
          <w:b/>
          <w:bCs/>
          <w:color w:val="1B2A5B"/>
        </w:rPr>
        <w:t xml:space="preserve">10. Dispute Resolution</w:t>
      </w:r>
    </w:p>
    <w:p>
      <w:pPr>
        <w:spacing w:after="160" w:line="300"/>
      </w:pPr>
      <w:r>
        <w:rPr>
          <w:sz w:val="22"/>
          <w:szCs w:val="22"/>
        </w:rPr>
        <w:t xml:space="preserve">Disputes regarding IP ownership or revenue sharing are first referred to the IPR Committee, chaired by the Dean of Research, for internal resolution. Unresolved disputes may be escalated to arbitration under the Arbitration and Conciliation Act, 1996, with jurisdiction in Gurugram.</w:t>
      </w:r>
    </w:p>
    <w:p>
      <w:pPr>
        <w:pStyle w:val="Heading1"/>
        <w:spacing w:after="160" w:before="340"/>
      </w:pPr>
      <w:r>
        <w:rPr>
          <w:b/>
          <w:bCs/>
          <w:color w:val="1B2A5B"/>
        </w:rPr>
        <w:t xml:space="preserve">11. IPR Awareness &amp; Training</w:t>
      </w:r>
    </w:p>
    <w:p>
      <w:pPr>
        <w:spacing w:after="160" w:line="300"/>
      </w:pPr>
      <w:r>
        <w:rPr>
          <w:sz w:val="22"/>
          <w:szCs w:val="22"/>
        </w:rPr>
        <w:t xml:space="preserve">The RID Patent Cell conducts mandatory IPR awareness workshops for all new faculty during induction and periodic refresher sessions for PhD scholars, covering disclosure procedures, patentability criteria, and common pitfalls such as premature public disclosure of inventions.</w:t>
      </w:r>
    </w:p>
    <w:p>
      <w:pPr>
        <w:pStyle w:val="Heading1"/>
        <w:spacing w:after="160" w:before="340"/>
      </w:pPr>
      <w:r>
        <w:rPr>
          <w:b/>
          <w:bCs/>
          <w:color w:val="1B2A5B"/>
        </w:rPr>
        <w:t xml:space="preserve">12. Start-up Incubation &amp; Licensing Support</w:t>
      </w:r>
    </w:p>
    <w:p>
      <w:pPr>
        <w:spacing w:after="160" w:line="300"/>
      </w:pPr>
      <w:r>
        <w:rPr>
          <w:sz w:val="22"/>
          <w:szCs w:val="22"/>
        </w:rPr>
        <w:t xml:space="preserve">Creators wishing to commercialise their IP through a start-up may apply to the KRMU Innovation &amp; Incubation Cell for licensing of the University-owned IP on preferential terms, in addition to incubation support such as workspace, mentorship, and seed funding access, subject to a formal licensing agreement with the RID.</w:t>
      </w:r>
    </w:p>
    <w:p>
      <w:pPr>
        <w:pStyle w:val="Heading1"/>
        <w:spacing w:after="160" w:before="340"/>
      </w:pPr>
      <w:r>
        <w:rPr>
          <w:b/>
          <w:bCs/>
          <w:color w:val="1B2A5B"/>
        </w:rPr>
        <w:t xml:space="preserve">13. Frequently Asked Questions</w:t>
      </w:r>
    </w:p>
    <w:p>
      <w:pPr>
        <w:spacing w:after="60" w:before="180"/>
      </w:pPr>
      <w:r>
        <w:rPr>
          <w:b/>
          <w:bCs/>
          <w:sz w:val="22"/>
          <w:szCs w:val="22"/>
        </w:rPr>
        <w:t xml:space="preserve">Q1. Do I need to disclose an invention I made entirely on my own time?</w:t>
      </w:r>
    </w:p>
    <w:p>
      <w:pPr>
        <w:spacing w:after="100" w:line="300"/>
      </w:pPr>
      <w:r>
        <w:rPr>
          <w:sz w:val="22"/>
          <w:szCs w:val="22"/>
        </w:rPr>
        <w:t xml:space="preserve">A: If it relates to your field of study/research at the University or used any University resource, disclosure is still required; purely personal, unrelated inventions using no University resources are not subject to this policy.</w:t>
      </w:r>
    </w:p>
    <w:p>
      <w:pPr>
        <w:spacing w:after="60" w:before="180"/>
      </w:pPr>
      <w:r>
        <w:rPr>
          <w:b/>
          <w:bCs/>
          <w:sz w:val="22"/>
          <w:szCs w:val="22"/>
        </w:rPr>
        <w:t xml:space="preserve">Q2. Who bears the cost of filing a patent?</w:t>
      </w:r>
    </w:p>
    <w:p>
      <w:pPr>
        <w:spacing w:after="100" w:line="300"/>
      </w:pPr>
      <w:r>
        <w:rPr>
          <w:sz w:val="22"/>
          <w:szCs w:val="22"/>
        </w:rPr>
        <w:t xml:space="preserve">A: The University bears the full cost of filing and prosecuting a patent application once approved by the Patent Cell, as outlined in the Research &amp; Publication Incentive Policy.</w:t>
      </w:r>
    </w:p>
    <w:p>
      <w:pPr>
        <w:spacing w:after="60" w:before="180"/>
      </w:pPr>
      <w:r>
        <w:rPr>
          <w:b/>
          <w:bCs/>
          <w:sz w:val="22"/>
          <w:szCs w:val="22"/>
        </w:rPr>
        <w:t xml:space="preserve">Q3. What happens if the University decides not to pursue a patent?</w:t>
      </w:r>
    </w:p>
    <w:p>
      <w:pPr>
        <w:spacing w:after="100" w:line="300"/>
      </w:pPr>
      <w:r>
        <w:rPr>
          <w:sz w:val="22"/>
          <w:szCs w:val="22"/>
        </w:rPr>
        <w:t xml:space="preserve">A: The Creator may request release of the IP for independent filing, subject to a written release agreement from the RID.</w:t>
      </w:r>
    </w:p>
    <w:p>
      <w:pPr>
        <w:pStyle w:val="Heading1"/>
        <w:spacing w:after="160" w:before="340"/>
      </w:pPr>
      <w:r>
        <w:rPr>
          <w:b/>
          <w:bCs/>
          <w:color w:val="1B2A5B"/>
        </w:rPr>
        <w:t xml:space="preserve">14.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Office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Contact Person</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Email</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RID Patent Cell</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Dr. Shalini Verma, IPR Coordinator</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patents@krmangalam.edu.in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Dean of Research</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Dr. Ramesh Iyer</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research@krmangalam.edu.in</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B" w:sz="4"/>
      </w:pBdr>
      <w:spacing w:before="60"/>
      <w:jc w:val="center"/>
    </w:pPr>
    <w:r>
      <w:rPr>
        <w:color w:val="666666"/>
        <w:sz w:val="16"/>
        <w:szCs w:val="16"/>
      </w:rPr>
      <w:t xml:space="preserve">Office of the Registrar | K.R. Mangalam University | Confidential – For Internal &amp; Student Use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B" w:sz="4"/>
      </w:pBdr>
      <w:tabs>
        <w:tab w:val="right" w:pos="9360"/>
      </w:tabs>
      <w:spacing w:after="60"/>
    </w:pPr>
    <w:r>
      <w:rPr>
        <w:b/>
        <w:bCs/>
        <w:color w:val="1B2A5B"/>
        <w:sz w:val="18"/>
        <w:szCs w:val="18"/>
      </w:rPr>
      <w:t xml:space="preserve">K.R. Mangalam University</w:t>
    </w:r>
    <w:r>
      <w:rPr>
        <w:color w:val="666666"/>
        <w:sz w:val="18"/>
        <w:szCs w:val="18"/>
      </w:rPr>
      <w:t xml:space="preserve">	IPR Policy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2026-08-08T07:54:30.294Z</dcterms:created>
  <dcterms:modified xsi:type="dcterms:W3CDTF">2026-08-08T07:54:30.294Z</dcterms:modified>
</cp:coreProperties>
</file>

<file path=docProps/custom.xml><?xml version="1.0" encoding="utf-8"?>
<Properties xmlns="http://schemas.openxmlformats.org/officeDocument/2006/custom-properties" xmlns:vt="http://schemas.openxmlformats.org/officeDocument/2006/docPropsVTypes"/>
</file>