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Faculty Recruitment &amp; Career Progression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KRMU/HR/FAC/2026-27/025</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"Faculty Recruitment &amp; Career Progression Policy," is maintained by the concerned administrative office of K.R. Mangalam University and is subject to periodic review. The table below records the revision history of this document under notice number KRMU/HR/FAC/2026-27/025.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2.6</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"Faculty Recruitment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w:t>
      </w:r>
    </w:p>
    <w:p>
      <w:pPr>
        <w:spacing w:after="160" w:line="300"/>
      </w:pPr>
      <w:r>
        <w:rPr>
          <w:sz w:val="22"/>
          <w:szCs w:val="22"/>
        </w:rPr>
        <w:t xml:space="preserve">This policy, issued by Human Resources in consultation with the Academic Council, governs the recruitment, career progression, and performance appraisal of faculty members at K.R. Mangalam University, aligned with UGC Regulations on Minimum Qualifications for Appointment of Teachers, 2018 (as amended).</w:t>
      </w:r>
    </w:p>
    <w:p>
      <w:pPr>
        <w:pStyle w:val="Heading1"/>
        <w:spacing w:after="160" w:before="340"/>
      </w:pPr>
      <w:r>
        <w:rPr>
          <w:b/>
          <w:bCs/>
          <w:color w:val="1B2A5B"/>
        </w:rPr>
        <w:t xml:space="preserve">2. Faculty Cadre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Designation</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Minimum Qualification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Assistant 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PhD (or NET/SET qualified with Master's, per UGC transitional provisions)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Associate 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PhD + minimum 8 years teaching/research experience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PhD + minimum 10 years experience, with significant research output</w:t>
            </w:r>
          </w:p>
        </w:tc>
      </w:tr>
    </w:tbl>
    <w:p>
      <w:pPr>
        <w:spacing w:after="160"/>
      </w:pPr>
    </w:p>
    <w:p>
      <w:pPr>
        <w:pStyle w:val="Heading1"/>
        <w:spacing w:after="160" w:before="340"/>
      </w:pPr>
      <w:r>
        <w:rPr>
          <w:b/>
          <w:bCs/>
          <w:color w:val="1B2A5B"/>
        </w:rPr>
        <w:t xml:space="preserve">3. Recruitment Process</w:t>
      </w:r>
    </w:p>
    <w:p>
      <w:pPr>
        <w:pStyle w:val="ListParagraph"/>
        <w:numPr>
          <w:ilvl w:val="0"/>
          <w:numId w:val="3"/>
        </w:numPr>
        <w:spacing w:after="100" w:line="300"/>
      </w:pPr>
      <w:r>
        <w:rPr>
          <w:sz w:val="22"/>
          <w:szCs w:val="22"/>
        </w:rPr>
        <w:t xml:space="preserve">Vacancy approved by the Vice Chancellor based on departmental requirement and budget.</w:t>
      </w:r>
    </w:p>
    <w:p>
      <w:pPr>
        <w:pStyle w:val="ListParagraph"/>
        <w:numPr>
          <w:ilvl w:val="0"/>
          <w:numId w:val="3"/>
        </w:numPr>
        <w:spacing w:after="100" w:line="300"/>
      </w:pPr>
      <w:r>
        <w:rPr>
          <w:sz w:val="22"/>
          <w:szCs w:val="22"/>
        </w:rPr>
        <w:t xml:space="preserve">Position advertised on the University website, national newspapers, and academic job portals for a minimum of 21 days.</w:t>
      </w:r>
    </w:p>
    <w:p>
      <w:pPr>
        <w:pStyle w:val="ListParagraph"/>
        <w:numPr>
          <w:ilvl w:val="0"/>
          <w:numId w:val="3"/>
        </w:numPr>
        <w:spacing w:after="100" w:line="300"/>
      </w:pPr>
      <w:r>
        <w:rPr>
          <w:sz w:val="22"/>
          <w:szCs w:val="22"/>
        </w:rPr>
        <w:t xml:space="preserve">Shortlisting by the Departmental Selection Committee based on qualification, publication record, and experience.</w:t>
      </w:r>
    </w:p>
    <w:p>
      <w:pPr>
        <w:pStyle w:val="ListParagraph"/>
        <w:numPr>
          <w:ilvl w:val="0"/>
          <w:numId w:val="3"/>
        </w:numPr>
        <w:spacing w:after="100" w:line="300"/>
      </w:pPr>
      <w:r>
        <w:rPr>
          <w:sz w:val="22"/>
          <w:szCs w:val="22"/>
        </w:rPr>
        <w:t xml:space="preserve">Interview and demonstration lecture before the Selection Committee, chaired by the Vice Chancellor or nominee.</w:t>
      </w:r>
    </w:p>
    <w:p>
      <w:pPr>
        <w:pStyle w:val="ListParagraph"/>
        <w:numPr>
          <w:ilvl w:val="0"/>
          <w:numId w:val="3"/>
        </w:numPr>
        <w:spacing w:after="100" w:line="300"/>
      </w:pPr>
      <w:r>
        <w:rPr>
          <w:sz w:val="22"/>
          <w:szCs w:val="22"/>
        </w:rPr>
        <w:t xml:space="preserve">Offer letter issued upon approval by the Board of Management.</w:t>
      </w:r>
    </w:p>
    <w:p>
      <w:pPr>
        <w:pStyle w:val="Heading1"/>
        <w:spacing w:after="160" w:before="340"/>
      </w:pPr>
      <w:r>
        <w:rPr>
          <w:b/>
          <w:bCs/>
          <w:color w:val="1B2A5B"/>
        </w:rPr>
        <w:t xml:space="preserve">4. Selection Committee Composition</w:t>
      </w:r>
    </w:p>
    <w:p>
      <w:pPr>
        <w:pStyle w:val="ListParagraph"/>
        <w:numPr>
          <w:ilvl w:val="0"/>
          <w:numId w:val="2"/>
        </w:numPr>
        <w:spacing w:after="100" w:line="300"/>
      </w:pPr>
      <w:r>
        <w:rPr>
          <w:sz w:val="22"/>
          <w:szCs w:val="22"/>
        </w:rPr>
        <w:t xml:space="preserve">Vice Chancellor or nominee (Chairperson).</w:t>
      </w:r>
    </w:p>
    <w:p>
      <w:pPr>
        <w:pStyle w:val="ListParagraph"/>
        <w:numPr>
          <w:ilvl w:val="0"/>
          <w:numId w:val="2"/>
        </w:numPr>
        <w:spacing w:after="100" w:line="300"/>
      </w:pPr>
      <w:r>
        <w:rPr>
          <w:sz w:val="22"/>
          <w:szCs w:val="22"/>
        </w:rPr>
        <w:t xml:space="preserve">Dean of the concerned School.</w:t>
      </w:r>
    </w:p>
    <w:p>
      <w:pPr>
        <w:pStyle w:val="ListParagraph"/>
        <w:numPr>
          <w:ilvl w:val="0"/>
          <w:numId w:val="2"/>
        </w:numPr>
        <w:spacing w:after="100" w:line="300"/>
      </w:pPr>
      <w:r>
        <w:rPr>
          <w:sz w:val="22"/>
          <w:szCs w:val="22"/>
        </w:rPr>
        <w:t xml:space="preserve">Two subject experts external to the University, nominated by the Academic Council.</w:t>
      </w:r>
    </w:p>
    <w:p>
      <w:pPr>
        <w:pStyle w:val="ListParagraph"/>
        <w:numPr>
          <w:ilvl w:val="0"/>
          <w:numId w:val="2"/>
        </w:numPr>
        <w:spacing w:after="100" w:line="300"/>
      </w:pPr>
      <w:r>
        <w:rPr>
          <w:sz w:val="22"/>
          <w:szCs w:val="22"/>
        </w:rPr>
        <w:t xml:space="preserve">Head of Department (for Assistant Professor-level recruitment).</w:t>
      </w:r>
    </w:p>
    <w:p>
      <w:pPr>
        <w:pStyle w:val="Heading1"/>
        <w:spacing w:after="160" w:before="340"/>
      </w:pPr>
      <w:r>
        <w:rPr>
          <w:b/>
          <w:bCs/>
          <w:color w:val="1B2A5B"/>
        </w:rPr>
        <w:t xml:space="preserve">5. Probation Period</w:t>
      </w:r>
    </w:p>
    <w:p>
      <w:pPr>
        <w:spacing w:after="160" w:line="300"/>
      </w:pPr>
      <w:r>
        <w:rPr>
          <w:sz w:val="22"/>
          <w:szCs w:val="22"/>
        </w:rPr>
        <w:t xml:space="preserve">All new faculty appointments are subject to a probation period of 1 year (extendable by up to 6 months at the University's discretion), during which performance is reviewed by the Head of Department and Dean before confirmation.</w:t>
      </w:r>
    </w:p>
    <w:p>
      <w:pPr>
        <w:pStyle w:val="Heading1"/>
        <w:spacing w:after="160" w:before="340"/>
      </w:pPr>
      <w:r>
        <w:rPr>
          <w:b/>
          <w:bCs/>
          <w:color w:val="1B2A5B"/>
        </w:rPr>
        <w:t xml:space="preserve">6. Career Advancement Scheme (CAS)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Promotion Stage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Minimum Service at Current Level</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Assistant Professor (Stage 1 to Stage 2)</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4 years, with API score as per UGC norms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Assistant Professor to Associate 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 years combined, subject to PhD completion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Associate Professor to Professor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 years as Associate Professor + qualifying API score</w:t>
            </w:r>
          </w:p>
        </w:tc>
      </w:tr>
    </w:tbl>
    <w:p>
      <w:pPr>
        <w:spacing w:after="160"/>
      </w:pPr>
    </w:p>
    <w:p>
      <w:pPr>
        <w:pStyle w:val="Heading1"/>
        <w:spacing w:after="160" w:before="340"/>
      </w:pPr>
      <w:r>
        <w:rPr>
          <w:b/>
          <w:bCs/>
          <w:color w:val="1B2A5B"/>
        </w:rPr>
        <w:t xml:space="preserve">7. Performance-Based Appraisal System (PBAS)</w:t>
      </w:r>
    </w:p>
    <w:p>
      <w:pPr>
        <w:pStyle w:val="ListParagraph"/>
        <w:numPr>
          <w:ilvl w:val="0"/>
          <w:numId w:val="2"/>
        </w:numPr>
        <w:spacing w:after="100" w:line="300"/>
      </w:pPr>
      <w:r>
        <w:rPr>
          <w:sz w:val="22"/>
          <w:szCs w:val="22"/>
        </w:rPr>
        <w:t xml:space="preserve">Teaching, learning, and evaluation-related activities.</w:t>
      </w:r>
    </w:p>
    <w:p>
      <w:pPr>
        <w:pStyle w:val="ListParagraph"/>
        <w:numPr>
          <w:ilvl w:val="0"/>
          <w:numId w:val="2"/>
        </w:numPr>
        <w:spacing w:after="100" w:line="300"/>
      </w:pPr>
      <w:r>
        <w:rPr>
          <w:sz w:val="22"/>
          <w:szCs w:val="22"/>
        </w:rPr>
        <w:t xml:space="preserve">Co-curricular, extension, and professional development activities.</w:t>
      </w:r>
    </w:p>
    <w:p>
      <w:pPr>
        <w:pStyle w:val="ListParagraph"/>
        <w:numPr>
          <w:ilvl w:val="0"/>
          <w:numId w:val="2"/>
        </w:numPr>
        <w:spacing w:after="100" w:line="300"/>
      </w:pPr>
      <w:r>
        <w:rPr>
          <w:sz w:val="22"/>
          <w:szCs w:val="22"/>
        </w:rPr>
        <w:t xml:space="preserve">Research and academic contributions (publications, patents, grants), per the Research &amp; Publication Incentive Policy.</w:t>
      </w:r>
    </w:p>
    <w:p>
      <w:pPr>
        <w:spacing w:after="160" w:line="300"/>
      </w:pPr>
      <w:r>
        <w:rPr>
          <w:sz w:val="22"/>
          <w:szCs w:val="22"/>
        </w:rPr>
        <w:t xml:space="preserve">Faculty members submit their Annual Self-Appraisal Report (ASAR) each May, scored using the Academic Performance Indicator (API) framework prescribed by UGC, and reviewed by the Departmental Screening Committee.</w:t>
      </w:r>
    </w:p>
    <w:p>
      <w:pPr>
        <w:pStyle w:val="Heading1"/>
        <w:spacing w:after="160" w:before="340"/>
      </w:pPr>
      <w:r>
        <w:rPr>
          <w:b/>
          <w:bCs/>
          <w:color w:val="1B2A5B"/>
        </w:rPr>
        <w:t xml:space="preserve">8. Screening Committee for Promotion</w:t>
      </w:r>
    </w:p>
    <w:p>
      <w:pPr>
        <w:spacing w:after="160" w:line="300"/>
      </w:pPr>
      <w:r>
        <w:rPr>
          <w:sz w:val="22"/>
          <w:szCs w:val="22"/>
        </w:rPr>
        <w:t xml:space="preserve">Promotion under CAS is evaluated by a Screening-cum-Selection Committee comprising the Vice Chancellor, Dean of the concerned School, and two external subject experts, consistent with the Selection Committee composition in Section 4, and is contingent on qualifying API score and satisfactory ASAR review for the assessment period.</w:t>
      </w:r>
    </w:p>
    <w:p>
      <w:pPr>
        <w:pStyle w:val="Heading1"/>
        <w:spacing w:after="160" w:before="340"/>
      </w:pPr>
      <w:r>
        <w:rPr>
          <w:b/>
          <w:bCs/>
          <w:color w:val="1B2A5B"/>
        </w:rPr>
        <w:t xml:space="preserve">9. Study Leave &amp; Sabbatical</w:t>
      </w:r>
    </w:p>
    <w:p>
      <w:pPr>
        <w:spacing w:after="160" w:line="300"/>
      </w:pPr>
      <w:r>
        <w:rPr>
          <w:sz w:val="22"/>
          <w:szCs w:val="22"/>
        </w:rPr>
        <w:t xml:space="preserve">Faculty members with a minimum of 5 years of continuous service are eligible to apply for sabbatical leave of up to 1 year for research or academic pursuits, subject to Vice Chancellor approval and submission of a detailed research plan. Study leave for PhD completion is governed separately under the Faculty Development Policy.</w:t>
      </w:r>
    </w:p>
    <w:p>
      <w:pPr>
        <w:pStyle w:val="Heading1"/>
        <w:spacing w:after="160" w:before="340"/>
      </w:pPr>
      <w:r>
        <w:rPr>
          <w:b/>
          <w:bCs/>
          <w:color w:val="1B2A5B"/>
        </w:rPr>
        <w:t xml:space="preserve">10. Exit &amp; Notice Period</w:t>
      </w:r>
    </w:p>
    <w:p>
      <w:pPr>
        <w:spacing w:after="160" w:line="300"/>
      </w:pPr>
      <w:r>
        <w:rPr>
          <w:sz w:val="22"/>
          <w:szCs w:val="22"/>
        </w:rPr>
        <w:t xml:space="preserve">Faculty members resigning from their position are required to serve a notice period of 3 months (or as specified in the individual appointment letter), during which handover of academic responsibilities, including ongoing courses, thesis supervision, and research projects, must be completed satisfactorily.</w:t>
      </w:r>
    </w:p>
    <w:p>
      <w:pPr>
        <w:pStyle w:val="Heading1"/>
        <w:spacing w:after="160" w:before="340"/>
      </w:pPr>
      <w:r>
        <w:rPr>
          <w:b/>
          <w:bCs/>
          <w:color w:val="1B2A5B"/>
        </w:rPr>
        <w:t xml:space="preserve">11. Visiting &amp; Adjunct Faculty</w:t>
      </w:r>
    </w:p>
    <w:p>
      <w:pPr>
        <w:spacing w:after="160" w:line="300"/>
      </w:pPr>
      <w:r>
        <w:rPr>
          <w:sz w:val="22"/>
          <w:szCs w:val="22"/>
        </w:rPr>
        <w:t xml:space="preserve">The University may appoint Visiting or Adjunct Faculty from industry or academia for specific courses, typically on a semester-by-semester contract basis. Such appointments are approved by the Dean of the concerned School and do not fall under the Career Advancement Scheme applicable to regular faculty.</w:t>
      </w:r>
    </w:p>
    <w:p>
      <w:pPr>
        <w:pStyle w:val="Heading1"/>
        <w:spacing w:after="160" w:before="340"/>
      </w:pPr>
      <w:r>
        <w:rPr>
          <w:b/>
          <w:bCs/>
          <w:color w:val="1B2A5B"/>
        </w:rPr>
        <w:t xml:space="preserve">12. Frequently Asked Questions</w:t>
      </w:r>
    </w:p>
    <w:p>
      <w:pPr>
        <w:spacing w:after="60" w:before="180"/>
      </w:pPr>
      <w:r>
        <w:rPr>
          <w:b/>
          <w:bCs/>
          <w:sz w:val="22"/>
          <w:szCs w:val="22"/>
        </w:rPr>
        <w:t xml:space="preserve">Q1. Can a faculty member appointed without a PhD be considered for promotion?</w:t>
      </w:r>
    </w:p>
    <w:p>
      <w:pPr>
        <w:spacing w:after="100" w:line="300"/>
      </w:pPr>
      <w:r>
        <w:rPr>
          <w:sz w:val="22"/>
          <w:szCs w:val="22"/>
        </w:rPr>
        <w:t xml:space="preserve">A: Yes, under transitional UGC provisions, NET/SET-qualified faculty may progress within Assistant Professor stages, but progression to Associate Professor requires PhD completion.</w:t>
      </w:r>
    </w:p>
    <w:p>
      <w:pPr>
        <w:spacing w:after="60" w:before="180"/>
      </w:pPr>
      <w:r>
        <w:rPr>
          <w:b/>
          <w:bCs/>
          <w:sz w:val="22"/>
          <w:szCs w:val="22"/>
        </w:rPr>
        <w:t xml:space="preserve">Q2. How is teaching experience from another university counted?</w:t>
      </w:r>
    </w:p>
    <w:p>
      <w:pPr>
        <w:spacing w:after="100" w:line="300"/>
      </w:pPr>
      <w:r>
        <w:rPr>
          <w:sz w:val="22"/>
          <w:szCs w:val="22"/>
        </w:rPr>
        <w:t xml:space="preserve">A: Prior teaching/research experience at a UGC-recognised institution is counted toward eligibility, subject to verification of service certificates by HR.</w:t>
      </w:r>
    </w:p>
    <w:p>
      <w:pPr>
        <w:spacing w:after="60" w:before="180"/>
      </w:pPr>
      <w:r>
        <w:rPr>
          <w:b/>
          <w:bCs/>
          <w:sz w:val="22"/>
          <w:szCs w:val="22"/>
        </w:rPr>
        <w:t xml:space="preserve">Q3. Is API scoring the sole criterion for promotion?</w:t>
      </w:r>
    </w:p>
    <w:p>
      <w:pPr>
        <w:spacing w:after="100" w:line="300"/>
      </w:pPr>
      <w:r>
        <w:rPr>
          <w:sz w:val="22"/>
          <w:szCs w:val="22"/>
        </w:rPr>
        <w:t xml:space="preserve">A: API score is a necessary threshold; the Screening-cum-Selection Committee also considers overall teaching quality, feedback, and institutional contribution.</w:t>
      </w:r>
    </w:p>
    <w:p>
      <w:pPr>
        <w:pStyle w:val="Heading1"/>
        <w:spacing w:after="160" w:before="340"/>
      </w:pPr>
      <w:r>
        <w:rPr>
          <w:b/>
          <w:bCs/>
          <w:color w:val="1B2A5B"/>
        </w:rPr>
        <w:t xml:space="preserve">13.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Human Resources (Faculty Affairs)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Ritu Dabas, HR Manager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hr.faculty@krmangalam.edu.in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Academic Council Secretariat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Neelam Kapoor, Registrar's Office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academiccouncil@krmangalam.edu.in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Faculty Recruitment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2026-08-08T07:54:30.359Z</dcterms:created>
  <dcterms:modified xsi:type="dcterms:W3CDTF">2026-08-08T07:54:30.359Z</dcterms:modified>
</cp:coreProperties>
</file>

<file path=docProps/custom.xml><?xml version="1.0" encoding="utf-8"?>
<Properties xmlns="http://schemas.openxmlformats.org/officeDocument/2006/custom-properties" xmlns:vt="http://schemas.openxmlformats.org/officeDocument/2006/docPropsVTypes"/>
</file>