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100"/>
        <w:jc w:val="center"/>
      </w:pPr>
      <w:r>
        <w:rPr>
          <w:b/>
          <w:bCs/>
          <w:color w:val="1B2A5B"/>
          <w:sz w:val="40"/>
          <w:szCs w:val="40"/>
        </w:rPr>
        <w:t xml:space="preserve">K.R. MANGALAM UNIVERSITY</w:t>
      </w:r>
    </w:p>
    <w:p>
      <w:pPr>
        <w:spacing w:after="300"/>
        <w:jc w:val="center"/>
      </w:pPr>
      <w:r>
        <w:rPr>
          <w:color w:val="666666"/>
          <w:sz w:val="18"/>
          <w:szCs w:val="18"/>
        </w:rPr>
        <w:t xml:space="preserve">Sohna Road, Gurugram, Haryana – 122103 | www.krmangalam.edu.in</w:t>
      </w:r>
    </w:p>
    <w:p>
      <w:pPr>
        <w:pBdr>
          <w:top w:val="single" w:color="B08D2B" w:sz="6"/>
          <w:bottom w:val="single" w:color="B08D2B" w:sz="6"/>
        </w:pBdr>
        <w:spacing w:after="200" w:before="200"/>
      </w:pPr>
      <w:r>
        <w:t xml:space="preserve"/>
      </w:r>
    </w:p>
    <w:p>
      <w:pPr>
        <w:spacing w:before="600"/>
      </w:pPr>
      <w:r>
        <w:t xml:space="preserve"/>
      </w:r>
    </w:p>
    <w:p>
      <w:pPr>
        <w:spacing w:after="200"/>
        <w:jc w:val="center"/>
      </w:pPr>
      <w:r>
        <w:rPr>
          <w:b/>
          <w:bCs/>
          <w:color w:val="B08D2B"/>
          <w:sz w:val="24"/>
          <w:szCs w:val="24"/>
        </w:rPr>
        <w:t xml:space="preserve">OFFICIAL POLICY DOCUMENT</w:t>
      </w:r>
    </w:p>
    <w:p>
      <w:pPr>
        <w:spacing w:after="600"/>
        <w:jc w:val="center"/>
      </w:pPr>
      <w:r>
        <w:rPr>
          <w:b/>
          <w:bCs/>
          <w:sz w:val="44"/>
          <w:szCs w:val="44"/>
        </w:rPr>
        <w:t xml:space="preserve">University Attendance Policy</w:t>
      </w:r>
    </w:p>
    <w:p>
      <w:pPr>
        <w:spacing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B2A5B" w:val="clear"/>
            <w:tcMar>
              <w:top w:type="dxa" w:w="80"/>
              <w:left w:type="dxa" w:w="100"/>
              <w:bottom w:type="dxa" w:w="80"/>
              <w:right w:type="dxa" w:w="100"/>
            </w:tcMar>
            <w:vAlign w:val="center"/>
          </w:tcPr>
          <w:p>
            <w:pPr>
              <w:jc w:val="left"/>
            </w:pPr>
            <w:r>
              <w:rPr>
                <w:b/>
                <w:bCs/>
                <w:color w:val="FFFFFF"/>
                <w:sz w:val="21"/>
                <w:szCs w:val="21"/>
              </w:rPr>
              <w:t xml:space="preserve">Field</w:t>
            </w:r>
          </w:p>
        </w:tc>
        <w:tc>
          <w:tcPr>
            <w:tcW w:type="dxa" w:w="6360"/>
            <w:shd w:fill="1B2A5B" w:val="clear"/>
            <w:tcMar>
              <w:top w:type="dxa" w:w="80"/>
              <w:left w:type="dxa" w:w="100"/>
              <w:bottom w:type="dxa" w:w="80"/>
              <w:right w:type="dxa" w:w="100"/>
            </w:tcMar>
            <w:vAlign w:val="center"/>
          </w:tcPr>
          <w:p>
            <w:pPr>
              <w:jc w:val="left"/>
            </w:pPr>
            <w:r>
              <w:rPr>
                <w:b/>
                <w:bCs/>
                <w:color w:val="FFFFFF"/>
                <w:sz w:val="21"/>
                <w:szCs w:val="21"/>
              </w:rPr>
              <w:t xml:space="preserve">Detail</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Notice Number</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KRMU/REG/ATT/2026-27/014</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Effective Date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1 August 2026</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Version</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Version 3.2</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Approved By</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Office of the Registrar, K.R. Mangalam University</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Applicable To</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All students, faculty, and staff, Academic Session 2026–2027</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Review Cycle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Annual, or as directed by the Academic Council</w:t>
            </w:r>
          </w:p>
        </w:tc>
      </w:tr>
    </w:tbl>
    <w:p>
      <w:r>
        <w:br w:type="page"/>
      </w:r>
    </w:p>
    <w:p>
      <w:pPr>
        <w:pStyle w:val="Heading1"/>
        <w:spacing w:after="160" w:before="340"/>
      </w:pPr>
      <w:r>
        <w:rPr>
          <w:b/>
          <w:bCs/>
          <w:color w:val="1B2A5B"/>
        </w:rPr>
        <w:t xml:space="preserve">Document Control &amp; Revision History</w:t>
      </w:r>
    </w:p>
    <w:p>
      <w:pPr>
        <w:spacing w:after="160" w:line="300"/>
      </w:pPr>
      <w:r>
        <w:rPr>
          <w:sz w:val="22"/>
          <w:szCs w:val="22"/>
        </w:rPr>
        <w:t xml:space="preserve">This document, "University Attendance Policy," is maintained by the concerned administrative office of K.R. Mangalam University and is subject to periodic review. The table below records the revision history of this document under notice number KRMU/REG/ATT/2026-27/014.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4400"/>
        <w:gridCol w:w="1660"/>
      </w:tblGrid>
      <w:tr>
        <w:tc>
          <w:tcPr>
            <w:tcW w:type="dxa" w:w="1400"/>
            <w:shd w:fill="1B2A5B" w:val="clear"/>
            <w:tcMar>
              <w:top w:type="dxa" w:w="80"/>
              <w:left w:type="dxa" w:w="100"/>
              <w:bottom w:type="dxa" w:w="80"/>
              <w:right w:type="dxa" w:w="100"/>
            </w:tcMar>
            <w:vAlign w:val="center"/>
          </w:tcPr>
          <w:p>
            <w:pPr>
              <w:jc w:val="left"/>
            </w:pPr>
            <w:r>
              <w:rPr>
                <w:b/>
                <w:bCs/>
                <w:color w:val="FFFFFF"/>
                <w:sz w:val="21"/>
                <w:szCs w:val="21"/>
              </w:rPr>
              <w:t xml:space="preserve">Version</w:t>
            </w:r>
          </w:p>
        </w:tc>
        <w:tc>
          <w:tcPr>
            <w:tcW w:type="dxa" w:w="1900"/>
            <w:shd w:fill="1B2A5B" w:val="clear"/>
            <w:tcMar>
              <w:top w:type="dxa" w:w="80"/>
              <w:left w:type="dxa" w:w="100"/>
              <w:bottom w:type="dxa" w:w="80"/>
              <w:right w:type="dxa" w:w="100"/>
            </w:tcMar>
            <w:vAlign w:val="center"/>
          </w:tcPr>
          <w:p>
            <w:pPr>
              <w:jc w:val="left"/>
            </w:pPr>
            <w:r>
              <w:rPr>
                <w:b/>
                <w:bCs/>
                <w:color w:val="FFFFFF"/>
                <w:sz w:val="21"/>
                <w:szCs w:val="21"/>
              </w:rPr>
              <w:t xml:space="preserve">Date</w:t>
            </w:r>
          </w:p>
        </w:tc>
        <w:tc>
          <w:tcPr>
            <w:tcW w:type="dxa" w:w="4400"/>
            <w:shd w:fill="1B2A5B" w:val="clear"/>
            <w:tcMar>
              <w:top w:type="dxa" w:w="80"/>
              <w:left w:type="dxa" w:w="100"/>
              <w:bottom w:type="dxa" w:w="80"/>
              <w:right w:type="dxa" w:w="100"/>
            </w:tcMar>
            <w:vAlign w:val="center"/>
          </w:tcPr>
          <w:p>
            <w:pPr>
              <w:jc w:val="left"/>
            </w:pPr>
            <w:r>
              <w:rPr>
                <w:b/>
                <w:bCs/>
                <w:color w:val="FFFFFF"/>
                <w:sz w:val="21"/>
                <w:szCs w:val="21"/>
              </w:rPr>
              <w:t xml:space="preserve">Summary of Change</w:t>
            </w:r>
          </w:p>
        </w:tc>
        <w:tc>
          <w:tcPr>
            <w:tcW w:type="dxa" w:w="1660"/>
            <w:shd w:fill="1B2A5B" w:val="clear"/>
            <w:tcMar>
              <w:top w:type="dxa" w:w="80"/>
              <w:left w:type="dxa" w:w="100"/>
              <w:bottom w:type="dxa" w:w="80"/>
              <w:right w:type="dxa" w:w="100"/>
            </w:tcMar>
            <w:vAlign w:val="center"/>
          </w:tcPr>
          <w:p>
            <w:pPr>
              <w:jc w:val="left"/>
            </w:pPr>
            <w:r>
              <w:rPr>
                <w:b/>
                <w:bCs/>
                <w:color w:val="FFFFFF"/>
                <w:sz w:val="21"/>
                <w:szCs w:val="21"/>
              </w:rPr>
              <w:t xml:space="preserve">Approved By</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1.0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15 June 2024</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Initial release for Academic Session 2024–2025</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10 June 2025</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updated fee/fine figures and contact details</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3.2</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 August 2026</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for Academic Session 2026–2027; policy realigned with current ERP workflow</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Office of the Registrar</w:t>
            </w:r>
          </w:p>
        </w:tc>
      </w:tr>
    </w:tbl>
    <w:p>
      <w:pPr>
        <w:spacing w:after="160"/>
      </w:pPr>
    </w:p>
    <w:p>
      <w:pPr>
        <w:pStyle w:val="Heading1"/>
        <w:spacing w:after="160" w:before="340"/>
      </w:pPr>
      <w:r>
        <w:rPr>
          <w:b/>
          <w:bCs/>
          <w:color w:val="1B2A5B"/>
        </w:rPr>
        <w:t xml:space="preserve">Related Documents</w:t>
      </w:r>
    </w:p>
    <w:p>
      <w:pPr>
        <w:spacing w:after="160" w:line="300"/>
      </w:pPr>
      <w:r>
        <w:rPr>
          <w:sz w:val="22"/>
          <w:szCs w:val="22"/>
        </w:rPr>
        <w:t xml:space="preserve">Readers of "Attendance Policy 2026–27" should also refer to the following related official documents for a complete understanding of University policy:</w:t>
      </w:r>
    </w:p>
    <w:p>
      <w:pPr>
        <w:pStyle w:val="ListParagraph"/>
        <w:numPr>
          <w:ilvl w:val="0"/>
          <w:numId w:val="2"/>
        </w:numPr>
        <w:spacing w:after="100" w:line="300"/>
      </w:pPr>
      <w:r>
        <w:rPr>
          <w:sz w:val="22"/>
          <w:szCs w:val="22"/>
        </w:rPr>
        <w:t xml:space="preserve">Examination Rules &amp; Evaluation Policy (2026–2027)</w:t>
      </w:r>
    </w:p>
    <w:p>
      <w:pPr>
        <w:pStyle w:val="ListParagraph"/>
        <w:numPr>
          <w:ilvl w:val="0"/>
          <w:numId w:val="2"/>
        </w:numPr>
        <w:spacing w:after="100" w:line="300"/>
      </w:pPr>
      <w:r>
        <w:rPr>
          <w:sz w:val="22"/>
          <w:szCs w:val="22"/>
        </w:rPr>
        <w:t xml:space="preserve">Student Code of Conduct &amp; Discipline Policy</w:t>
      </w:r>
    </w:p>
    <w:p>
      <w:pPr>
        <w:pStyle w:val="ListParagraph"/>
        <w:numPr>
          <w:ilvl w:val="0"/>
          <w:numId w:val="2"/>
        </w:numPr>
        <w:spacing w:after="100" w:line="300"/>
      </w:pPr>
      <w:r>
        <w:rPr>
          <w:sz w:val="22"/>
          <w:szCs w:val="22"/>
        </w:rPr>
        <w:t xml:space="preserve">Hostel Rules &amp; Residential Handbook (2026–2027)</w:t>
      </w:r>
    </w:p>
    <w:p>
      <w:pPr>
        <w:pStyle w:val="ListParagraph"/>
        <w:numPr>
          <w:ilvl w:val="0"/>
          <w:numId w:val="2"/>
        </w:numPr>
        <w:spacing w:after="100" w:line="300"/>
      </w:pPr>
      <w:r>
        <w:rPr>
          <w:sz w:val="22"/>
          <w:szCs w:val="22"/>
        </w:rPr>
        <w:t xml:space="preserve">Campus IT Services &amp; Digital Identity Guide</w:t>
      </w:r>
    </w:p>
    <w:p>
      <w:pPr>
        <w:spacing w:after="160" w:line="300"/>
      </w:pPr>
      <w:r>
        <w:rPr>
          <w:sz w:val="22"/>
          <w:szCs w:val="22"/>
        </w:rPr>
        <w:t xml:space="preserve">Where any provision of this document conflicts with a related policy listed above, the more recently notified document shall prevail, unless otherwise specified by the Office of the Registrar.</w:t>
      </w:r>
    </w:p>
    <w:p>
      <w:pPr>
        <w:pStyle w:val="Heading1"/>
        <w:spacing w:after="160" w:before="340"/>
      </w:pPr>
      <w:r>
        <w:rPr>
          <w:b/>
          <w:bCs/>
          <w:color w:val="1B2A5B"/>
        </w:rPr>
        <w:t xml:space="preserve">1. Purpose</w:t>
      </w:r>
    </w:p>
    <w:p>
      <w:pPr>
        <w:spacing w:after="160" w:line="300"/>
      </w:pPr>
      <w:r>
        <w:rPr>
          <w:sz w:val="22"/>
          <w:szCs w:val="22"/>
        </w:rPr>
        <w:t xml:space="preserve">This policy establishes the minimum attendance requirements, calculation methods, and consequences of shortfall for all students enrolled in undergraduate and postgraduate programmes at K.R. Mangalam University (KRMU) for the Academic Session 2026–2027. It aims to ensure consistent classroom engagement, uphold academic standards, and provide a transparent framework for leave and attendance-related grievances.</w:t>
      </w:r>
    </w:p>
    <w:p>
      <w:pPr>
        <w:pStyle w:val="Heading1"/>
        <w:spacing w:after="160" w:before="340"/>
      </w:pPr>
      <w:r>
        <w:rPr>
          <w:b/>
          <w:bCs/>
          <w:color w:val="1B2A5B"/>
        </w:rPr>
        <w:t xml:space="preserve">2. Scope</w:t>
      </w:r>
    </w:p>
    <w:p>
      <w:pPr>
        <w:spacing w:after="160" w:line="300"/>
      </w:pPr>
      <w:r>
        <w:rPr>
          <w:sz w:val="22"/>
          <w:szCs w:val="22"/>
        </w:rPr>
        <w:t xml:space="preserve">This policy applies to all full-time students registered in programmes offered by the School of Engineering &amp; Technology, School of Management &amp; Commerce, School of Law, School of Journalism &amp; Mass Communication, School of Basic &amp; Applied Sciences, and School of Design, across all campuses of the University.</w:t>
      </w:r>
    </w:p>
    <w:p>
      <w:pPr>
        <w:pStyle w:val="Heading1"/>
        <w:spacing w:after="160" w:before="340"/>
      </w:pPr>
      <w:r>
        <w:rPr>
          <w:b/>
          <w:bCs/>
          <w:color w:val="1B2A5B"/>
        </w:rPr>
        <w:t xml:space="preserve">3. Definitions</w:t>
      </w:r>
    </w:p>
    <w:p>
      <w:pPr>
        <w:pStyle w:val="ListParagraph"/>
        <w:numPr>
          <w:ilvl w:val="0"/>
          <w:numId w:val="2"/>
        </w:numPr>
        <w:spacing w:after="100" w:line="300"/>
      </w:pPr>
      <w:r>
        <w:rPr>
          <w:sz w:val="22"/>
          <w:szCs w:val="22"/>
        </w:rPr>
        <w:t xml:space="preserve">Working Day: Any day on which regular classes, practicals, or scheduled academic activity are held as per the University academic calendar.</w:t>
      </w:r>
    </w:p>
    <w:p>
      <w:pPr>
        <w:pStyle w:val="ListParagraph"/>
        <w:numPr>
          <w:ilvl w:val="0"/>
          <w:numId w:val="2"/>
        </w:numPr>
        <w:spacing w:after="100" w:line="300"/>
      </w:pPr>
      <w:r>
        <w:rPr>
          <w:sz w:val="22"/>
          <w:szCs w:val="22"/>
        </w:rPr>
        <w:t xml:space="preserve">Condonable Absence: Absence approved under Medical Leave, Sports Leave, or University-sanctioned duty leave.</w:t>
      </w:r>
    </w:p>
    <w:p>
      <w:pPr>
        <w:pStyle w:val="ListParagraph"/>
        <w:numPr>
          <w:ilvl w:val="0"/>
          <w:numId w:val="2"/>
        </w:numPr>
        <w:spacing w:after="100" w:line="300"/>
      </w:pPr>
      <w:r>
        <w:rPr>
          <w:sz w:val="22"/>
          <w:szCs w:val="22"/>
        </w:rPr>
        <w:t xml:space="preserve">Detention: Withdrawal of examination eligibility for a course due to attendance shortfall.</w:t>
      </w:r>
    </w:p>
    <w:p>
      <w:pPr>
        <w:pStyle w:val="ListParagraph"/>
        <w:numPr>
          <w:ilvl w:val="0"/>
          <w:numId w:val="2"/>
        </w:numPr>
        <w:spacing w:after="100" w:line="300"/>
      </w:pPr>
      <w:r>
        <w:rPr>
          <w:sz w:val="22"/>
          <w:szCs w:val="22"/>
        </w:rPr>
        <w:t xml:space="preserve">Attendance Cycle: The period between the start of a semester and the last teaching day, used as the base for percentage calculation.</w:t>
      </w:r>
    </w:p>
    <w:p>
      <w:pPr>
        <w:pStyle w:val="Heading1"/>
        <w:spacing w:after="160" w:before="340"/>
      </w:pPr>
      <w:r>
        <w:rPr>
          <w:b/>
          <w:bCs/>
          <w:color w:val="1B2A5B"/>
        </w:rPr>
        <w:t xml:space="preserve">4. Minimum Attendance Requirement</w:t>
      </w:r>
    </w:p>
    <w:p>
      <w:pPr>
        <w:spacing w:after="160" w:line="300"/>
      </w:pPr>
      <w:r>
        <w:rPr>
          <w:sz w:val="22"/>
          <w:szCs w:val="22"/>
        </w:rPr>
        <w:t xml:space="preserve">Every student must maintain a minimum of 75% attendance in each registered course (theory and practical, calculated separately) during a semester to be eligible to appear in the End Semester Examination.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Attendance Range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Status</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Action</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 75%</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Eligible</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No action required</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65% – 74.99%</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Condonable (with medical/sports leave)</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Apply through Dean's office within 7 days of result of shortfall</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50% – 64.99%</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Detained – Provisional</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Mandatory counselling with Faculty Mentor; Vice Chancellor approval required for condonation</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Below 50%</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Detained – Not Condonable</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Debarred from End Semester Examination for the course</w:t>
            </w:r>
          </w:p>
        </w:tc>
      </w:tr>
    </w:tbl>
    <w:p>
      <w:pPr>
        <w:spacing w:after="160"/>
      </w:pPr>
    </w:p>
    <w:p>
      <w:pPr>
        <w:pStyle w:val="Heading1"/>
        <w:spacing w:after="160" w:before="340"/>
      </w:pPr>
      <w:r>
        <w:rPr>
          <w:b/>
          <w:bCs/>
          <w:color w:val="1B2A5B"/>
        </w:rPr>
        <w:t xml:space="preserve">5. Attendance Calculation Method</w:t>
      </w:r>
    </w:p>
    <w:p>
      <w:pPr>
        <w:spacing w:after="160" w:line="300"/>
      </w:pPr>
      <w:r>
        <w:rPr>
          <w:sz w:val="22"/>
          <w:szCs w:val="22"/>
        </w:rPr>
        <w:t xml:space="preserve">Attendance percentage for a course is calculated as: (Number of classes attended ÷ Number of classes held) × 100, computed separately for each course and rounded to two decimal places. Attendance is updated on the ERP Student Portal within 48 hours of a scheduled class.</w:t>
      </w:r>
    </w:p>
    <w:p>
      <w:pPr>
        <w:pStyle w:val="Heading1"/>
        <w:spacing w:after="160" w:before="340"/>
      </w:pPr>
      <w:r>
        <w:rPr>
          <w:b/>
          <w:bCs/>
          <w:color w:val="1B2A5B"/>
        </w:rPr>
        <w:t xml:space="preserve">6. Medical Leave Rules</w:t>
      </w:r>
    </w:p>
    <w:p>
      <w:pPr>
        <w:pStyle w:val="ListParagraph"/>
        <w:numPr>
          <w:ilvl w:val="0"/>
          <w:numId w:val="2"/>
        </w:numPr>
        <w:spacing w:after="100" w:line="300"/>
      </w:pPr>
      <w:r>
        <w:rPr>
          <w:sz w:val="22"/>
          <w:szCs w:val="22"/>
        </w:rPr>
        <w:t xml:space="preserve">Medical certificates must be submitted within 5 working days of resuming classes, through the ERP Leave Module.</w:t>
      </w:r>
    </w:p>
    <w:p>
      <w:pPr>
        <w:pStyle w:val="ListParagraph"/>
        <w:numPr>
          <w:ilvl w:val="0"/>
          <w:numId w:val="2"/>
        </w:numPr>
        <w:spacing w:after="100" w:line="300"/>
      </w:pPr>
      <w:r>
        <w:rPr>
          <w:sz w:val="22"/>
          <w:szCs w:val="22"/>
        </w:rPr>
        <w:t xml:space="preserve">Certificates from registered medical practitioners only; University Health Centre certification is preferred for illnesses lasting more than 3 days.</w:t>
      </w:r>
    </w:p>
    <w:p>
      <w:pPr>
        <w:pStyle w:val="ListParagraph"/>
        <w:numPr>
          <w:ilvl w:val="0"/>
          <w:numId w:val="2"/>
        </w:numPr>
        <w:spacing w:after="100" w:line="300"/>
      </w:pPr>
      <w:r>
        <w:rPr>
          <w:sz w:val="22"/>
          <w:szCs w:val="22"/>
        </w:rPr>
        <w:t xml:space="preserve">Hospitalisation exceeding 7 days requires submission of discharge summary along with the medical certificate.</w:t>
      </w:r>
    </w:p>
    <w:p>
      <w:pPr>
        <w:pStyle w:val="ListParagraph"/>
        <w:numPr>
          <w:ilvl w:val="0"/>
          <w:numId w:val="2"/>
        </w:numPr>
        <w:spacing w:after="100" w:line="300"/>
      </w:pPr>
      <w:r>
        <w:rPr>
          <w:sz w:val="22"/>
          <w:szCs w:val="22"/>
        </w:rPr>
        <w:t xml:space="preserve">Maximum condonable medical leave: 10% of total classes held in a semester, subject to Dean approval.</w:t>
      </w:r>
    </w:p>
    <w:p>
      <w:pPr>
        <w:pStyle w:val="Heading1"/>
        <w:spacing w:after="160" w:before="340"/>
      </w:pPr>
      <w:r>
        <w:rPr>
          <w:b/>
          <w:bCs/>
          <w:color w:val="1B2A5B"/>
        </w:rPr>
        <w:t xml:space="preserve">7. Sports Attendance Policy</w:t>
      </w:r>
    </w:p>
    <w:p>
      <w:pPr>
        <w:spacing w:after="160" w:line="300"/>
      </w:pPr>
      <w:r>
        <w:rPr>
          <w:sz w:val="22"/>
          <w:szCs w:val="22"/>
        </w:rPr>
        <w:t xml:space="preserve">Students representing the University, State, or National teams in recognised sporting events are granted attendance condonation upon submission of a participation certificate countersigned by the Director, Sports &amp; Physical Education, within 5 working days of returning from the event. A maximum of 15 working days per semester is condonable under this provision.</w:t>
      </w:r>
    </w:p>
    <w:p>
      <w:pPr>
        <w:pStyle w:val="Heading1"/>
        <w:spacing w:after="160" w:before="340"/>
      </w:pPr>
      <w:r>
        <w:rPr>
          <w:b/>
          <w:bCs/>
          <w:color w:val="1B2A5B"/>
        </w:rPr>
        <w:t xml:space="preserve">8. Internship Attendance Policy</w:t>
      </w:r>
    </w:p>
    <w:p>
      <w:pPr>
        <w:spacing w:after="160" w:line="300"/>
      </w:pPr>
      <w:r>
        <w:rPr>
          <w:sz w:val="22"/>
          <w:szCs w:val="22"/>
        </w:rPr>
        <w:t xml:space="preserve">For students undergoing an approved internship as part of the curriculum, attendance is recorded on the basis of the weekly log verified by the Faculty Mentor and Industry Supervisor. A minimum internship attendance of 90% of the internship duration is required for internship credit to be awarded (refer to the Internship &amp; Industrial Training Policy for further detail).</w:t>
      </w:r>
    </w:p>
    <w:p>
      <w:pPr>
        <w:pStyle w:val="Heading1"/>
        <w:spacing w:after="160" w:before="340"/>
      </w:pPr>
      <w:r>
        <w:rPr>
          <w:b/>
          <w:bCs/>
          <w:color w:val="1B2A5B"/>
        </w:rPr>
        <w:t xml:space="preserve">9. Late Entry Rules</w:t>
      </w:r>
    </w:p>
    <w:p>
      <w:pPr>
        <w:pStyle w:val="ListParagraph"/>
        <w:numPr>
          <w:ilvl w:val="0"/>
          <w:numId w:val="2"/>
        </w:numPr>
        <w:spacing w:after="100" w:line="300"/>
      </w:pPr>
      <w:r>
        <w:rPr>
          <w:sz w:val="22"/>
          <w:szCs w:val="22"/>
        </w:rPr>
        <w:t xml:space="preserve">Students arriving more than 10 minutes after the scheduled start of class may be marked absent at the discretion of the faculty member.</w:t>
      </w:r>
    </w:p>
    <w:p>
      <w:pPr>
        <w:pStyle w:val="ListParagraph"/>
        <w:numPr>
          <w:ilvl w:val="0"/>
          <w:numId w:val="2"/>
        </w:numPr>
        <w:spacing w:after="100" w:line="300"/>
      </w:pPr>
      <w:r>
        <w:rPr>
          <w:sz w:val="22"/>
          <w:szCs w:val="22"/>
        </w:rPr>
        <w:t xml:space="preserve">Three late entries in a course in a month are cumulatively treated as one absence for that course.</w:t>
      </w:r>
    </w:p>
    <w:p>
      <w:pPr>
        <w:pStyle w:val="ListParagraph"/>
        <w:numPr>
          <w:ilvl w:val="0"/>
          <w:numId w:val="2"/>
        </w:numPr>
        <w:spacing w:after="100" w:line="300"/>
      </w:pPr>
      <w:r>
        <w:rPr>
          <w:sz w:val="22"/>
          <w:szCs w:val="22"/>
        </w:rPr>
        <w:t xml:space="preserve">Repeated late entry may result in a written advisory from the Faculty Mentor.</w:t>
      </w:r>
    </w:p>
    <w:p>
      <w:pPr>
        <w:pStyle w:val="Heading1"/>
        <w:spacing w:after="160" w:before="340"/>
      </w:pPr>
      <w:r>
        <w:rPr>
          <w:b/>
          <w:bCs/>
          <w:color w:val="1B2A5B"/>
        </w:rPr>
        <w:t xml:space="preserve">10. Leave Approval Process</w:t>
      </w:r>
    </w:p>
    <w:p>
      <w:pPr>
        <w:pStyle w:val="ListParagraph"/>
        <w:numPr>
          <w:ilvl w:val="0"/>
          <w:numId w:val="3"/>
        </w:numPr>
        <w:spacing w:after="100" w:line="300"/>
      </w:pPr>
      <w:r>
        <w:rPr>
          <w:sz w:val="22"/>
          <w:szCs w:val="22"/>
        </w:rPr>
        <w:t xml:space="preserve">Student submits leave application via ERP Leave Module, selecting leave category (Medical / Sports / Personal / Bereavement).</w:t>
      </w:r>
    </w:p>
    <w:p>
      <w:pPr>
        <w:pStyle w:val="ListParagraph"/>
        <w:numPr>
          <w:ilvl w:val="0"/>
          <w:numId w:val="3"/>
        </w:numPr>
        <w:spacing w:after="100" w:line="300"/>
      </w:pPr>
      <w:r>
        <w:rPr>
          <w:sz w:val="22"/>
          <w:szCs w:val="22"/>
        </w:rPr>
        <w:t xml:space="preserve">Application is routed to the Faculty Mentor for initial review within 2 working days.</w:t>
      </w:r>
    </w:p>
    <w:p>
      <w:pPr>
        <w:pStyle w:val="ListParagraph"/>
        <w:numPr>
          <w:ilvl w:val="0"/>
          <w:numId w:val="3"/>
        </w:numPr>
        <w:spacing w:after="100" w:line="300"/>
      </w:pPr>
      <w:r>
        <w:rPr>
          <w:sz w:val="22"/>
          <w:szCs w:val="22"/>
        </w:rPr>
        <w:t xml:space="preserve">Faculty Mentor forwards the application with recommendation to the Head of Department.</w:t>
      </w:r>
    </w:p>
    <w:p>
      <w:pPr>
        <w:pStyle w:val="ListParagraph"/>
        <w:numPr>
          <w:ilvl w:val="0"/>
          <w:numId w:val="3"/>
        </w:numPr>
        <w:spacing w:after="100" w:line="300"/>
      </w:pPr>
      <w:r>
        <w:rPr>
          <w:sz w:val="22"/>
          <w:szCs w:val="22"/>
        </w:rPr>
        <w:t xml:space="preserve">Head of Department approves, rejects, or escalates to the Dean for leave exceeding 5 consecutive working days.</w:t>
      </w:r>
    </w:p>
    <w:p>
      <w:pPr>
        <w:pStyle w:val="ListParagraph"/>
        <w:numPr>
          <w:ilvl w:val="0"/>
          <w:numId w:val="3"/>
        </w:numPr>
        <w:spacing w:after="100" w:line="300"/>
      </w:pPr>
      <w:r>
        <w:rPr>
          <w:sz w:val="22"/>
          <w:szCs w:val="22"/>
        </w:rPr>
        <w:t xml:space="preserve">Approved leave is auto-reflected as condoned absence in the attendance register.</w:t>
      </w:r>
    </w:p>
    <w:p>
      <w:pPr>
        <w:pStyle w:val="Heading1"/>
        <w:spacing w:after="160" w:before="340"/>
      </w:pPr>
      <w:r>
        <w:rPr>
          <w:b/>
          <w:bCs/>
          <w:color w:val="1B2A5B"/>
        </w:rPr>
        <w:t xml:space="preserve">11. Short Attendance Consequences</w:t>
      </w:r>
    </w:p>
    <w:p>
      <w:pPr>
        <w:pStyle w:val="ListParagraph"/>
        <w:numPr>
          <w:ilvl w:val="0"/>
          <w:numId w:val="2"/>
        </w:numPr>
        <w:spacing w:after="100" w:line="300"/>
      </w:pPr>
      <w:r>
        <w:rPr>
          <w:sz w:val="22"/>
          <w:szCs w:val="22"/>
        </w:rPr>
        <w:t xml:space="preserve">First notice issued to student and parent/guardian via SMS and email when attendance drops below 70% in any course.</w:t>
      </w:r>
    </w:p>
    <w:p>
      <w:pPr>
        <w:pStyle w:val="ListParagraph"/>
        <w:numPr>
          <w:ilvl w:val="0"/>
          <w:numId w:val="2"/>
        </w:numPr>
        <w:spacing w:after="100" w:line="300"/>
      </w:pPr>
      <w:r>
        <w:rPr>
          <w:sz w:val="22"/>
          <w:szCs w:val="22"/>
        </w:rPr>
        <w:t xml:space="preserve">Second and final notice issued at 60%, requiring an in-person meeting with the Faculty Mentor.</w:t>
      </w:r>
    </w:p>
    <w:p>
      <w:pPr>
        <w:pStyle w:val="ListParagraph"/>
        <w:numPr>
          <w:ilvl w:val="0"/>
          <w:numId w:val="2"/>
        </w:numPr>
        <w:spacing w:after="100" w:line="300"/>
      </w:pPr>
      <w:r>
        <w:rPr>
          <w:sz w:val="22"/>
          <w:szCs w:val="22"/>
        </w:rPr>
        <w:t xml:space="preserve">Students below 50% attendance are barred from participating in University fests, sports events, and placement drives until the matter is resolved.</w:t>
      </w:r>
    </w:p>
    <w:p>
      <w:pPr>
        <w:pStyle w:val="Heading1"/>
        <w:spacing w:after="160" w:before="340"/>
      </w:pPr>
      <w:r>
        <w:rPr>
          <w:b/>
          <w:bCs/>
          <w:color w:val="1B2A5B"/>
        </w:rPr>
        <w:t xml:space="preserve">12. Examination Eligibility</w:t>
      </w:r>
    </w:p>
    <w:p>
      <w:pPr>
        <w:spacing w:after="160" w:line="300"/>
      </w:pPr>
      <w:r>
        <w:rPr>
          <w:sz w:val="22"/>
          <w:szCs w:val="22"/>
        </w:rPr>
        <w:t xml:space="preserve">Examination eligibility (Form 21-A) is generated automatically through the ERP system two weeks before the End Semester Examination, based on attendance and internal assessment record. Students without eligibility for a course will not be permitted entry to the examination hall for that course, and their admit card will reflect the affected course(s) as "Not Eligible."</w:t>
      </w:r>
    </w:p>
    <w:p>
      <w:pPr>
        <w:pStyle w:val="Heading1"/>
        <w:spacing w:after="160" w:before="340"/>
      </w:pPr>
      <w:r>
        <w:rPr>
          <w:b/>
          <w:bCs/>
          <w:color w:val="1B2A5B"/>
        </w:rPr>
        <w:t xml:space="preserve">13. Penalty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Violation</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First Instance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Repeat Instance</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Attendance below 75% without valid leave</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Written warning + Mentor counselling</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Parent meeting + provisional detention</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Falsified medical certificate</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Certificate rejected + attendance marked absent</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Reference to Student Disciplinary Committee</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Proxy attendance (marking attendance for another student)</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Both students marked absent for the day</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Disciplinary action under Code of Conduct, up to suspension</w:t>
            </w:r>
          </w:p>
        </w:tc>
      </w:tr>
    </w:tbl>
    <w:p>
      <w:pPr>
        <w:spacing w:after="160"/>
      </w:pPr>
    </w:p>
    <w:p>
      <w:pPr>
        <w:pStyle w:val="Heading1"/>
        <w:spacing w:after="160" w:before="340"/>
      </w:pPr>
      <w:r>
        <w:rPr>
          <w:b/>
          <w:bCs/>
          <w:color w:val="1B2A5B"/>
        </w:rPr>
        <w:t xml:space="preserve">14. Frequently Asked Questions</w:t>
      </w:r>
    </w:p>
    <w:p>
      <w:pPr>
        <w:spacing w:after="60" w:before="180"/>
      </w:pPr>
      <w:r>
        <w:rPr>
          <w:b/>
          <w:bCs/>
          <w:sz w:val="22"/>
          <w:szCs w:val="22"/>
        </w:rPr>
        <w:t xml:space="preserve">Q1. Can I condone attendance shortfall due to a family emergency?</w:t>
      </w:r>
    </w:p>
    <w:p>
      <w:pPr>
        <w:spacing w:after="100" w:line="300"/>
      </w:pPr>
      <w:r>
        <w:rPr>
          <w:sz w:val="22"/>
          <w:szCs w:val="22"/>
        </w:rPr>
        <w:t xml:space="preserve">A: Yes, personal/bereavement leave up to 5 working days can be condoned with supporting documents, subject to Head of Department approval.</w:t>
      </w:r>
    </w:p>
    <w:p>
      <w:pPr>
        <w:spacing w:after="60" w:before="180"/>
      </w:pPr>
      <w:r>
        <w:rPr>
          <w:b/>
          <w:bCs/>
          <w:sz w:val="22"/>
          <w:szCs w:val="22"/>
        </w:rPr>
        <w:t xml:space="preserve">Q2. Is attendance for online/hybrid classes counted the same way?</w:t>
      </w:r>
    </w:p>
    <w:p>
      <w:pPr>
        <w:spacing w:after="100" w:line="300"/>
      </w:pPr>
      <w:r>
        <w:rPr>
          <w:sz w:val="22"/>
          <w:szCs w:val="22"/>
        </w:rPr>
        <w:t xml:space="preserve">A: Yes, attendance in University-approved online or hybrid sessions conducted through the LMS is recorded identically to in-person classes.</w:t>
      </w:r>
    </w:p>
    <w:p>
      <w:pPr>
        <w:spacing w:after="60" w:before="180"/>
      </w:pPr>
      <w:r>
        <w:rPr>
          <w:b/>
          <w:bCs/>
          <w:sz w:val="22"/>
          <w:szCs w:val="22"/>
        </w:rPr>
        <w:t xml:space="preserve">Q3. What happens if my ERP attendance record seems incorrect?</w:t>
      </w:r>
    </w:p>
    <w:p>
      <w:pPr>
        <w:spacing w:after="100" w:line="300"/>
      </w:pPr>
      <w:r>
        <w:rPr>
          <w:sz w:val="22"/>
          <w:szCs w:val="22"/>
        </w:rPr>
        <w:t xml:space="preserve">A: Raise a discrepancy ticket via the ERP Attendance Correction Module within 10 days of the class; the concerned faculty member must respond within 3 working days.</w:t>
      </w:r>
    </w:p>
    <w:p>
      <w:pPr>
        <w:spacing w:after="60" w:before="180"/>
      </w:pPr>
      <w:r>
        <w:rPr>
          <w:b/>
          <w:bCs/>
          <w:sz w:val="22"/>
          <w:szCs w:val="22"/>
        </w:rPr>
        <w:t xml:space="preserve">Q4. Can detained students appear for a re-examination in the same semester?</w:t>
      </w:r>
    </w:p>
    <w:p>
      <w:pPr>
        <w:spacing w:after="100" w:line="300"/>
      </w:pPr>
      <w:r>
        <w:rPr>
          <w:sz w:val="22"/>
          <w:szCs w:val="22"/>
        </w:rPr>
        <w:t xml:space="preserve">A: No. Detained students must re-register for the course in a subsequent semester as per the Examination Rules &amp; Evaluation Policy.</w:t>
      </w:r>
    </w:p>
    <w:p>
      <w:pPr>
        <w:pStyle w:val="Heading1"/>
        <w:spacing w:after="160" w:before="340"/>
      </w:pPr>
      <w:r>
        <w:rPr>
          <w:b/>
          <w:bCs/>
          <w:color w:val="1B2A5B"/>
        </w:rPr>
        <w:t xml:space="preserve">15.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B2A5B" w:val="clear"/>
            <w:tcMar>
              <w:top w:type="dxa" w:w="80"/>
              <w:left w:type="dxa" w:w="100"/>
              <w:bottom w:type="dxa" w:w="80"/>
              <w:right w:type="dxa" w:w="100"/>
            </w:tcMar>
            <w:vAlign w:val="center"/>
          </w:tcPr>
          <w:p>
            <w:pPr>
              <w:jc w:val="left"/>
            </w:pPr>
            <w:r>
              <w:rPr>
                <w:b/>
                <w:bCs/>
                <w:color w:val="FFFFFF"/>
                <w:sz w:val="21"/>
                <w:szCs w:val="21"/>
              </w:rPr>
              <w:t xml:space="preserve">Office</w:t>
            </w:r>
          </w:p>
        </w:tc>
        <w:tc>
          <w:tcPr>
            <w:tcW w:type="dxa" w:w="2340"/>
            <w:shd w:fill="1B2A5B" w:val="clear"/>
            <w:tcMar>
              <w:top w:type="dxa" w:w="80"/>
              <w:left w:type="dxa" w:w="100"/>
              <w:bottom w:type="dxa" w:w="80"/>
              <w:right w:type="dxa" w:w="100"/>
            </w:tcMar>
            <w:vAlign w:val="center"/>
          </w:tcPr>
          <w:p>
            <w:pPr>
              <w:jc w:val="left"/>
            </w:pPr>
            <w:r>
              <w:rPr>
                <w:b/>
                <w:bCs/>
                <w:color w:val="FFFFFF"/>
                <w:sz w:val="21"/>
                <w:szCs w:val="21"/>
              </w:rPr>
              <w:t xml:space="preserve">Contact Person</w:t>
            </w:r>
          </w:p>
        </w:tc>
        <w:tc>
          <w:tcPr>
            <w:tcW w:type="dxa" w:w="2340"/>
            <w:shd w:fill="1B2A5B" w:val="clear"/>
            <w:tcMar>
              <w:top w:type="dxa" w:w="80"/>
              <w:left w:type="dxa" w:w="100"/>
              <w:bottom w:type="dxa" w:w="80"/>
              <w:right w:type="dxa" w:w="100"/>
            </w:tcMar>
            <w:vAlign w:val="center"/>
          </w:tcPr>
          <w:p>
            <w:pPr>
              <w:jc w:val="left"/>
            </w:pPr>
            <w:r>
              <w:rPr>
                <w:b/>
                <w:bCs/>
                <w:color w:val="FFFFFF"/>
                <w:sz w:val="21"/>
                <w:szCs w:val="21"/>
              </w:rPr>
              <w:t xml:space="preserve">Email</w:t>
            </w:r>
          </w:p>
        </w:tc>
        <w:tc>
          <w:tcPr>
            <w:tcW w:type="dxa" w:w="2340"/>
            <w:shd w:fill="1B2A5B" w:val="clear"/>
            <w:tcMar>
              <w:top w:type="dxa" w:w="80"/>
              <w:left w:type="dxa" w:w="100"/>
              <w:bottom w:type="dxa" w:w="80"/>
              <w:right w:type="dxa" w:w="100"/>
            </w:tcMar>
            <w:vAlign w:val="center"/>
          </w:tcPr>
          <w:p>
            <w:pPr>
              <w:jc w:val="left"/>
            </w:pPr>
            <w:r>
              <w:rPr>
                <w:b/>
                <w:bCs/>
                <w:color w:val="FFFFFF"/>
                <w:sz w:val="21"/>
                <w:szCs w:val="21"/>
              </w:rPr>
              <w:t xml:space="preserve">Extension</w:t>
            </w:r>
          </w:p>
        </w:tc>
      </w:tr>
      <w:tr>
        <w:tc>
          <w:tcPr>
            <w:tcW w:type="dxa" w:w="2340"/>
            <w:tcMar>
              <w:top w:type="dxa" w:w="80"/>
              <w:left w:type="dxa" w:w="100"/>
              <w:bottom w:type="dxa" w:w="80"/>
              <w:right w:type="dxa" w:w="100"/>
            </w:tcMar>
            <w:vAlign w:val="center"/>
          </w:tcPr>
          <w:p>
            <w:pPr>
              <w:jc w:val="left"/>
            </w:pPr>
            <w:r>
              <w:rPr>
                <w:b w:val="false"/>
                <w:bCs w:val="false"/>
                <w:color w:val="000000"/>
                <w:sz w:val="21"/>
                <w:szCs w:val="21"/>
              </w:rPr>
              <w:t xml:space="preserve">Office of the Registrar</w:t>
            </w:r>
          </w:p>
        </w:tc>
        <w:tc>
          <w:tcPr>
            <w:tcW w:type="dxa" w:w="2340"/>
            <w:tcMar>
              <w:top w:type="dxa" w:w="80"/>
              <w:left w:type="dxa" w:w="100"/>
              <w:bottom w:type="dxa" w:w="80"/>
              <w:right w:type="dxa" w:w="100"/>
            </w:tcMar>
            <w:vAlign w:val="center"/>
          </w:tcPr>
          <w:p>
            <w:pPr>
              <w:jc w:val="left"/>
            </w:pPr>
            <w:r>
              <w:rPr>
                <w:b w:val="false"/>
                <w:bCs w:val="false"/>
                <w:color w:val="000000"/>
                <w:sz w:val="21"/>
                <w:szCs w:val="21"/>
              </w:rPr>
              <w:t xml:space="preserve">Dr. Anil Kashyap, Registrar</w:t>
            </w:r>
          </w:p>
        </w:tc>
        <w:tc>
          <w:tcPr>
            <w:tcW w:type="dxa" w:w="2340"/>
            <w:tcMar>
              <w:top w:type="dxa" w:w="80"/>
              <w:left w:type="dxa" w:w="100"/>
              <w:bottom w:type="dxa" w:w="80"/>
              <w:right w:type="dxa" w:w="100"/>
            </w:tcMar>
            <w:vAlign w:val="center"/>
          </w:tcPr>
          <w:p>
            <w:pPr>
              <w:jc w:val="left"/>
            </w:pPr>
            <w:r>
              <w:rPr>
                <w:b w:val="false"/>
                <w:bCs w:val="false"/>
                <w:color w:val="000000"/>
                <w:sz w:val="21"/>
                <w:szCs w:val="21"/>
              </w:rPr>
              <w:t xml:space="preserve">registrar@krmangalam.edu.in</w:t>
            </w:r>
          </w:p>
        </w:tc>
        <w:tc>
          <w:tcPr>
            <w:tcW w:type="dxa" w:w="2340"/>
            <w:tcMar>
              <w:top w:type="dxa" w:w="80"/>
              <w:left w:type="dxa" w:w="100"/>
              <w:bottom w:type="dxa" w:w="80"/>
              <w:right w:type="dxa" w:w="100"/>
            </w:tcMar>
            <w:vAlign w:val="center"/>
          </w:tcPr>
          <w:p>
            <w:pPr>
              <w:jc w:val="left"/>
            </w:pPr>
            <w:r>
              <w:rPr>
                <w:b w:val="false"/>
                <w:bCs w:val="false"/>
                <w:color w:val="000000"/>
                <w:sz w:val="21"/>
                <w:szCs w:val="21"/>
              </w:rPr>
              <w:t xml:space="preserve">1101</w:t>
            </w:r>
          </w:p>
        </w:tc>
      </w:tr>
      <w:tr>
        <w:tc>
          <w:tcPr>
            <w:tcW w:type="dxa" w:w="2340"/>
            <w:tcMar>
              <w:top w:type="dxa" w:w="80"/>
              <w:left w:type="dxa" w:w="100"/>
              <w:bottom w:type="dxa" w:w="80"/>
              <w:right w:type="dxa" w:w="100"/>
            </w:tcMar>
            <w:vAlign w:val="center"/>
          </w:tcPr>
          <w:p>
            <w:pPr>
              <w:jc w:val="left"/>
            </w:pPr>
            <w:r>
              <w:rPr>
                <w:b w:val="false"/>
                <w:bCs w:val="false"/>
                <w:color w:val="000000"/>
                <w:sz w:val="21"/>
                <w:szCs w:val="21"/>
              </w:rPr>
              <w:t xml:space="preserve">Dean of Students Welfare</w:t>
            </w:r>
          </w:p>
        </w:tc>
        <w:tc>
          <w:tcPr>
            <w:tcW w:type="dxa" w:w="2340"/>
            <w:tcMar>
              <w:top w:type="dxa" w:w="80"/>
              <w:left w:type="dxa" w:w="100"/>
              <w:bottom w:type="dxa" w:w="80"/>
              <w:right w:type="dxa" w:w="100"/>
            </w:tcMar>
            <w:vAlign w:val="center"/>
          </w:tcPr>
          <w:p>
            <w:pPr>
              <w:jc w:val="left"/>
            </w:pPr>
            <w:r>
              <w:rPr>
                <w:b w:val="false"/>
                <w:bCs w:val="false"/>
                <w:color w:val="000000"/>
                <w:sz w:val="21"/>
                <w:szCs w:val="21"/>
              </w:rPr>
              <w:t xml:space="preserve">Prof. Rekha Malhotra</w:t>
            </w:r>
          </w:p>
        </w:tc>
        <w:tc>
          <w:tcPr>
            <w:tcW w:type="dxa" w:w="2340"/>
            <w:tcMar>
              <w:top w:type="dxa" w:w="80"/>
              <w:left w:type="dxa" w:w="100"/>
              <w:bottom w:type="dxa" w:w="80"/>
              <w:right w:type="dxa" w:w="100"/>
            </w:tcMar>
            <w:vAlign w:val="center"/>
          </w:tcPr>
          <w:p>
            <w:pPr>
              <w:jc w:val="left"/>
            </w:pPr>
            <w:r>
              <w:rPr>
                <w:b w:val="false"/>
                <w:bCs w:val="false"/>
                <w:color w:val="000000"/>
                <w:sz w:val="21"/>
                <w:szCs w:val="21"/>
              </w:rPr>
              <w:t xml:space="preserve">dosw@krmangalam.edu.in</w:t>
            </w:r>
          </w:p>
        </w:tc>
        <w:tc>
          <w:tcPr>
            <w:tcW w:type="dxa" w:w="2340"/>
            <w:tcMar>
              <w:top w:type="dxa" w:w="80"/>
              <w:left w:type="dxa" w:w="100"/>
              <w:bottom w:type="dxa" w:w="80"/>
              <w:right w:type="dxa" w:w="100"/>
            </w:tcMar>
            <w:vAlign w:val="center"/>
          </w:tcPr>
          <w:p>
            <w:pPr>
              <w:jc w:val="left"/>
            </w:pPr>
            <w:r>
              <w:rPr>
                <w:b w:val="false"/>
                <w:bCs w:val="false"/>
                <w:color w:val="000000"/>
                <w:sz w:val="21"/>
                <w:szCs w:val="21"/>
              </w:rPr>
              <w:t xml:space="preserve">1145</w:t>
            </w:r>
          </w:p>
        </w:tc>
      </w:tr>
      <w:tr>
        <w:tc>
          <w:tcPr>
            <w:tcW w:type="dxa" w:w="2340"/>
            <w:tcMar>
              <w:top w:type="dxa" w:w="80"/>
              <w:left w:type="dxa" w:w="100"/>
              <w:bottom w:type="dxa" w:w="80"/>
              <w:right w:type="dxa" w:w="100"/>
            </w:tcMar>
            <w:vAlign w:val="center"/>
          </w:tcPr>
          <w:p>
            <w:pPr>
              <w:jc w:val="left"/>
            </w:pPr>
            <w:r>
              <w:rPr>
                <w:b w:val="false"/>
                <w:bCs w:val="false"/>
                <w:color w:val="000000"/>
                <w:sz w:val="21"/>
                <w:szCs w:val="21"/>
              </w:rPr>
              <w:t xml:space="preserve">ERP Help Desk</w:t>
            </w:r>
          </w:p>
        </w:tc>
        <w:tc>
          <w:tcPr>
            <w:tcW w:type="dxa" w:w="2340"/>
            <w:tcMar>
              <w:top w:type="dxa" w:w="80"/>
              <w:left w:type="dxa" w:w="100"/>
              <w:bottom w:type="dxa" w:w="80"/>
              <w:right w:type="dxa" w:w="100"/>
            </w:tcMar>
            <w:vAlign w:val="center"/>
          </w:tcPr>
          <w:p>
            <w:pPr>
              <w:jc w:val="left"/>
            </w:pPr>
            <w:r>
              <w:rPr>
                <w:b w:val="false"/>
                <w:bCs w:val="false"/>
                <w:color w:val="000000"/>
                <w:sz w:val="21"/>
                <w:szCs w:val="21"/>
              </w:rPr>
              <w:t xml:space="preserve">Mr. Sandeep Rawat</w:t>
            </w:r>
          </w:p>
        </w:tc>
        <w:tc>
          <w:tcPr>
            <w:tcW w:type="dxa" w:w="2340"/>
            <w:tcMar>
              <w:top w:type="dxa" w:w="80"/>
              <w:left w:type="dxa" w:w="100"/>
              <w:bottom w:type="dxa" w:w="80"/>
              <w:right w:type="dxa" w:w="100"/>
            </w:tcMar>
            <w:vAlign w:val="center"/>
          </w:tcPr>
          <w:p>
            <w:pPr>
              <w:jc w:val="left"/>
            </w:pPr>
            <w:r>
              <w:rPr>
                <w:b w:val="false"/>
                <w:bCs w:val="false"/>
                <w:color w:val="000000"/>
                <w:sz w:val="21"/>
                <w:szCs w:val="21"/>
              </w:rPr>
              <w:t xml:space="preserve">erp.support@krmangalam.edu.in</w:t>
            </w:r>
          </w:p>
        </w:tc>
        <w:tc>
          <w:tcPr>
            <w:tcW w:type="dxa" w:w="2340"/>
            <w:tcMar>
              <w:top w:type="dxa" w:w="80"/>
              <w:left w:type="dxa" w:w="100"/>
              <w:bottom w:type="dxa" w:w="80"/>
              <w:right w:type="dxa" w:w="100"/>
            </w:tcMar>
            <w:vAlign w:val="center"/>
          </w:tcPr>
          <w:p>
            <w:pPr>
              <w:jc w:val="left"/>
            </w:pPr>
            <w:r>
              <w:rPr>
                <w:b w:val="false"/>
                <w:bCs w:val="false"/>
                <w:color w:val="000000"/>
                <w:sz w:val="21"/>
                <w:szCs w:val="21"/>
              </w:rPr>
              <w:t xml:space="preserve">1210</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B" w:sz="4"/>
      </w:pBdr>
      <w:spacing w:before="60"/>
      <w:jc w:val="center"/>
    </w:pPr>
    <w:r>
      <w:rPr>
        <w:color w:val="666666"/>
        <w:sz w:val="16"/>
        <w:szCs w:val="16"/>
      </w:rPr>
      <w:t xml:space="preserve">Office of the Registrar | K.R. Mangalam University | Confidential – For Internal &amp; Student Use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5B" w:sz="4"/>
      </w:pBdr>
      <w:tabs>
        <w:tab w:val="right" w:pos="9360"/>
      </w:tabs>
      <w:spacing w:after="60"/>
    </w:pPr>
    <w:r>
      <w:rPr>
        <w:b/>
        <w:bCs/>
        <w:color w:val="1B2A5B"/>
        <w:sz w:val="18"/>
        <w:szCs w:val="18"/>
      </w:rPr>
      <w:t xml:space="preserve">K.R. Mangalam University</w:t>
    </w:r>
    <w:r>
      <w:rPr>
        <w:color w:val="666666"/>
        <w:sz w:val="18"/>
        <w:szCs w:val="18"/>
      </w:rPr>
      <w:t xml:space="preserve">	Attendance Policy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2026-08-08T07:12:41.336Z</dcterms:created>
  <dcterms:modified xsi:type="dcterms:W3CDTF">2026-08-08T07:12:41.336Z</dcterms:modified>
</cp:coreProperties>
</file>

<file path=docProps/custom.xml><?xml version="1.0" encoding="utf-8"?>
<Properties xmlns="http://schemas.openxmlformats.org/officeDocument/2006/custom-properties" xmlns:vt="http://schemas.openxmlformats.org/officeDocument/2006/docPropsVTypes"/>
</file>