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t xml:space="preserve"/>
      </w:r>
    </w:p>
    <w:p>
      <w:pPr>
        <w:spacing w:after="100"/>
        <w:jc w:val="center"/>
      </w:pPr>
      <w:r>
        <w:rPr>
          <w:b/>
          <w:bCs/>
          <w:color w:val="1B2A5B"/>
          <w:sz w:val="40"/>
          <w:szCs w:val="40"/>
        </w:rPr>
        <w:t xml:space="preserve">K.R. MANGALAM UNIVERSITY</w:t>
      </w:r>
    </w:p>
    <w:p>
      <w:pPr>
        <w:spacing w:after="300"/>
        <w:jc w:val="center"/>
      </w:pPr>
      <w:r>
        <w:rPr>
          <w:color w:val="666666"/>
          <w:sz w:val="18"/>
          <w:szCs w:val="18"/>
        </w:rPr>
        <w:t xml:space="preserve">Sohna Road, Gurugram, Haryana – 122103 | www.krmangalam.edu.in</w:t>
      </w:r>
    </w:p>
    <w:p>
      <w:pPr>
        <w:pBdr>
          <w:top w:val="single" w:color="B08D2B" w:sz="6"/>
          <w:bottom w:val="single" w:color="B08D2B" w:sz="6"/>
        </w:pBdr>
        <w:spacing w:after="200" w:before="200"/>
      </w:pPr>
      <w:r>
        <w:t xml:space="preserve"/>
      </w:r>
    </w:p>
    <w:p>
      <w:pPr>
        <w:spacing w:before="600"/>
      </w:pPr>
      <w:r>
        <w:t xml:space="preserve"/>
      </w:r>
    </w:p>
    <w:p>
      <w:pPr>
        <w:spacing w:after="200"/>
        <w:jc w:val="center"/>
      </w:pPr>
      <w:r>
        <w:rPr>
          <w:b/>
          <w:bCs/>
          <w:color w:val="B08D2B"/>
          <w:sz w:val="24"/>
          <w:szCs w:val="24"/>
        </w:rPr>
        <w:t xml:space="preserve">OFFICIAL POLICY DOCUMENT</w:t>
      </w:r>
    </w:p>
    <w:p>
      <w:pPr>
        <w:spacing w:after="600"/>
        <w:jc w:val="center"/>
      </w:pPr>
      <w:r>
        <w:rPr>
          <w:b/>
          <w:bCs/>
          <w:sz w:val="44"/>
          <w:szCs w:val="44"/>
        </w:rPr>
        <w:t xml:space="preserve">Internship &amp; Industrial Training Policy</w:t>
      </w:r>
    </w:p>
    <w:p>
      <w:pPr>
        <w:spacing w:before="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1B2A5B" w:val="clear"/>
            <w:tcMar>
              <w:top w:type="dxa" w:w="80"/>
              <w:left w:type="dxa" w:w="100"/>
              <w:bottom w:type="dxa" w:w="80"/>
              <w:right w:type="dxa" w:w="100"/>
            </w:tcMar>
            <w:vAlign w:val="center"/>
          </w:tcPr>
          <w:p>
            <w:pPr>
              <w:jc w:val="left"/>
            </w:pPr>
            <w:r>
              <w:rPr>
                <w:b/>
                <w:bCs/>
                <w:color w:val="FFFFFF"/>
                <w:sz w:val="21"/>
                <w:szCs w:val="21"/>
              </w:rPr>
              <w:t xml:space="preserve">Field</w:t>
            </w:r>
          </w:p>
        </w:tc>
        <w:tc>
          <w:tcPr>
            <w:tcW w:type="dxa" w:w="6360"/>
            <w:shd w:fill="1B2A5B" w:val="clear"/>
            <w:tcMar>
              <w:top w:type="dxa" w:w="80"/>
              <w:left w:type="dxa" w:w="100"/>
              <w:bottom w:type="dxa" w:w="80"/>
              <w:right w:type="dxa" w:w="100"/>
            </w:tcMar>
            <w:vAlign w:val="center"/>
          </w:tcPr>
          <w:p>
            <w:pPr>
              <w:jc w:val="left"/>
            </w:pPr>
            <w:r>
              <w:rPr>
                <w:b/>
                <w:bCs/>
                <w:color w:val="FFFFFF"/>
                <w:sz w:val="21"/>
                <w:szCs w:val="21"/>
              </w:rPr>
              <w:t xml:space="preserve">Detail</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Notice Number</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KRMU/TPC/INT/2026-27/018</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Effective Date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Version</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Version 2.0</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Approved By</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Office of the Registrar, K.R. Mangalam University</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Applicable To</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All students, faculty, and staff, Academic Session 2026–2027</w:t>
            </w:r>
          </w:p>
        </w:tc>
      </w:tr>
      <w:tr>
        <w:tc>
          <w:tcPr>
            <w:tcW w:type="dxa" w:w="3000"/>
            <w:tcMar>
              <w:top w:type="dxa" w:w="80"/>
              <w:left w:type="dxa" w:w="100"/>
              <w:bottom w:type="dxa" w:w="80"/>
              <w:right w:type="dxa" w:w="100"/>
            </w:tcMar>
            <w:vAlign w:val="center"/>
          </w:tcPr>
          <w:p>
            <w:pPr>
              <w:jc w:val="left"/>
            </w:pPr>
            <w:r>
              <w:rPr>
                <w:b w:val="false"/>
                <w:bCs w:val="false"/>
                <w:color w:val="000000"/>
                <w:sz w:val="21"/>
                <w:szCs w:val="21"/>
              </w:rPr>
              <w:t xml:space="preserve">Review Cycle</w:t>
            </w:r>
          </w:p>
        </w:tc>
        <w:tc>
          <w:tcPr>
            <w:tcW w:type="dxa" w:w="6360"/>
            <w:tcMar>
              <w:top w:type="dxa" w:w="80"/>
              <w:left w:type="dxa" w:w="100"/>
              <w:bottom w:type="dxa" w:w="80"/>
              <w:right w:type="dxa" w:w="100"/>
            </w:tcMar>
            <w:vAlign w:val="center"/>
          </w:tcPr>
          <w:p>
            <w:pPr>
              <w:jc w:val="left"/>
            </w:pPr>
            <w:r>
              <w:rPr>
                <w:b w:val="false"/>
                <w:bCs w:val="false"/>
                <w:color w:val="000000"/>
                <w:sz w:val="21"/>
                <w:szCs w:val="21"/>
              </w:rPr>
              <w:t xml:space="preserve">Annual, or as directed by the Academic Council</w:t>
            </w:r>
          </w:p>
        </w:tc>
      </w:tr>
    </w:tbl>
    <w:p>
      <w:r>
        <w:br w:type="page"/>
      </w:r>
    </w:p>
    <w:p>
      <w:pPr>
        <w:pStyle w:val="Heading1"/>
        <w:spacing w:after="160" w:before="340"/>
      </w:pPr>
      <w:r>
        <w:rPr>
          <w:b/>
          <w:bCs/>
          <w:color w:val="1B2A5B"/>
        </w:rPr>
        <w:t xml:space="preserve">Document Control &amp; Revision History</w:t>
      </w:r>
    </w:p>
    <w:p>
      <w:pPr>
        <w:spacing w:after="160" w:line="300"/>
      </w:pPr>
      <w:r>
        <w:rPr>
          <w:sz w:val="22"/>
          <w:szCs w:val="22"/>
        </w:rPr>
        <w:t xml:space="preserve">This document, "Internship &amp; Industrial Training Policy," is maintained by the concerned administrative office of K.R. Mangalam University and is subject to periodic review. The table below records the revision history of this document under notice number KRMU/TPC/INT/2026-27/018.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400"/>
        <w:gridCol w:w="1660"/>
      </w:tblGrid>
      <w:tr>
        <w:tc>
          <w:tcPr>
            <w:tcW w:type="dxa" w:w="1400"/>
            <w:shd w:fill="1B2A5B" w:val="clear"/>
            <w:tcMar>
              <w:top w:type="dxa" w:w="80"/>
              <w:left w:type="dxa" w:w="100"/>
              <w:bottom w:type="dxa" w:w="80"/>
              <w:right w:type="dxa" w:w="100"/>
            </w:tcMar>
            <w:vAlign w:val="center"/>
          </w:tcPr>
          <w:p>
            <w:pPr>
              <w:jc w:val="left"/>
            </w:pPr>
            <w:r>
              <w:rPr>
                <w:b/>
                <w:bCs/>
                <w:color w:val="FFFFFF"/>
                <w:sz w:val="21"/>
                <w:szCs w:val="21"/>
              </w:rPr>
              <w:t xml:space="preserve">Version</w:t>
            </w:r>
          </w:p>
        </w:tc>
        <w:tc>
          <w:tcPr>
            <w:tcW w:type="dxa" w:w="1900"/>
            <w:shd w:fill="1B2A5B" w:val="clear"/>
            <w:tcMar>
              <w:top w:type="dxa" w:w="80"/>
              <w:left w:type="dxa" w:w="100"/>
              <w:bottom w:type="dxa" w:w="80"/>
              <w:right w:type="dxa" w:w="100"/>
            </w:tcMar>
            <w:vAlign w:val="center"/>
          </w:tcPr>
          <w:p>
            <w:pPr>
              <w:jc w:val="left"/>
            </w:pPr>
            <w:r>
              <w:rPr>
                <w:b/>
                <w:bCs/>
                <w:color w:val="FFFFFF"/>
                <w:sz w:val="21"/>
                <w:szCs w:val="21"/>
              </w:rPr>
              <w:t xml:space="preserve">Date</w:t>
            </w:r>
          </w:p>
        </w:tc>
        <w:tc>
          <w:tcPr>
            <w:tcW w:type="dxa" w:w="4400"/>
            <w:shd w:fill="1B2A5B" w:val="clear"/>
            <w:tcMar>
              <w:top w:type="dxa" w:w="80"/>
              <w:left w:type="dxa" w:w="100"/>
              <w:bottom w:type="dxa" w:w="80"/>
              <w:right w:type="dxa" w:w="100"/>
            </w:tcMar>
            <w:vAlign w:val="center"/>
          </w:tcPr>
          <w:p>
            <w:pPr>
              <w:jc w:val="left"/>
            </w:pPr>
            <w:r>
              <w:rPr>
                <w:b/>
                <w:bCs/>
                <w:color w:val="FFFFFF"/>
                <w:sz w:val="21"/>
                <w:szCs w:val="21"/>
              </w:rPr>
              <w:t xml:space="preserve">Summary of Change</w:t>
            </w:r>
          </w:p>
        </w:tc>
        <w:tc>
          <w:tcPr>
            <w:tcW w:type="dxa" w:w="1660"/>
            <w:shd w:fill="1B2A5B" w:val="clear"/>
            <w:tcMar>
              <w:top w:type="dxa" w:w="80"/>
              <w:left w:type="dxa" w:w="100"/>
              <w:bottom w:type="dxa" w:w="80"/>
              <w:right w:type="dxa" w:w="100"/>
            </w:tcMar>
            <w:vAlign w:val="center"/>
          </w:tcPr>
          <w:p>
            <w:pPr>
              <w:jc w:val="left"/>
            </w:pPr>
            <w:r>
              <w:rPr>
                <w:b/>
                <w:bCs/>
                <w:color w:val="FFFFFF"/>
                <w:sz w:val="21"/>
                <w:szCs w:val="21"/>
              </w:rPr>
              <w:t xml:space="preserve">Approved By</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1.0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15 June 2024</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Initial release for Academic Session 2024–2025</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10 June 2025</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updated fee/fine figures and contact details</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Academic Council</w:t>
            </w:r>
          </w:p>
        </w:tc>
      </w:tr>
      <w:tr>
        <w:tc>
          <w:tcPr>
            <w:tcW w:type="dxa" w:w="1400"/>
            <w:tcMar>
              <w:top w:type="dxa" w:w="80"/>
              <w:left w:type="dxa" w:w="100"/>
              <w:bottom w:type="dxa" w:w="80"/>
              <w:right w:type="dxa" w:w="100"/>
            </w:tcMar>
            <w:vAlign w:val="center"/>
          </w:tcPr>
          <w:p>
            <w:pPr>
              <w:jc w:val="left"/>
            </w:pPr>
            <w:r>
              <w:rPr>
                <w:b w:val="false"/>
                <w:bCs w:val="false"/>
                <w:color w:val="000000"/>
                <w:sz w:val="21"/>
                <w:szCs w:val="21"/>
              </w:rPr>
              <w:t xml:space="preserve">2.0</w:t>
            </w:r>
          </w:p>
        </w:tc>
        <w:tc>
          <w:tcPr>
            <w:tcW w:type="dxa" w:w="1900"/>
            <w:tcMar>
              <w:top w:type="dxa" w:w="80"/>
              <w:left w:type="dxa" w:w="100"/>
              <w:bottom w:type="dxa" w:w="80"/>
              <w:right w:type="dxa" w:w="100"/>
            </w:tcMar>
            <w:vAlign w:val="center"/>
          </w:tcPr>
          <w:p>
            <w:pPr>
              <w:jc w:val="left"/>
            </w:pPr>
            <w:r>
              <w:rPr>
                <w:b w:val="false"/>
                <w:bCs w:val="false"/>
                <w:color w:val="000000"/>
                <w:sz w:val="21"/>
                <w:szCs w:val="21"/>
              </w:rPr>
              <w:t xml:space="preserve">1 August 2026</w:t>
            </w:r>
          </w:p>
        </w:tc>
        <w:tc>
          <w:tcPr>
            <w:tcW w:type="dxa" w:w="4400"/>
            <w:tcMar>
              <w:top w:type="dxa" w:w="80"/>
              <w:left w:type="dxa" w:w="100"/>
              <w:bottom w:type="dxa" w:w="80"/>
              <w:right w:type="dxa" w:w="100"/>
            </w:tcMar>
            <w:vAlign w:val="center"/>
          </w:tcPr>
          <w:p>
            <w:pPr>
              <w:jc w:val="left"/>
            </w:pPr>
            <w:r>
              <w:rPr>
                <w:b w:val="false"/>
                <w:bCs w:val="false"/>
                <w:color w:val="000000"/>
                <w:sz w:val="21"/>
                <w:szCs w:val="21"/>
              </w:rPr>
              <w:t xml:space="preserve">Annual review for Academic Session 2026–2027; policy realigned with current ERP workflow</w:t>
            </w:r>
          </w:p>
        </w:tc>
        <w:tc>
          <w:tcPr>
            <w:tcW w:type="dxa" w:w="1660"/>
            <w:tcMar>
              <w:top w:type="dxa" w:w="80"/>
              <w:left w:type="dxa" w:w="100"/>
              <w:bottom w:type="dxa" w:w="80"/>
              <w:right w:type="dxa" w:w="100"/>
            </w:tcMar>
            <w:vAlign w:val="center"/>
          </w:tcPr>
          <w:p>
            <w:pPr>
              <w:jc w:val="left"/>
            </w:pPr>
            <w:r>
              <w:rPr>
                <w:b w:val="false"/>
                <w:bCs w:val="false"/>
                <w:color w:val="000000"/>
                <w:sz w:val="21"/>
                <w:szCs w:val="21"/>
              </w:rPr>
              <w:t xml:space="preserve">Office of the Registrar</w:t>
            </w:r>
          </w:p>
        </w:tc>
      </w:tr>
    </w:tbl>
    <w:p>
      <w:pPr>
        <w:spacing w:after="160"/>
      </w:pPr>
    </w:p>
    <w:p>
      <w:pPr>
        <w:pStyle w:val="Heading1"/>
        <w:spacing w:after="160" w:before="340"/>
      </w:pPr>
      <w:r>
        <w:rPr>
          <w:b/>
          <w:bCs/>
          <w:color w:val="1B2A5B"/>
        </w:rPr>
        <w:t xml:space="preserve">Related Documents</w:t>
      </w:r>
    </w:p>
    <w:p>
      <w:pPr>
        <w:spacing w:after="160" w:line="300"/>
      </w:pPr>
      <w:r>
        <w:rPr>
          <w:sz w:val="22"/>
          <w:szCs w:val="22"/>
        </w:rPr>
        <w:t xml:space="preserve">Readers of "Internship Policy 2026–27" should also refer to the following related official documents for a complete understanding of University policy:</w:t>
      </w:r>
    </w:p>
    <w:p>
      <w:pPr>
        <w:pStyle w:val="ListParagraph"/>
        <w:numPr>
          <w:ilvl w:val="0"/>
          <w:numId w:val="2"/>
        </w:numPr>
        <w:spacing w:after="100" w:line="300"/>
      </w:pPr>
      <w:r>
        <w:rPr>
          <w:sz w:val="22"/>
          <w:szCs w:val="22"/>
        </w:rPr>
        <w:t xml:space="preserve">University Attendance Policy (Academic Session 2026–2027)</w:t>
      </w:r>
    </w:p>
    <w:p>
      <w:pPr>
        <w:pStyle w:val="ListParagraph"/>
        <w:numPr>
          <w:ilvl w:val="0"/>
          <w:numId w:val="2"/>
        </w:numPr>
        <w:spacing w:after="100" w:line="300"/>
      </w:pPr>
      <w:r>
        <w:rPr>
          <w:sz w:val="22"/>
          <w:szCs w:val="22"/>
        </w:rPr>
        <w:t xml:space="preserve">Examination Rules &amp; Evaluation Policy (2026–2027)</w:t>
      </w:r>
    </w:p>
    <w:p>
      <w:pPr>
        <w:pStyle w:val="ListParagraph"/>
        <w:numPr>
          <w:ilvl w:val="0"/>
          <w:numId w:val="2"/>
        </w:numPr>
        <w:spacing w:after="100" w:line="300"/>
      </w:pPr>
      <w:r>
        <w:rPr>
          <w:sz w:val="22"/>
          <w:szCs w:val="22"/>
        </w:rPr>
        <w:t xml:space="preserve">Student Code of Conduct &amp; Discipline Policy</w:t>
      </w:r>
    </w:p>
    <w:p>
      <w:pPr>
        <w:pStyle w:val="ListParagraph"/>
        <w:numPr>
          <w:ilvl w:val="0"/>
          <w:numId w:val="2"/>
        </w:numPr>
        <w:spacing w:after="100" w:line="300"/>
      </w:pPr>
      <w:r>
        <w:rPr>
          <w:sz w:val="22"/>
          <w:szCs w:val="22"/>
        </w:rPr>
        <w:t xml:space="preserve">Hostel Rules &amp; Residential Handbook (2026–2027)</w:t>
      </w:r>
    </w:p>
    <w:p>
      <w:pPr>
        <w:pStyle w:val="ListParagraph"/>
        <w:numPr>
          <w:ilvl w:val="0"/>
          <w:numId w:val="2"/>
        </w:numPr>
        <w:spacing w:after="100" w:line="300"/>
      </w:pPr>
      <w:r>
        <w:rPr>
          <w:sz w:val="22"/>
          <w:szCs w:val="22"/>
        </w:rPr>
        <w:t xml:space="preserve">Campus IT Services &amp; Digital Identity Guide</w:t>
      </w:r>
    </w:p>
    <w:p>
      <w:pPr>
        <w:spacing w:after="160" w:line="300"/>
      </w:pPr>
      <w:r>
        <w:rPr>
          <w:sz w:val="22"/>
          <w:szCs w:val="22"/>
        </w:rPr>
        <w:t xml:space="preserve">Where any provision of this document conflicts with a related policy listed above, the more recently notified document shall prevail, unless otherwise specified by the Office of the Registrar.</w:t>
      </w:r>
    </w:p>
    <w:p>
      <w:pPr>
        <w:pStyle w:val="Heading1"/>
        <w:spacing w:after="160" w:before="340"/>
      </w:pPr>
      <w:r>
        <w:rPr>
          <w:b/>
          <w:bCs/>
          <w:color w:val="1B2A5B"/>
        </w:rPr>
        <w:t xml:space="preserve">1. Eligibility</w:t>
      </w:r>
    </w:p>
    <w:p>
      <w:pPr>
        <w:spacing w:after="160" w:line="300"/>
      </w:pPr>
      <w:r>
        <w:rPr>
          <w:sz w:val="22"/>
          <w:szCs w:val="22"/>
        </w:rPr>
        <w:t xml:space="preserve">Students in the pre-final and final year of their programme, with no active backlog exceeding 2 courses and a minimum CGPA of 6.0, are eligible to undertake a curriculum-linked internship or industrial training, as prescribed by their respective programme scheme.</w:t>
      </w:r>
    </w:p>
    <w:p>
      <w:pPr>
        <w:pStyle w:val="Heading1"/>
        <w:spacing w:after="160" w:before="340"/>
      </w:pPr>
      <w:r>
        <w:rPr>
          <w:b/>
          <w:bCs/>
          <w:color w:val="1B2A5B"/>
        </w:rPr>
        <w:t xml:space="preserve">2. Internship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Programme Type</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Minimum Duration</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UG (B.Tech / BBA / BCA etc.)</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6 weeks (Summer Internship)</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PG (MBA / M.Tech etc.)</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8 weeks (Summer Internship)</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Final Semester Internship (in lieu of coursework)</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16 weeks</w:t>
            </w:r>
          </w:p>
        </w:tc>
      </w:tr>
    </w:tbl>
    <w:p>
      <w:pPr>
        <w:spacing w:after="160"/>
      </w:pPr>
    </w:p>
    <w:p>
      <w:pPr>
        <w:pStyle w:val="Heading1"/>
        <w:spacing w:after="160" w:before="340"/>
      </w:pPr>
      <w:r>
        <w:rPr>
          <w:b/>
          <w:bCs/>
          <w:color w:val="1B2A5B"/>
        </w:rPr>
        <w:t xml:space="preserve">3. Approval Process</w:t>
      </w:r>
    </w:p>
    <w:p>
      <w:pPr>
        <w:pStyle w:val="ListParagraph"/>
        <w:numPr>
          <w:ilvl w:val="0"/>
          <w:numId w:val="3"/>
        </w:numPr>
        <w:spacing w:after="100" w:line="300"/>
      </w:pPr>
      <w:r>
        <w:rPr>
          <w:sz w:val="22"/>
          <w:szCs w:val="22"/>
        </w:rPr>
        <w:t xml:space="preserve">Student secures an internship offer independently or through the Training &amp; Placement Cell.</w:t>
      </w:r>
    </w:p>
    <w:p>
      <w:pPr>
        <w:pStyle w:val="ListParagraph"/>
        <w:numPr>
          <w:ilvl w:val="0"/>
          <w:numId w:val="3"/>
        </w:numPr>
        <w:spacing w:after="100" w:line="300"/>
      </w:pPr>
      <w:r>
        <w:rPr>
          <w:sz w:val="22"/>
          <w:szCs w:val="22"/>
        </w:rPr>
        <w:t xml:space="preserve">Offer letter is submitted to the Faculty Mentor and Training &amp; Placement Cell for scrutiny.</w:t>
      </w:r>
    </w:p>
    <w:p>
      <w:pPr>
        <w:pStyle w:val="ListParagraph"/>
        <w:numPr>
          <w:ilvl w:val="0"/>
          <w:numId w:val="3"/>
        </w:numPr>
        <w:spacing w:after="100" w:line="300"/>
      </w:pPr>
      <w:r>
        <w:rPr>
          <w:sz w:val="22"/>
          <w:szCs w:val="22"/>
        </w:rPr>
        <w:t xml:space="preserve">Department Internship Committee approves the internship for academic credit within 5 working days.</w:t>
      </w:r>
    </w:p>
    <w:p>
      <w:pPr>
        <w:pStyle w:val="ListParagraph"/>
        <w:numPr>
          <w:ilvl w:val="0"/>
          <w:numId w:val="3"/>
        </w:numPr>
        <w:spacing w:after="100" w:line="300"/>
      </w:pPr>
      <w:r>
        <w:rPr>
          <w:sz w:val="22"/>
          <w:szCs w:val="22"/>
        </w:rPr>
        <w:t xml:space="preserve">Student is registered on the Internship ERP Module and assigned a Faculty Mentor.</w:t>
      </w:r>
    </w:p>
    <w:p>
      <w:pPr>
        <w:pStyle w:val="Heading1"/>
        <w:spacing w:after="160" w:before="340"/>
      </w:pPr>
      <w:r>
        <w:rPr>
          <w:b/>
          <w:bCs/>
          <w:color w:val="1B2A5B"/>
        </w:rPr>
        <w:t xml:space="preserve">4. Industry Guidelines</w:t>
      </w:r>
    </w:p>
    <w:p>
      <w:pPr>
        <w:pStyle w:val="ListParagraph"/>
        <w:numPr>
          <w:ilvl w:val="0"/>
          <w:numId w:val="2"/>
        </w:numPr>
        <w:spacing w:after="100" w:line="300"/>
      </w:pPr>
      <w:r>
        <w:rPr>
          <w:sz w:val="22"/>
          <w:szCs w:val="22"/>
        </w:rPr>
        <w:t xml:space="preserve">The host organisation must be a registered legal entity (company, government body, or recognised NGO).</w:t>
      </w:r>
    </w:p>
    <w:p>
      <w:pPr>
        <w:pStyle w:val="ListParagraph"/>
        <w:numPr>
          <w:ilvl w:val="0"/>
          <w:numId w:val="2"/>
        </w:numPr>
        <w:spacing w:after="100" w:line="300"/>
      </w:pPr>
      <w:r>
        <w:rPr>
          <w:sz w:val="22"/>
          <w:szCs w:val="22"/>
        </w:rPr>
        <w:t xml:space="preserve">Internship must relate to the student's field of study, as certified by the Department Internship Committee.</w:t>
      </w:r>
    </w:p>
    <w:p>
      <w:pPr>
        <w:pStyle w:val="ListParagraph"/>
        <w:numPr>
          <w:ilvl w:val="0"/>
          <w:numId w:val="2"/>
        </w:numPr>
        <w:spacing w:after="100" w:line="300"/>
      </w:pPr>
      <w:r>
        <w:rPr>
          <w:sz w:val="22"/>
          <w:szCs w:val="22"/>
        </w:rPr>
        <w:t xml:space="preserve">The University reserves the right to reject internships offered by unregistered or blacklisted entities.</w:t>
      </w:r>
    </w:p>
    <w:p>
      <w:pPr>
        <w:pStyle w:val="Heading1"/>
        <w:spacing w:after="160" w:before="340"/>
      </w:pPr>
      <w:r>
        <w:rPr>
          <w:b/>
          <w:bCs/>
          <w:color w:val="1B2A5B"/>
        </w:rPr>
        <w:t xml:space="preserve">5. Attendance During Internship</w:t>
      </w:r>
    </w:p>
    <w:p>
      <w:pPr>
        <w:spacing w:after="160" w:line="300"/>
      </w:pPr>
      <w:r>
        <w:rPr>
          <w:sz w:val="22"/>
          <w:szCs w:val="22"/>
        </w:rPr>
        <w:t xml:space="preserve">Minimum 90% attendance at the host organisation, verified through the weekly log and a certificate from the Industry Supervisor, is required for internship credit. Refer to the University Attendance Policy, Section 8, for further detail.</w:t>
      </w:r>
    </w:p>
    <w:p>
      <w:pPr>
        <w:pStyle w:val="Heading1"/>
        <w:spacing w:after="160" w:before="340"/>
      </w:pPr>
      <w:r>
        <w:rPr>
          <w:b/>
          <w:bCs/>
          <w:color w:val="1B2A5B"/>
        </w:rPr>
        <w:t xml:space="preserve">6. Mentor Responsibilities</w:t>
      </w:r>
    </w:p>
    <w:p>
      <w:pPr>
        <w:pStyle w:val="ListParagraph"/>
        <w:numPr>
          <w:ilvl w:val="0"/>
          <w:numId w:val="2"/>
        </w:numPr>
        <w:spacing w:after="100" w:line="300"/>
      </w:pPr>
      <w:r>
        <w:rPr>
          <w:sz w:val="22"/>
          <w:szCs w:val="22"/>
        </w:rPr>
        <w:t xml:space="preserve">Review and approve weekly progress reports submitted by the student.</w:t>
      </w:r>
    </w:p>
    <w:p>
      <w:pPr>
        <w:pStyle w:val="ListParagraph"/>
        <w:numPr>
          <w:ilvl w:val="0"/>
          <w:numId w:val="2"/>
        </w:numPr>
        <w:spacing w:after="100" w:line="300"/>
      </w:pPr>
      <w:r>
        <w:rPr>
          <w:sz w:val="22"/>
          <w:szCs w:val="22"/>
        </w:rPr>
        <w:t xml:space="preserve">Conduct at least one mid-term evaluation call/visit with the Industry Supervisor.</w:t>
      </w:r>
    </w:p>
    <w:p>
      <w:pPr>
        <w:pStyle w:val="ListParagraph"/>
        <w:numPr>
          <w:ilvl w:val="0"/>
          <w:numId w:val="2"/>
        </w:numPr>
        <w:spacing w:after="100" w:line="300"/>
      </w:pPr>
      <w:r>
        <w:rPr>
          <w:sz w:val="22"/>
          <w:szCs w:val="22"/>
        </w:rPr>
        <w:t xml:space="preserve">Assess the final internship report and viva-voce, and submit grades to the COE.</w:t>
      </w:r>
    </w:p>
    <w:p>
      <w:pPr>
        <w:pStyle w:val="Heading1"/>
        <w:spacing w:after="160" w:before="340"/>
      </w:pPr>
      <w:r>
        <w:rPr>
          <w:b/>
          <w:bCs/>
          <w:color w:val="1B2A5B"/>
        </w:rPr>
        <w:t xml:space="preserve">7. Student Responsibilities</w:t>
      </w:r>
    </w:p>
    <w:p>
      <w:pPr>
        <w:pStyle w:val="ListParagraph"/>
        <w:numPr>
          <w:ilvl w:val="0"/>
          <w:numId w:val="2"/>
        </w:numPr>
        <w:spacing w:after="100" w:line="300"/>
      </w:pPr>
      <w:r>
        <w:rPr>
          <w:sz w:val="22"/>
          <w:szCs w:val="22"/>
        </w:rPr>
        <w:t xml:space="preserve">Adhere to the host organisation's code of conduct, working hours, and confidentiality requirements.</w:t>
      </w:r>
    </w:p>
    <w:p>
      <w:pPr>
        <w:pStyle w:val="ListParagraph"/>
        <w:numPr>
          <w:ilvl w:val="0"/>
          <w:numId w:val="2"/>
        </w:numPr>
        <w:spacing w:after="100" w:line="300"/>
      </w:pPr>
      <w:r>
        <w:rPr>
          <w:sz w:val="22"/>
          <w:szCs w:val="22"/>
        </w:rPr>
        <w:t xml:space="preserve">Submit weekly reports through the ERP Internship Module by 11:59 PM every Sunday.</w:t>
      </w:r>
    </w:p>
    <w:p>
      <w:pPr>
        <w:pStyle w:val="ListParagraph"/>
        <w:numPr>
          <w:ilvl w:val="0"/>
          <w:numId w:val="2"/>
        </w:numPr>
        <w:spacing w:after="100" w:line="300"/>
      </w:pPr>
      <w:r>
        <w:rPr>
          <w:sz w:val="22"/>
          <w:szCs w:val="22"/>
        </w:rPr>
        <w:t xml:space="preserve">Inform the Faculty Mentor immediately in case of any change in internship status or location.</w:t>
      </w:r>
    </w:p>
    <w:p>
      <w:pPr>
        <w:pStyle w:val="Heading1"/>
        <w:spacing w:after="160" w:before="340"/>
      </w:pPr>
      <w:r>
        <w:rPr>
          <w:b/>
          <w:bCs/>
          <w:color w:val="1B2A5B"/>
        </w:rPr>
        <w:t xml:space="preserve">8. Weekly Report Submission</w:t>
      </w:r>
    </w:p>
    <w:p>
      <w:pPr>
        <w:spacing w:after="160" w:line="300"/>
      </w:pPr>
      <w:r>
        <w:rPr>
          <w:sz w:val="22"/>
          <w:szCs w:val="22"/>
        </w:rPr>
        <w:t xml:space="preserve">Each weekly report must include tasks completed, learnings, and hours logged, and must be digitally signed off by the Industry Supervisor. Non-submission of 2 consecutive weekly reports without valid reason may result in withdrawal of internship credit.</w:t>
      </w:r>
    </w:p>
    <w:p>
      <w:pPr>
        <w:pStyle w:val="Heading1"/>
        <w:spacing w:after="160" w:before="340"/>
      </w:pPr>
      <w:r>
        <w:rPr>
          <w:b/>
          <w:bCs/>
          <w:color w:val="1B2A5B"/>
        </w:rPr>
        <w:t xml:space="preserve">9.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Component</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Weightage</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Industry Supervisor Evaluation</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40%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Weekly Reports &amp; Logbook</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Final Internship Report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Viva-Voce (Faculty Mentor Panel)</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20%</w:t>
            </w:r>
          </w:p>
        </w:tc>
      </w:tr>
    </w:tbl>
    <w:p>
      <w:pPr>
        <w:spacing w:after="160"/>
      </w:pPr>
    </w:p>
    <w:p>
      <w:pPr>
        <w:pStyle w:val="Heading1"/>
        <w:spacing w:after="160" w:before="340"/>
      </w:pPr>
      <w:r>
        <w:rPr>
          <w:b/>
          <w:bCs/>
          <w:color w:val="1B2A5B"/>
        </w:rPr>
        <w:t xml:space="preserve">10. Internship Completion Certificate</w:t>
      </w:r>
    </w:p>
    <w:p>
      <w:pPr>
        <w:spacing w:after="160" w:line="300"/>
      </w:pPr>
      <w:r>
        <w:rPr>
          <w:sz w:val="22"/>
          <w:szCs w:val="22"/>
        </w:rPr>
        <w:t xml:space="preserve">Upon successful completion, the host organisation issues a Completion Certificate, which the student uploads on the ERP portal along with the final report. The University additionally issues an Internship Credit Certificate once grades are finalised by the COE.</w:t>
      </w:r>
    </w:p>
    <w:p>
      <w:pPr>
        <w:pStyle w:val="Heading1"/>
        <w:spacing w:after="160" w:before="340"/>
      </w:pPr>
      <w:r>
        <w:rPr>
          <w:b/>
          <w:bCs/>
          <w:color w:val="1B2A5B"/>
        </w:rPr>
        <w:t xml:space="preserve">11. Stipend Guidelines</w:t>
      </w:r>
    </w:p>
    <w:p>
      <w:pPr>
        <w:spacing w:after="160" w:line="300"/>
      </w:pPr>
      <w:r>
        <w:rPr>
          <w:sz w:val="22"/>
          <w:szCs w:val="22"/>
        </w:rPr>
        <w:t xml:space="preserve">Stipend, where offered, is at the sole discretion of the host organisation and does not affect academic evaluation. The Training &amp; Placement Cell encourages, but does not mandate, a minimum stipend benchmark of ₹10,000/month for internships facilitated through campus placement drives.</w:t>
      </w:r>
    </w:p>
    <w:p>
      <w:pPr>
        <w:pStyle w:val="Heading1"/>
        <w:spacing w:after="160" w:before="340"/>
      </w:pPr>
      <w:r>
        <w:rPr>
          <w:b/>
          <w:bCs/>
          <w:color w:val="1B2A5B"/>
        </w:rPr>
        <w:t xml:space="preserve">12. International Internship Guidelines</w:t>
      </w:r>
    </w:p>
    <w:p>
      <w:pPr>
        <w:spacing w:after="160" w:line="300"/>
      </w:pPr>
      <w:r>
        <w:rPr>
          <w:sz w:val="22"/>
          <w:szCs w:val="22"/>
        </w:rPr>
        <w:t xml:space="preserve">Students undertaking an internship outside India must obtain prior written approval from the Department Internship Committee and the International Relations Office at least 6 weeks before departure. Approval is contingent on submission of a valid visa, travel insurance covering the internship duration, and an emergency contact plan.</w:t>
      </w:r>
    </w:p>
    <w:p>
      <w:pPr>
        <w:pStyle w:val="ListParagraph"/>
        <w:numPr>
          <w:ilvl w:val="0"/>
          <w:numId w:val="2"/>
        </w:numPr>
        <w:spacing w:after="100" w:line="300"/>
      </w:pPr>
      <w:r>
        <w:rPr>
          <w:sz w:val="22"/>
          <w:szCs w:val="22"/>
        </w:rPr>
        <w:t xml:space="preserve">The host organisation must provide a formal offer letter on official letterhead, translated into English where applicable.</w:t>
      </w:r>
    </w:p>
    <w:p>
      <w:pPr>
        <w:pStyle w:val="ListParagraph"/>
        <w:numPr>
          <w:ilvl w:val="0"/>
          <w:numId w:val="2"/>
        </w:numPr>
        <w:spacing w:after="100" w:line="300"/>
      </w:pPr>
      <w:r>
        <w:rPr>
          <w:sz w:val="22"/>
          <w:szCs w:val="22"/>
        </w:rPr>
        <w:t xml:space="preserve">Students must register with the nearest Indian Embassy/Consulate on arrival, where feasible.</w:t>
      </w:r>
    </w:p>
    <w:p>
      <w:pPr>
        <w:pStyle w:val="ListParagraph"/>
        <w:numPr>
          <w:ilvl w:val="0"/>
          <w:numId w:val="2"/>
        </w:numPr>
        <w:spacing w:after="100" w:line="300"/>
      </w:pPr>
      <w:r>
        <w:rPr>
          <w:sz w:val="22"/>
          <w:szCs w:val="22"/>
        </w:rPr>
        <w:t xml:space="preserve">The Faculty Mentor conducts evaluation calls via video conferencing in place of in-person visits.</w:t>
      </w:r>
    </w:p>
    <w:p>
      <w:pPr>
        <w:pStyle w:val="Heading1"/>
        <w:spacing w:after="160" w:before="340"/>
      </w:pPr>
      <w:r>
        <w:rPr>
          <w:b/>
          <w:bCs/>
          <w:color w:val="1B2A5B"/>
        </w:rPr>
        <w:t xml:space="preserve">13. Documents Required for Internship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Document</w:t>
            </w:r>
          </w:p>
        </w:tc>
        <w:tc>
          <w:tcPr>
            <w:tcW w:type="dxa" w:w="4680"/>
            <w:shd w:fill="1B2A5B" w:val="clear"/>
            <w:tcMar>
              <w:top w:type="dxa" w:w="80"/>
              <w:left w:type="dxa" w:w="100"/>
              <w:bottom w:type="dxa" w:w="80"/>
              <w:right w:type="dxa" w:w="100"/>
            </w:tcMar>
            <w:vAlign w:val="center"/>
          </w:tcPr>
          <w:p>
            <w:pPr>
              <w:jc w:val="left"/>
            </w:pPr>
            <w:r>
              <w:rPr>
                <w:b/>
                <w:bCs/>
                <w:color w:val="FFFFFF"/>
                <w:sz w:val="21"/>
                <w:szCs w:val="21"/>
              </w:rPr>
              <w:t xml:space="preserve">Submitted By</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Signed Offer Letter</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Student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Internship Registration Form</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Student, countersigned by Faculty Mentor</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Insurance Proof (if applicable)</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Student</w:t>
            </w:r>
          </w:p>
        </w:tc>
      </w:tr>
      <w:tr>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Weekly Log Template Acknowledgement</w:t>
            </w:r>
          </w:p>
        </w:tc>
        <w:tc>
          <w:tcPr>
            <w:tcW w:type="dxa" w:w="4680"/>
            <w:tcMar>
              <w:top w:type="dxa" w:w="80"/>
              <w:left w:type="dxa" w:w="100"/>
              <w:bottom w:type="dxa" w:w="80"/>
              <w:right w:type="dxa" w:w="100"/>
            </w:tcMar>
            <w:vAlign w:val="center"/>
          </w:tcPr>
          <w:p>
            <w:pPr>
              <w:jc w:val="left"/>
            </w:pPr>
            <w:r>
              <w:rPr>
                <w:b w:val="false"/>
                <w:bCs w:val="false"/>
                <w:color w:val="000000"/>
                <w:sz w:val="21"/>
                <w:szCs w:val="21"/>
              </w:rPr>
              <w:t xml:space="preserve">Student</w:t>
            </w:r>
          </w:p>
        </w:tc>
      </w:tr>
    </w:tbl>
    <w:p>
      <w:pPr>
        <w:spacing w:after="160"/>
      </w:pPr>
    </w:p>
    <w:p>
      <w:pPr>
        <w:pStyle w:val="Heading1"/>
        <w:spacing w:after="160" w:before="340"/>
      </w:pPr>
      <w:r>
        <w:rPr>
          <w:b/>
          <w:bCs/>
          <w:color w:val="1B2A5B"/>
        </w:rPr>
        <w:t xml:space="preserve">14. Frequently Asked Questions</w:t>
      </w:r>
    </w:p>
    <w:p>
      <w:pPr>
        <w:spacing w:after="60" w:before="180"/>
      </w:pPr>
      <w:r>
        <w:rPr>
          <w:b/>
          <w:bCs/>
          <w:sz w:val="22"/>
          <w:szCs w:val="22"/>
        </w:rPr>
        <w:t xml:space="preserve">Q1. Can I do an internship abroad?</w:t>
      </w:r>
    </w:p>
    <w:p>
      <w:pPr>
        <w:spacing w:after="100" w:line="300"/>
      </w:pPr>
      <w:r>
        <w:rPr>
          <w:sz w:val="22"/>
          <w:szCs w:val="22"/>
        </w:rPr>
        <w:t xml:space="preserve">A: Yes, subject to prior approval from the Department Internship Committee and compliance with the University's International Internship guidelines and visa/insurance requirements.</w:t>
      </w:r>
    </w:p>
    <w:p>
      <w:pPr>
        <w:spacing w:after="60" w:before="180"/>
      </w:pPr>
      <w:r>
        <w:rPr>
          <w:b/>
          <w:bCs/>
          <w:sz w:val="22"/>
          <w:szCs w:val="22"/>
        </w:rPr>
        <w:t xml:space="preserve">Q2. What if my internship gets terminated midway?</w:t>
      </w:r>
    </w:p>
    <w:p>
      <w:pPr>
        <w:spacing w:after="100" w:line="300"/>
      </w:pPr>
      <w:r>
        <w:rPr>
          <w:sz w:val="22"/>
          <w:szCs w:val="22"/>
        </w:rPr>
        <w:t xml:space="preserve">A: Immediately inform your Faculty Mentor; the Department Internship Committee will assess partial credit or arrange an alternate placement, where feasible.</w:t>
      </w:r>
    </w:p>
    <w:p>
      <w:pPr>
        <w:spacing w:after="60" w:before="180"/>
      </w:pPr>
      <w:r>
        <w:rPr>
          <w:b/>
          <w:bCs/>
          <w:sz w:val="22"/>
          <w:szCs w:val="22"/>
        </w:rPr>
        <w:t xml:space="preserve">Q3. Can I convert my internship into a Pre-Placement Offer (PPO)?</w:t>
      </w:r>
    </w:p>
    <w:p>
      <w:pPr>
        <w:spacing w:after="100" w:line="300"/>
      </w:pPr>
      <w:r>
        <w:rPr>
          <w:sz w:val="22"/>
          <w:szCs w:val="22"/>
        </w:rPr>
        <w:t xml:space="preserve">A: Yes, refer to the Internship to PPO Guidelines in the Training &amp; Placement Cell Handbook.</w:t>
      </w:r>
    </w:p>
    <w:p>
      <w:pPr>
        <w:spacing w:after="60" w:before="180"/>
      </w:pPr>
      <w:r>
        <w:rPr>
          <w:b/>
          <w:bCs/>
          <w:sz w:val="22"/>
          <w:szCs w:val="22"/>
        </w:rPr>
        <w:t xml:space="preserve">Q4. Is a stipend mandatory for the internship to be approved?</w:t>
      </w:r>
    </w:p>
    <w:p>
      <w:pPr>
        <w:spacing w:after="100" w:line="300"/>
      </w:pPr>
      <w:r>
        <w:rPr>
          <w:sz w:val="22"/>
          <w:szCs w:val="22"/>
        </w:rPr>
        <w:t xml:space="preserve">A: No, an unpaid internship can still be approved for academic credit provided it meets the eligibility and evaluation requirements of this policy.</w:t>
      </w:r>
    </w:p>
    <w:p>
      <w:pPr>
        <w:pStyle w:val="Heading1"/>
        <w:spacing w:after="160" w:before="340"/>
      </w:pPr>
      <w:r>
        <w:rPr>
          <w:b/>
          <w:bCs/>
          <w:color w:val="1B2A5B"/>
        </w:rPr>
        <w:t xml:space="preserve">15.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Office</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Contact Person</w:t>
            </w:r>
          </w:p>
        </w:tc>
        <w:tc>
          <w:tcPr>
            <w:tcW w:type="dxa" w:w="3120"/>
            <w:shd w:fill="1B2A5B" w:val="clear"/>
            <w:tcMar>
              <w:top w:type="dxa" w:w="80"/>
              <w:left w:type="dxa" w:w="100"/>
              <w:bottom w:type="dxa" w:w="80"/>
              <w:right w:type="dxa" w:w="100"/>
            </w:tcMar>
            <w:vAlign w:val="center"/>
          </w:tcPr>
          <w:p>
            <w:pPr>
              <w:jc w:val="left"/>
            </w:pPr>
            <w:r>
              <w:rPr>
                <w:b/>
                <w:bCs/>
                <w:color w:val="FFFFFF"/>
                <w:sz w:val="21"/>
                <w:szCs w:val="21"/>
              </w:rPr>
              <w:t xml:space="preserve">Email</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Training &amp; Placement Cell</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Mr. Vivek Anand, Director TPC</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tpc@krmangalam.edu.in</w:t>
            </w:r>
          </w:p>
        </w:tc>
      </w:tr>
      <w:tr>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Department Internship Committee (Engineering)</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Dr. Kavita Rana</w:t>
            </w:r>
          </w:p>
        </w:tc>
        <w:tc>
          <w:tcPr>
            <w:tcW w:type="dxa" w:w="3120"/>
            <w:tcMar>
              <w:top w:type="dxa" w:w="80"/>
              <w:left w:type="dxa" w:w="100"/>
              <w:bottom w:type="dxa" w:w="80"/>
              <w:right w:type="dxa" w:w="100"/>
            </w:tcMar>
            <w:vAlign w:val="center"/>
          </w:tcPr>
          <w:p>
            <w:pPr>
              <w:jc w:val="left"/>
            </w:pPr>
            <w:r>
              <w:rPr>
                <w:b w:val="false"/>
                <w:bCs w:val="false"/>
                <w:color w:val="000000"/>
                <w:sz w:val="21"/>
                <w:szCs w:val="21"/>
              </w:rPr>
              <w:t xml:space="preserve">internship.set@krmangalam.edu.in</w:t>
            </w:r>
          </w:p>
        </w:tc>
      </w:tr>
    </w:tbl>
    <w:p>
      <w:pPr>
        <w:spacing w:after="16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B" w:sz="4"/>
      </w:pBdr>
      <w:spacing w:before="60"/>
      <w:jc w:val="center"/>
    </w:pPr>
    <w:r>
      <w:rPr>
        <w:color w:val="666666"/>
        <w:sz w:val="16"/>
        <w:szCs w:val="16"/>
      </w:rPr>
      <w:t xml:space="preserve">Office of the Registrar | K.R. Mangalam University | Confidential – For Internal &amp; Student Use  </w:t>
    </w: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5B" w:sz="4"/>
      </w:pBdr>
      <w:tabs>
        <w:tab w:val="right" w:pos="9360"/>
      </w:tabs>
      <w:spacing w:after="60"/>
    </w:pPr>
    <w:r>
      <w:rPr>
        <w:b/>
        <w:bCs/>
        <w:color w:val="1B2A5B"/>
        <w:sz w:val="18"/>
        <w:szCs w:val="18"/>
      </w:rPr>
      <w:t xml:space="preserve">K.R. Mangalam University</w:t>
    </w:r>
    <w:r>
      <w:rPr>
        <w:color w:val="666666"/>
        <w:sz w:val="18"/>
        <w:szCs w:val="18"/>
      </w:rPr>
      <w:t xml:space="preserve">	Internship Policy 2026–27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2026-08-08T07:12:41.678Z</dcterms:created>
  <dcterms:modified xsi:type="dcterms:W3CDTF">2026-08-08T07:12:41.678Z</dcterms:modified>
</cp:coreProperties>
</file>

<file path=docProps/custom.xml><?xml version="1.0" encoding="utf-8"?>
<Properties xmlns="http://schemas.openxmlformats.org/officeDocument/2006/custom-properties" xmlns:vt="http://schemas.openxmlformats.org/officeDocument/2006/docPropsVTypes"/>
</file>