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Training &amp; Placement Cell Handbook</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KRMU/TPC/HBK/2026-27/022</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3.0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"Training &amp; Placement Cell Handbook," is maintained by the concerned administrative office of K.R. Mangalam University and is subject to periodic review. The table below records the revision history of this document under notice number KRMU/TPC/HBK/2026-27/022.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3.0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"Placement Handbook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Placement Process</w:t>
      </w:r>
    </w:p>
    <w:p>
      <w:pPr>
        <w:pStyle w:val="ListParagraph"/>
        <w:numPr>
          <w:ilvl w:val="0"/>
          <w:numId w:val="3"/>
        </w:numPr>
        <w:spacing w:after="100" w:line="300"/>
      </w:pPr>
      <w:r>
        <w:rPr>
          <w:sz w:val="22"/>
          <w:szCs w:val="22"/>
        </w:rPr>
        <w:t xml:space="preserve">Companies are invited and their Job Description (JD) is circulated to eligible students via ERP.</w:t>
      </w:r>
    </w:p>
    <w:p>
      <w:pPr>
        <w:pStyle w:val="ListParagraph"/>
        <w:numPr>
          <w:ilvl w:val="0"/>
          <w:numId w:val="3"/>
        </w:numPr>
        <w:spacing w:after="100" w:line="300"/>
      </w:pPr>
      <w:r>
        <w:rPr>
          <w:sz w:val="22"/>
          <w:szCs w:val="22"/>
        </w:rPr>
        <w:t xml:space="preserve">Students register for the drive within the notified deadline.</w:t>
      </w:r>
    </w:p>
    <w:p>
      <w:pPr>
        <w:pStyle w:val="ListParagraph"/>
        <w:numPr>
          <w:ilvl w:val="0"/>
          <w:numId w:val="3"/>
        </w:numPr>
        <w:spacing w:after="100" w:line="300"/>
      </w:pPr>
      <w:r>
        <w:rPr>
          <w:sz w:val="22"/>
          <w:szCs w:val="22"/>
        </w:rPr>
        <w:t xml:space="preserve">Pre-placement talk, followed by aptitude test / group discussion, as specified by the company.</w:t>
      </w:r>
    </w:p>
    <w:p>
      <w:pPr>
        <w:pStyle w:val="ListParagraph"/>
        <w:numPr>
          <w:ilvl w:val="0"/>
          <w:numId w:val="3"/>
        </w:numPr>
        <w:spacing w:after="100" w:line="300"/>
      </w:pPr>
      <w:r>
        <w:rPr>
          <w:sz w:val="22"/>
          <w:szCs w:val="22"/>
        </w:rPr>
        <w:t xml:space="preserve">Technical and HR interview rounds.</w:t>
      </w:r>
    </w:p>
    <w:p>
      <w:pPr>
        <w:pStyle w:val="ListParagraph"/>
        <w:numPr>
          <w:ilvl w:val="0"/>
          <w:numId w:val="3"/>
        </w:numPr>
        <w:spacing w:after="100" w:line="300"/>
      </w:pPr>
      <w:r>
        <w:rPr>
          <w:sz w:val="22"/>
          <w:szCs w:val="22"/>
        </w:rPr>
        <w:t xml:space="preserve">Final offer letters released through the TPC to shortlisted candidates.</w:t>
      </w:r>
    </w:p>
    <w:p>
      <w:pPr>
        <w:pStyle w:val="Heading1"/>
        <w:spacing w:after="160" w:before="340"/>
      </w:pPr>
      <w:r>
        <w:rPr>
          <w:b/>
          <w:bCs/>
          <w:color w:val="1B2A5B"/>
        </w:rPr>
        <w:t xml:space="preserve">2.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Criterion</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Requirement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Minimum CGPA</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6.0 (some companies may set higher thresholds)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Active Backlogs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Not more than 1 at the time of the drive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Attendance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Minimum 75% as per University Attendance Policy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Disciplinary Record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No pending disciplinary action</w:t>
            </w:r>
          </w:p>
        </w:tc>
      </w:tr>
    </w:tbl>
    <w:p>
      <w:pPr>
        <w:spacing w:after="160"/>
      </w:pPr>
    </w:p>
    <w:p>
      <w:pPr>
        <w:pStyle w:val="Heading1"/>
        <w:spacing w:after="160" w:before="340"/>
      </w:pPr>
      <w:r>
        <w:rPr>
          <w:b/>
          <w:bCs/>
          <w:color w:val="1B2A5B"/>
        </w:rPr>
        <w:t xml:space="preserve">3. Registration Procedure</w:t>
      </w:r>
    </w:p>
    <w:p>
      <w:pPr>
        <w:spacing w:after="160" w:line="300"/>
      </w:pPr>
      <w:r>
        <w:rPr>
          <w:sz w:val="22"/>
          <w:szCs w:val="22"/>
        </w:rPr>
        <w:t xml:space="preserve">Students must complete their profile on the TPC ERP Portal, including updated resume, academic records, and skill certifications, before the start of each placement season. Registration for individual company drives closes 48 hours before the scheduled date.</w:t>
      </w:r>
    </w:p>
    <w:p>
      <w:pPr>
        <w:pStyle w:val="Heading1"/>
        <w:spacing w:after="160" w:before="340"/>
      </w:pPr>
      <w:r>
        <w:rPr>
          <w:b/>
          <w:bCs/>
          <w:color w:val="1B2A5B"/>
        </w:rPr>
        <w:t xml:space="preserve">4. Resume Guidelines</w:t>
      </w:r>
    </w:p>
    <w:p>
      <w:pPr>
        <w:pStyle w:val="ListParagraph"/>
        <w:numPr>
          <w:ilvl w:val="0"/>
          <w:numId w:val="2"/>
        </w:numPr>
        <w:spacing w:after="100" w:line="300"/>
      </w:pPr>
      <w:r>
        <w:rPr>
          <w:sz w:val="22"/>
          <w:szCs w:val="22"/>
        </w:rPr>
        <w:t xml:space="preserve">Maximum 2 pages, using the University-approved resume template available on the TPC portal.</w:t>
      </w:r>
    </w:p>
    <w:p>
      <w:pPr>
        <w:pStyle w:val="ListParagraph"/>
        <w:numPr>
          <w:ilvl w:val="0"/>
          <w:numId w:val="2"/>
        </w:numPr>
        <w:spacing w:after="100" w:line="300"/>
      </w:pPr>
      <w:r>
        <w:rPr>
          <w:sz w:val="22"/>
          <w:szCs w:val="22"/>
        </w:rPr>
        <w:t xml:space="preserve">Must be verified and digitally approved by the Faculty Placement Coordinator before upload.</w:t>
      </w:r>
    </w:p>
    <w:p>
      <w:pPr>
        <w:pStyle w:val="ListParagraph"/>
        <w:numPr>
          <w:ilvl w:val="0"/>
          <w:numId w:val="2"/>
        </w:numPr>
        <w:spacing w:after="100" w:line="300"/>
      </w:pPr>
      <w:r>
        <w:rPr>
          <w:sz w:val="22"/>
          <w:szCs w:val="22"/>
        </w:rPr>
        <w:t xml:space="preserve">Any misrepresentation of academic or project details is treated as a disciplinary offence.</w:t>
      </w:r>
    </w:p>
    <w:p>
      <w:pPr>
        <w:pStyle w:val="Heading1"/>
        <w:spacing w:after="160" w:before="340"/>
      </w:pPr>
      <w:r>
        <w:rPr>
          <w:b/>
          <w:bCs/>
          <w:color w:val="1B2A5B"/>
        </w:rPr>
        <w:t xml:space="preserve">5. Dress Code</w:t>
      </w:r>
    </w:p>
    <w:p>
      <w:pPr>
        <w:spacing w:after="160" w:line="300"/>
      </w:pPr>
      <w:r>
        <w:rPr>
          <w:sz w:val="22"/>
          <w:szCs w:val="22"/>
        </w:rPr>
        <w:t xml:space="preserve">Formal business attire is mandatory for all placement activities, including pre-placement talks, tests, and interviews (on-campus or virtual). Students not adhering to the dress code may be denied entry to the interview process.</w:t>
      </w:r>
    </w:p>
    <w:p>
      <w:pPr>
        <w:pStyle w:val="Heading1"/>
        <w:spacing w:after="160" w:before="340"/>
      </w:pPr>
      <w:r>
        <w:rPr>
          <w:b/>
          <w:bCs/>
          <w:color w:val="1B2A5B"/>
        </w:rPr>
        <w:t xml:space="preserve">6. Placement Rules</w:t>
      </w:r>
    </w:p>
    <w:p>
      <w:pPr>
        <w:pStyle w:val="ListParagraph"/>
        <w:numPr>
          <w:ilvl w:val="0"/>
          <w:numId w:val="2"/>
        </w:numPr>
        <w:spacing w:after="100" w:line="300"/>
      </w:pPr>
      <w:r>
        <w:rPr>
          <w:sz w:val="22"/>
          <w:szCs w:val="22"/>
        </w:rPr>
        <w:t xml:space="preserve">A student who accepts an offer (via written or ERP confirmation) is not permitted to sit for further drives in the same placement category (dream/super-dream/core), unless upgrading tier permits, per the Multiple Offer Policy.</w:t>
      </w:r>
    </w:p>
    <w:p>
      <w:pPr>
        <w:pStyle w:val="ListParagraph"/>
        <w:numPr>
          <w:ilvl w:val="0"/>
          <w:numId w:val="2"/>
        </w:numPr>
        <w:spacing w:after="100" w:line="300"/>
      </w:pPr>
      <w:r>
        <w:rPr>
          <w:sz w:val="22"/>
          <w:szCs w:val="22"/>
        </w:rPr>
        <w:t xml:space="preserve">No-shows for a confirmed interview slot without prior intimation result in debarment from the next 2 drives.</w:t>
      </w:r>
    </w:p>
    <w:p>
      <w:pPr>
        <w:pStyle w:val="ListParagraph"/>
        <w:numPr>
          <w:ilvl w:val="0"/>
          <w:numId w:val="2"/>
        </w:numPr>
        <w:spacing w:after="100" w:line="300"/>
      </w:pPr>
      <w:r>
        <w:rPr>
          <w:sz w:val="22"/>
          <w:szCs w:val="22"/>
        </w:rPr>
        <w:t xml:space="preserve">Backing out after formally accepting an offer may result in debarment from all further placement activity for that academic session.</w:t>
      </w:r>
    </w:p>
    <w:p>
      <w:pPr>
        <w:pStyle w:val="Heading1"/>
        <w:spacing w:after="160" w:before="340"/>
      </w:pPr>
      <w:r>
        <w:rPr>
          <w:b/>
          <w:bCs/>
          <w:color w:val="1B2A5B"/>
        </w:rPr>
        <w:t xml:space="preserve">7. Offer Acceptance Policy</w:t>
      </w:r>
    </w:p>
    <w:p>
      <w:pPr>
        <w:spacing w:after="160" w:line="300"/>
      </w:pPr>
      <w:r>
        <w:rPr>
          <w:sz w:val="22"/>
          <w:szCs w:val="22"/>
        </w:rPr>
        <w:t xml:space="preserve">Students must respond to a job offer within the timeline specified by the recruiting company, generally 48–72 hours, communicated through the TPC ERP Portal. Non-response within the deadline is treated as a decline.</w:t>
      </w:r>
    </w:p>
    <w:p>
      <w:pPr>
        <w:pStyle w:val="Heading1"/>
        <w:spacing w:after="160" w:before="340"/>
      </w:pPr>
      <w:r>
        <w:rPr>
          <w:b/>
          <w:bCs/>
          <w:color w:val="1B2A5B"/>
        </w:rPr>
        <w:t xml:space="preserve">8. Multiple Offer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Tier</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CTC Range (Indicative)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Movement Allowed</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Dream</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₹12 LPA and above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May sit for other Dream companies only</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Super-Dream</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₹7–12 LPA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May sit for Dream companies only</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Standard</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Up to ₹7 LPA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May sit for Super-Dream and Dream companies</w:t>
            </w:r>
          </w:p>
        </w:tc>
      </w:tr>
    </w:tbl>
    <w:p>
      <w:pPr>
        <w:spacing w:after="160"/>
      </w:pPr>
    </w:p>
    <w:p>
      <w:pPr>
        <w:pStyle w:val="Heading1"/>
        <w:spacing w:after="160" w:before="340"/>
      </w:pPr>
      <w:r>
        <w:rPr>
          <w:b/>
          <w:bCs/>
          <w:color w:val="1B2A5B"/>
        </w:rPr>
        <w:t xml:space="preserve">9. Internship to PPO Guidelines</w:t>
      </w:r>
    </w:p>
    <w:p>
      <w:pPr>
        <w:spacing w:after="160" w:line="300"/>
      </w:pPr>
      <w:r>
        <w:rPr>
          <w:sz w:val="22"/>
          <w:szCs w:val="22"/>
        </w:rPr>
        <w:t xml:space="preserve">Students converting their internship into a Pre-Placement Offer (PPO) must submit the PPO letter to the TPC within 5 working days of receipt. A PPO acceptance is treated equivalent to a placement offer and is governed by the Placement Rules and Offer Acceptance Policy above.</w:t>
      </w:r>
    </w:p>
    <w:p>
      <w:pPr>
        <w:pStyle w:val="Heading1"/>
        <w:spacing w:after="160" w:before="340"/>
      </w:pPr>
      <w:r>
        <w:rPr>
          <w:b/>
          <w:bCs/>
          <w:color w:val="1B2A5B"/>
        </w:rPr>
        <w:t xml:space="preserve">10. Company Visit Process</w:t>
      </w:r>
    </w:p>
    <w:p>
      <w:pPr>
        <w:pStyle w:val="ListParagraph"/>
        <w:numPr>
          <w:ilvl w:val="0"/>
          <w:numId w:val="3"/>
        </w:numPr>
        <w:spacing w:after="100" w:line="300"/>
      </w:pPr>
      <w:r>
        <w:rPr>
          <w:sz w:val="22"/>
          <w:szCs w:val="22"/>
        </w:rPr>
        <w:t xml:space="preserve">TPC issues an invitation and Memorandum of Understanding (MoU) to prospective recruiters.</w:t>
      </w:r>
    </w:p>
    <w:p>
      <w:pPr>
        <w:pStyle w:val="ListParagraph"/>
        <w:numPr>
          <w:ilvl w:val="0"/>
          <w:numId w:val="3"/>
        </w:numPr>
        <w:spacing w:after="100" w:line="300"/>
      </w:pPr>
      <w:r>
        <w:rPr>
          <w:sz w:val="22"/>
          <w:szCs w:val="22"/>
        </w:rPr>
        <w:t xml:space="preserve">Company confirms JD, eligibility criteria, and selection process.</w:t>
      </w:r>
    </w:p>
    <w:p>
      <w:pPr>
        <w:pStyle w:val="ListParagraph"/>
        <w:numPr>
          <w:ilvl w:val="0"/>
          <w:numId w:val="3"/>
        </w:numPr>
        <w:spacing w:after="100" w:line="300"/>
      </w:pPr>
      <w:r>
        <w:rPr>
          <w:sz w:val="22"/>
          <w:szCs w:val="22"/>
        </w:rPr>
        <w:t xml:space="preserve">TPC schedules the drive and circulates details to eligible students.</w:t>
      </w:r>
    </w:p>
    <w:p>
      <w:pPr>
        <w:pStyle w:val="ListParagraph"/>
        <w:numPr>
          <w:ilvl w:val="0"/>
          <w:numId w:val="3"/>
        </w:numPr>
        <w:spacing w:after="100" w:line="300"/>
      </w:pPr>
      <w:r>
        <w:rPr>
          <w:sz w:val="22"/>
          <w:szCs w:val="22"/>
        </w:rPr>
        <w:t xml:space="preserve">Post-drive, TPC collects feedback from the company and maintains recruiter relationship records.</w:t>
      </w:r>
    </w:p>
    <w:p>
      <w:pPr>
        <w:pStyle w:val="Heading1"/>
        <w:spacing w:after="160" w:before="340"/>
      </w:pPr>
      <w:r>
        <w:rPr>
          <w:b/>
          <w:bCs/>
          <w:color w:val="1B2A5B"/>
        </w:rPr>
        <w:t xml:space="preserve">11. Placement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Phase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Period</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Pre-Placement Training</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July – August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Phase I (Dream &amp; Super-Dream Drives)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August – October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Phase II (Standard Drives)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November – January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Phase III (Off-Campus Drives / Pool Campus)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February – May</w:t>
            </w:r>
          </w:p>
        </w:tc>
      </w:tr>
    </w:tbl>
    <w:p>
      <w:pPr>
        <w:spacing w:after="160"/>
      </w:pPr>
    </w:p>
    <w:p>
      <w:pPr>
        <w:pStyle w:val="Heading1"/>
        <w:spacing w:after="160" w:before="340"/>
      </w:pPr>
      <w:r>
        <w:rPr>
          <w:b/>
          <w:bCs/>
          <w:color w:val="1B2A5B"/>
        </w:rPr>
        <w:t xml:space="preserve">12. Frequently Asked Questions</w:t>
      </w:r>
    </w:p>
    <w:p>
      <w:pPr>
        <w:spacing w:after="60" w:before="180"/>
      </w:pPr>
      <w:r>
        <w:rPr>
          <w:b/>
          <w:bCs/>
          <w:sz w:val="22"/>
          <w:szCs w:val="22"/>
        </w:rPr>
        <w:t xml:space="preserve">Q1. Can final-year students with an active internship still sit for placements?</w:t>
      </w:r>
    </w:p>
    <w:p>
      <w:pPr>
        <w:spacing w:after="100" w:line="300"/>
      </w:pPr>
      <w:r>
        <w:rPr>
          <w:sz w:val="22"/>
          <w:szCs w:val="22"/>
        </w:rPr>
        <w:t xml:space="preserve">A: Yes, provided they meet the eligibility criteria and inform the TPC of their internship status in advance.</w:t>
      </w:r>
    </w:p>
    <w:p>
      <w:pPr>
        <w:spacing w:after="60" w:before="180"/>
      </w:pPr>
      <w:r>
        <w:rPr>
          <w:b/>
          <w:bCs/>
          <w:sz w:val="22"/>
          <w:szCs w:val="22"/>
        </w:rPr>
        <w:t xml:space="preserve">Q2. What if I get placed off-campus?</w:t>
      </w:r>
    </w:p>
    <w:p>
      <w:pPr>
        <w:spacing w:after="100" w:line="300"/>
      </w:pPr>
      <w:r>
        <w:rPr>
          <w:sz w:val="22"/>
          <w:szCs w:val="22"/>
        </w:rPr>
        <w:t xml:space="preserve">A: Inform the TPC with the offer letter for record-keeping; off-campus offers do not restrict participation in further on-campus drives unless the CTC tier rule applies.</w:t>
      </w:r>
    </w:p>
    <w:p>
      <w:pPr>
        <w:spacing w:after="60" w:before="180"/>
      </w:pPr>
      <w:r>
        <w:rPr>
          <w:b/>
          <w:bCs/>
          <w:sz w:val="22"/>
          <w:szCs w:val="22"/>
        </w:rPr>
        <w:t xml:space="preserve">Q3. Does the University guarantee placement?</w:t>
      </w:r>
    </w:p>
    <w:p>
      <w:pPr>
        <w:spacing w:after="100" w:line="300"/>
      </w:pPr>
      <w:r>
        <w:rPr>
          <w:sz w:val="22"/>
          <w:szCs w:val="22"/>
        </w:rPr>
        <w:t xml:space="preserve">A: No. The TPC facilitates access to recruitment opportunities; final selection rests with the recruiting organisation.</w:t>
      </w:r>
    </w:p>
    <w:p>
      <w:pPr>
        <w:pStyle w:val="Heading1"/>
        <w:spacing w:after="160" w:before="340"/>
      </w:pPr>
      <w:r>
        <w:rPr>
          <w:b/>
          <w:bCs/>
          <w:color w:val="1B2A5B"/>
        </w:rPr>
        <w:t xml:space="preserve">13.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Role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Name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Director, Training &amp; Placement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Vivek Anand</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tpc@krmangalam.edu.in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Placement Coordinator (Engineering)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Divya Oberoi</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tpc.set@krmangalam.edu.in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Placement Coordinator (Management)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Arjun Malhotra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tpc.som@krmangalam.edu.in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Placement Handbook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2026-08-08T07:12:41.699Z</dcterms:created>
  <dcterms:modified xsi:type="dcterms:W3CDTF">2026-08-08T07:12:41.699Z</dcterms:modified>
</cp:coreProperties>
</file>

<file path=docProps/custom.xml><?xml version="1.0" encoding="utf-8"?>
<Properties xmlns="http://schemas.openxmlformats.org/officeDocument/2006/custom-properties" xmlns:vt="http://schemas.openxmlformats.org/officeDocument/2006/docPropsVTypes"/>
</file>