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POLICY DOCUMENT</w:t>
      </w:r>
    </w:p>
    <w:p>
      <w:pPr>
        <w:spacing w:after="600"/>
        <w:jc w:val="center"/>
      </w:pPr>
      <w:r>
        <w:rPr>
          <w:b/>
          <w:bCs/>
          <w:sz w:val="44"/>
          <w:szCs w:val="44"/>
        </w:rPr>
        <w:t xml:space="preserve">Student Code of Conduct &amp; Discipline Policy</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KRMU/DOSW/COC/2026-27/006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July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2.3</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"Student Code of Conduct &amp; Discipline Policy," is maintained by the concerned administrative office of K.R. Mangalam University and is subject to periodic review. The table below records the revision history of this document under notice number KRMU/DOSW/COC/2026-27/006.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2.3</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July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"Code of Conduct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Student Responsibilities</w:t>
      </w:r>
    </w:p>
    <w:p>
      <w:pPr>
        <w:spacing w:after="160" w:line="300"/>
      </w:pPr>
      <w:r>
        <w:rPr>
          <w:sz w:val="22"/>
          <w:szCs w:val="22"/>
        </w:rPr>
        <w:t xml:space="preserve">Every student of K.R. Mangalam University is expected to conduct themselves with honesty, respect, and responsibility, both on and off campus, and to uphold the reputation and values of the institution at all times.</w:t>
      </w:r>
    </w:p>
    <w:p>
      <w:pPr>
        <w:pStyle w:val="Heading1"/>
        <w:spacing w:after="160" w:before="340"/>
      </w:pPr>
      <w:r>
        <w:rPr>
          <w:b/>
          <w:bCs/>
          <w:color w:val="1B2A5B"/>
        </w:rPr>
        <w:t xml:space="preserve">2. Academic Integrity</w:t>
      </w:r>
    </w:p>
    <w:p>
      <w:pPr>
        <w:pStyle w:val="ListParagraph"/>
        <w:numPr>
          <w:ilvl w:val="0"/>
          <w:numId w:val="2"/>
        </w:numPr>
        <w:spacing w:after="100" w:line="300"/>
      </w:pPr>
      <w:r>
        <w:rPr>
          <w:sz w:val="22"/>
          <w:szCs w:val="22"/>
        </w:rPr>
        <w:t xml:space="preserve">Plagiarism in assignments, projects, or dissertations is strictly prohibited; all submissions are checked through Turnitin/similar software with a similarity threshold of 15%.</w:t>
      </w:r>
    </w:p>
    <w:p>
      <w:pPr>
        <w:pStyle w:val="ListParagraph"/>
        <w:numPr>
          <w:ilvl w:val="0"/>
          <w:numId w:val="2"/>
        </w:numPr>
        <w:spacing w:after="100" w:line="300"/>
      </w:pPr>
      <w:r>
        <w:rPr>
          <w:sz w:val="22"/>
          <w:szCs w:val="22"/>
        </w:rPr>
        <w:t xml:space="preserve">Fabrication or falsification of data, research results, or attendance records constitutes a serious academic offence.</w:t>
      </w:r>
    </w:p>
    <w:p>
      <w:pPr>
        <w:pStyle w:val="ListParagraph"/>
        <w:numPr>
          <w:ilvl w:val="0"/>
          <w:numId w:val="2"/>
        </w:numPr>
        <w:spacing w:after="100" w:line="300"/>
      </w:pPr>
      <w:r>
        <w:rPr>
          <w:sz w:val="22"/>
          <w:szCs w:val="22"/>
        </w:rPr>
        <w:t xml:space="preserve">Collusion (unauthorised collaboration) on individually assessed work is treated as academic misconduct.</w:t>
      </w:r>
    </w:p>
    <w:p>
      <w:pPr>
        <w:pStyle w:val="Heading1"/>
        <w:spacing w:after="160" w:before="340"/>
      </w:pPr>
      <w:r>
        <w:rPr>
          <w:b/>
          <w:bCs/>
          <w:color w:val="1B2A5B"/>
        </w:rPr>
        <w:t xml:space="preserve">3. Classroom Behaviour</w:t>
      </w:r>
    </w:p>
    <w:p>
      <w:pPr>
        <w:pStyle w:val="ListParagraph"/>
        <w:numPr>
          <w:ilvl w:val="0"/>
          <w:numId w:val="2"/>
        </w:numPr>
        <w:spacing w:after="100" w:line="300"/>
      </w:pPr>
      <w:r>
        <w:rPr>
          <w:sz w:val="22"/>
          <w:szCs w:val="22"/>
        </w:rPr>
        <w:t xml:space="preserve">Students must be punctual and attentive; disruptive behaviour that hinders teaching is not tolerated.</w:t>
      </w:r>
    </w:p>
    <w:p>
      <w:pPr>
        <w:pStyle w:val="ListParagraph"/>
        <w:numPr>
          <w:ilvl w:val="0"/>
          <w:numId w:val="2"/>
        </w:numPr>
        <w:spacing w:after="100" w:line="300"/>
      </w:pPr>
      <w:r>
        <w:rPr>
          <w:sz w:val="22"/>
          <w:szCs w:val="22"/>
        </w:rPr>
        <w:t xml:space="preserve">Use of unfair means, including impersonation or disrespect toward faculty, invites disciplinary action.</w:t>
      </w:r>
    </w:p>
    <w:p>
      <w:pPr>
        <w:pStyle w:val="Heading1"/>
        <w:spacing w:after="160" w:before="340"/>
      </w:pPr>
      <w:r>
        <w:rPr>
          <w:b/>
          <w:bCs/>
          <w:color w:val="1B2A5B"/>
        </w:rPr>
        <w:t xml:space="preserve">4. Dress Code</w:t>
      </w:r>
    </w:p>
    <w:p>
      <w:pPr>
        <w:spacing w:after="160" w:line="300"/>
      </w:pPr>
      <w:r>
        <w:rPr>
          <w:sz w:val="22"/>
          <w:szCs w:val="22"/>
        </w:rPr>
        <w:t xml:space="preserve">Students are expected to dress in a manner that is neat, decent, and appropriate to an academic environment. Formal attire is mandatory during examinations, placement activities, and official University functions.</w:t>
      </w:r>
    </w:p>
    <w:p>
      <w:pPr>
        <w:pStyle w:val="Heading1"/>
        <w:spacing w:after="160" w:before="340"/>
      </w:pPr>
      <w:r>
        <w:rPr>
          <w:b/>
          <w:bCs/>
          <w:color w:val="1B2A5B"/>
        </w:rPr>
        <w:t xml:space="preserve">5. Mobile Phone Policy</w:t>
      </w:r>
    </w:p>
    <w:p>
      <w:pPr>
        <w:spacing w:after="160" w:line="300"/>
      </w:pPr>
      <w:r>
        <w:rPr>
          <w:sz w:val="22"/>
          <w:szCs w:val="22"/>
        </w:rPr>
        <w:t xml:space="preserve">Mobile phones must be switched to silent mode during classes and are strictly prohibited inside examination halls. Use of mobile phones during an examination is treated as use of unfair means under the Examination Rules &amp; Evaluation Policy.</w:t>
      </w:r>
    </w:p>
    <w:p>
      <w:pPr>
        <w:pStyle w:val="Heading1"/>
        <w:spacing w:after="160" w:before="340"/>
      </w:pPr>
      <w:r>
        <w:rPr>
          <w:b/>
          <w:bCs/>
          <w:color w:val="1B2A5B"/>
        </w:rPr>
        <w:t xml:space="preserve">6. Social Media Guidelines</w:t>
      </w:r>
    </w:p>
    <w:p>
      <w:pPr>
        <w:pStyle w:val="ListParagraph"/>
        <w:numPr>
          <w:ilvl w:val="0"/>
          <w:numId w:val="2"/>
        </w:numPr>
        <w:spacing w:after="100" w:line="300"/>
      </w:pPr>
      <w:r>
        <w:rPr>
          <w:sz w:val="22"/>
          <w:szCs w:val="22"/>
        </w:rPr>
        <w:t xml:space="preserve">Students must not post content on social media that defames the University, its faculty, staff, or fellow students.</w:t>
      </w:r>
    </w:p>
    <w:p>
      <w:pPr>
        <w:pStyle w:val="ListParagraph"/>
        <w:numPr>
          <w:ilvl w:val="0"/>
          <w:numId w:val="2"/>
        </w:numPr>
        <w:spacing w:after="100" w:line="300"/>
      </w:pPr>
      <w:r>
        <w:rPr>
          <w:sz w:val="22"/>
          <w:szCs w:val="22"/>
        </w:rPr>
        <w:t xml:space="preserve">Official University events/logos may not be used for personal promotion without prior written approval from the Corporate Communications Office.</w:t>
      </w:r>
    </w:p>
    <w:p>
      <w:pPr>
        <w:pStyle w:val="Heading1"/>
        <w:spacing w:after="160" w:before="340"/>
      </w:pPr>
      <w:r>
        <w:rPr>
          <w:b/>
          <w:bCs/>
          <w:color w:val="1B2A5B"/>
        </w:rPr>
        <w:t xml:space="preserve">7. Anti-Bullying</w:t>
      </w:r>
    </w:p>
    <w:p>
      <w:pPr>
        <w:spacing w:after="160" w:line="300"/>
      </w:pPr>
      <w:r>
        <w:rPr>
          <w:sz w:val="22"/>
          <w:szCs w:val="22"/>
        </w:rPr>
        <w:t xml:space="preserve">The University maintains a zero-tolerance stance towards bullying, whether physical, verbal, or online (cyberbullying). Complaints may be submitted confidentially to the Student Grievance Redressal Committee.</w:t>
      </w:r>
    </w:p>
    <w:p>
      <w:pPr>
        <w:pStyle w:val="Heading1"/>
        <w:spacing w:after="160" w:before="340"/>
      </w:pPr>
      <w:r>
        <w:rPr>
          <w:b/>
          <w:bCs/>
          <w:color w:val="1B2A5B"/>
        </w:rPr>
        <w:t xml:space="preserve">8. Anti-Ragging</w:t>
      </w:r>
    </w:p>
    <w:p>
      <w:pPr>
        <w:spacing w:after="160" w:line="300"/>
      </w:pPr>
      <w:r>
        <w:rPr>
          <w:sz w:val="22"/>
          <w:szCs w:val="22"/>
        </w:rPr>
        <w:t xml:space="preserve">Ragging in any form, on or off campus, is a criminal offence under UGC Regulations, 2009 and applicable state law. All new students and their parents must submit the mandatory anti-ragging affidavit at the time of admission. Refer to the Anti-Ragging Helpline (1800-180-5522) for reporting.</w:t>
      </w:r>
    </w:p>
    <w:p>
      <w:pPr>
        <w:pStyle w:val="Heading1"/>
        <w:spacing w:after="160" w:before="340"/>
      </w:pPr>
      <w:r>
        <w:rPr>
          <w:b/>
          <w:bCs/>
          <w:color w:val="1B2A5B"/>
        </w:rPr>
        <w:t xml:space="preserve">9. Misconduct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Category</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Examples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Minor Misconduct</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Late submission without excuse, minor classroom disruption, dress code violation</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Major Misconduct</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Academic dishonesty, harassment, property damage, unauthorised absence from mandatory activity</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Severe Misconduct</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Ragging, violence, substance abuse on campus, sexual harassment, forgery</w:t>
            </w:r>
          </w:p>
        </w:tc>
      </w:tr>
    </w:tbl>
    <w:p>
      <w:pPr>
        <w:spacing w:after="160"/>
      </w:pPr>
    </w:p>
    <w:p>
      <w:pPr>
        <w:pStyle w:val="Heading1"/>
        <w:spacing w:after="160" w:before="340"/>
      </w:pPr>
      <w:r>
        <w:rPr>
          <w:b/>
          <w:bCs/>
          <w:color w:val="1B2A5B"/>
        </w:rPr>
        <w:t xml:space="preserve">10. Penalty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Category</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First Instance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Repeat / Severe Instance</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Minor Misconduct</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Verbal/written warning</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Fine up to ₹1,000 + Mentor counselling</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Major Misconduct</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Written warning + parent notification</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Suspension up to 1 semester</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Severe Misconduct</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Suspension + Disciplinary Committee referral</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Expulsion + reporting to regulatory authority</w:t>
            </w:r>
          </w:p>
        </w:tc>
      </w:tr>
    </w:tbl>
    <w:p>
      <w:pPr>
        <w:spacing w:after="160"/>
      </w:pPr>
    </w:p>
    <w:p>
      <w:pPr>
        <w:pStyle w:val="Heading1"/>
        <w:spacing w:after="160" w:before="340"/>
      </w:pPr>
      <w:r>
        <w:rPr>
          <w:b/>
          <w:bCs/>
          <w:color w:val="1B2A5B"/>
        </w:rPr>
        <w:t xml:space="preserve">11. Appeals Process</w:t>
      </w:r>
    </w:p>
    <w:p>
      <w:pPr>
        <w:pStyle w:val="ListParagraph"/>
        <w:numPr>
          <w:ilvl w:val="0"/>
          <w:numId w:val="3"/>
        </w:numPr>
        <w:spacing w:after="100" w:line="300"/>
      </w:pPr>
      <w:r>
        <w:rPr>
          <w:sz w:val="22"/>
          <w:szCs w:val="22"/>
        </w:rPr>
        <w:t xml:space="preserve">Student submits a written appeal to the Dean of Students Welfare within 7 days of the disciplinary decision.</w:t>
      </w:r>
    </w:p>
    <w:p>
      <w:pPr>
        <w:pStyle w:val="ListParagraph"/>
        <w:numPr>
          <w:ilvl w:val="0"/>
          <w:numId w:val="3"/>
        </w:numPr>
        <w:spacing w:after="100" w:line="300"/>
      </w:pPr>
      <w:r>
        <w:rPr>
          <w:sz w:val="22"/>
          <w:szCs w:val="22"/>
        </w:rPr>
        <w:t xml:space="preserve">Appeal reviewed by the Student Disciplinary Appellate Committee, comprising the Pro Vice Chancellor and two senior faculty members not involved in the original decision.</w:t>
      </w:r>
    </w:p>
    <w:p>
      <w:pPr>
        <w:pStyle w:val="ListParagraph"/>
        <w:numPr>
          <w:ilvl w:val="0"/>
          <w:numId w:val="3"/>
        </w:numPr>
        <w:spacing w:after="100" w:line="300"/>
      </w:pPr>
      <w:r>
        <w:rPr>
          <w:sz w:val="22"/>
          <w:szCs w:val="22"/>
        </w:rPr>
        <w:t xml:space="preserve">Final decision communicated in writing within 15 working days of the appeal being filed.</w:t>
      </w:r>
    </w:p>
    <w:p>
      <w:pPr>
        <w:pStyle w:val="Heading1"/>
        <w:spacing w:after="160" w:before="340"/>
      </w:pPr>
      <w:r>
        <w:rPr>
          <w:b/>
          <w:bCs/>
          <w:color w:val="1B2A5B"/>
        </w:rPr>
        <w:t xml:space="preserve">12. Grievance Redressal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Stage</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Timeline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Complaint Acknowledgement</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Within 24 hours of receipt</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Preliminary Inquiry</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Within 5 working days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Committee Hearing (if required)</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Within 10 working days</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Final Decision Communicated</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Within 15 working days of complaint</w:t>
            </w:r>
          </w:p>
        </w:tc>
      </w:tr>
    </w:tbl>
    <w:p>
      <w:pPr>
        <w:spacing w:after="160"/>
      </w:pPr>
    </w:p>
    <w:p>
      <w:pPr>
        <w:spacing w:after="160" w:line="300"/>
      </w:pPr>
      <w:r>
        <w:rPr>
          <w:sz w:val="22"/>
          <w:szCs w:val="22"/>
        </w:rPr>
        <w:t xml:space="preserve">All disciplinary proceedings are conducted in a manner that is fair, confidential, and affords the student an opportunity to present their case before any final decision is recorded.</w:t>
      </w:r>
    </w:p>
    <w:p>
      <w:pPr>
        <w:pStyle w:val="Heading1"/>
        <w:spacing w:after="160" w:before="340"/>
      </w:pPr>
      <w:r>
        <w:rPr>
          <w:b/>
          <w:bCs/>
          <w:color w:val="1B2A5B"/>
        </w:rPr>
        <w:t xml:space="preserve">13. Frequently Asked Questions</w:t>
      </w:r>
    </w:p>
    <w:p>
      <w:pPr>
        <w:spacing w:after="60" w:before="180"/>
      </w:pPr>
      <w:r>
        <w:rPr>
          <w:b/>
          <w:bCs/>
          <w:sz w:val="22"/>
          <w:szCs w:val="22"/>
        </w:rPr>
        <w:t xml:space="preserve">Q1. Who do I report harassment to?</w:t>
      </w:r>
    </w:p>
    <w:p>
      <w:pPr>
        <w:spacing w:after="100" w:line="300"/>
      </w:pPr>
      <w:r>
        <w:rPr>
          <w:sz w:val="22"/>
          <w:szCs w:val="22"/>
        </w:rPr>
        <w:t xml:space="preserve">A: Report to the Student Grievance Redressal Committee, the Internal Complaints Committee (for sexual harassment cases), or the Dean of Students Welfare.</w:t>
      </w:r>
    </w:p>
    <w:p>
      <w:pPr>
        <w:spacing w:after="60" w:before="180"/>
      </w:pPr>
      <w:r>
        <w:rPr>
          <w:b/>
          <w:bCs/>
          <w:sz w:val="22"/>
          <w:szCs w:val="22"/>
        </w:rPr>
        <w:t xml:space="preserve">Q2. Is a single warning recorded permanently?</w:t>
      </w:r>
    </w:p>
    <w:p>
      <w:pPr>
        <w:spacing w:after="100" w:line="300"/>
      </w:pPr>
      <w:r>
        <w:rPr>
          <w:sz w:val="22"/>
          <w:szCs w:val="22"/>
        </w:rPr>
        <w:t xml:space="preserve">A: Minor warnings are recorded in the student's disciplinary file but do not appear on the academic transcript unless escalated to suspension or expulsion.</w:t>
      </w:r>
    </w:p>
    <w:p>
      <w:pPr>
        <w:spacing w:after="60" w:before="180"/>
      </w:pPr>
      <w:r>
        <w:rPr>
          <w:b/>
          <w:bCs/>
          <w:sz w:val="22"/>
          <w:szCs w:val="22"/>
        </w:rPr>
        <w:t xml:space="preserve">Q3. Can disciplinary action affect my degree?</w:t>
      </w:r>
    </w:p>
    <w:p>
      <w:pPr>
        <w:spacing w:after="100" w:line="300"/>
      </w:pPr>
      <w:r>
        <w:rPr>
          <w:sz w:val="22"/>
          <w:szCs w:val="22"/>
        </w:rPr>
        <w:t xml:space="preserve">A: Severe misconduct resulting in expulsion will affect enrolment status and may delay or prevent degree conferral.</w:t>
      </w:r>
    </w:p>
    <w:p>
      <w:pPr>
        <w:spacing w:after="60" w:before="180"/>
      </w:pPr>
      <w:r>
        <w:rPr>
          <w:b/>
          <w:bCs/>
          <w:sz w:val="22"/>
          <w:szCs w:val="22"/>
        </w:rPr>
        <w:t xml:space="preserve">Q4. Are disciplinary proceedings confidential?</w:t>
      </w:r>
    </w:p>
    <w:p>
      <w:pPr>
        <w:spacing w:after="100" w:line="300"/>
      </w:pPr>
      <w:r>
        <w:rPr>
          <w:sz w:val="22"/>
          <w:szCs w:val="22"/>
        </w:rPr>
        <w:t xml:space="preserve">A: Yes, all proceedings and records are treated as confidential and shared only with parties directly involved in the case, subject to applicable law.</w:t>
      </w:r>
    </w:p>
    <w:p>
      <w:pPr>
        <w:pStyle w:val="Heading1"/>
        <w:spacing w:after="160" w:before="340"/>
      </w:pPr>
      <w:r>
        <w:rPr>
          <w:b/>
          <w:bCs/>
          <w:color w:val="1B2A5B"/>
        </w:rPr>
        <w:t xml:space="preserve">14.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Office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Contact Person</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Email</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Dean of Students Welfare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Prof. Rekha Malhotra</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dosw@krmangalam.edu.in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Student Grievance Redressal Committee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Dr. Manav Sethi (Chair)</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grievance@krmangalam.edu.in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Internal Complaints Committee</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Dr. Farah Ansari (Chair)</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icc@krmangalam.edu.in</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Code of Conduct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2026-08-08T07:12:41.755Z</dcterms:created>
  <dcterms:modified xsi:type="dcterms:W3CDTF">2026-08-08T07:12:41.755Z</dcterms:modified>
</cp:coreProperties>
</file>

<file path=docProps/custom.xml><?xml version="1.0" encoding="utf-8"?>
<Properties xmlns="http://schemas.openxmlformats.org/officeDocument/2006/custom-properties" xmlns:vt="http://schemas.openxmlformats.org/officeDocument/2006/docPropsVTypes"/>
</file>