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Health Centre &amp; Medical Insurance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KRMU/HLT/INS/2026-27/012</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"Health Centre &amp; Medical Insurance Policy," is maintained by the concerned administrative office of K.R. Mangalam University and is subject to periodic review. The table below records the revision history of this document under notice number KRMU/HLT/INS/2026-27/012.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2.1</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"Health &amp; Insurance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University Health Centre Overview</w:t>
      </w:r>
    </w:p>
    <w:p>
      <w:pPr>
        <w:spacing w:after="160" w:line="300"/>
      </w:pPr>
      <w:r>
        <w:rPr>
          <w:sz w:val="22"/>
          <w:szCs w:val="22"/>
        </w:rPr>
        <w:t xml:space="preserve">The University Health Centre, located near the Main Gate, provides primary healthcare services to all registered students, faculty, and staff of K.R. Mangalam University, including general consultation, first aid, and emergency stabilisation before referral to a partner hospital.</w:t>
      </w:r>
    </w:p>
    <w:p>
      <w:pPr>
        <w:pStyle w:val="Heading1"/>
        <w:spacing w:after="160" w:before="340"/>
      </w:pPr>
      <w:r>
        <w:rPr>
          <w:b/>
          <w:bCs/>
          <w:color w:val="1B2A5B"/>
        </w:rPr>
        <w:t xml:space="preserve">2. Health Centre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Day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Timings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Monday – Saturday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8:00 AM – 8:00 PM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Sunday &amp; Holidays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 AM – 4:00 PM (Emergency: 24x7 on-call)</w:t>
            </w:r>
          </w:p>
        </w:tc>
      </w:tr>
    </w:tbl>
    <w:p>
      <w:pPr>
        <w:spacing w:after="160"/>
      </w:pPr>
    </w:p>
    <w:p>
      <w:pPr>
        <w:pStyle w:val="Heading1"/>
        <w:spacing w:after="160" w:before="340"/>
      </w:pPr>
      <w:r>
        <w:rPr>
          <w:b/>
          <w:bCs/>
          <w:color w:val="1B2A5B"/>
        </w:rPr>
        <w:t xml:space="preserve">3. Services Offered</w:t>
      </w:r>
    </w:p>
    <w:p>
      <w:pPr>
        <w:pStyle w:val="ListParagraph"/>
        <w:numPr>
          <w:ilvl w:val="0"/>
          <w:numId w:val="2"/>
        </w:numPr>
        <w:spacing w:after="100" w:line="300"/>
      </w:pPr>
      <w:r>
        <w:rPr>
          <w:sz w:val="22"/>
          <w:szCs w:val="22"/>
        </w:rPr>
        <w:t xml:space="preserve">General physician consultation and basic diagnostics.</w:t>
      </w:r>
    </w:p>
    <w:p>
      <w:pPr>
        <w:pStyle w:val="ListParagraph"/>
        <w:numPr>
          <w:ilvl w:val="0"/>
          <w:numId w:val="2"/>
        </w:numPr>
        <w:spacing w:after="100" w:line="300"/>
      </w:pPr>
      <w:r>
        <w:rPr>
          <w:sz w:val="22"/>
          <w:szCs w:val="22"/>
        </w:rPr>
        <w:t xml:space="preserve">First aid and emergency stabilisation, with ambulance dispatch to partner hospitals.</w:t>
      </w:r>
    </w:p>
    <w:p>
      <w:pPr>
        <w:pStyle w:val="ListParagraph"/>
        <w:numPr>
          <w:ilvl w:val="0"/>
          <w:numId w:val="2"/>
        </w:numPr>
        <w:spacing w:after="100" w:line="300"/>
      </w:pPr>
      <w:r>
        <w:rPr>
          <w:sz w:val="22"/>
          <w:szCs w:val="22"/>
        </w:rPr>
        <w:t xml:space="preserve">Routine health check-ups at the start of each academic session for hostel residents.</w:t>
      </w:r>
    </w:p>
    <w:p>
      <w:pPr>
        <w:pStyle w:val="ListParagraph"/>
        <w:numPr>
          <w:ilvl w:val="0"/>
          <w:numId w:val="2"/>
        </w:numPr>
        <w:spacing w:after="100" w:line="300"/>
      </w:pPr>
      <w:r>
        <w:rPr>
          <w:sz w:val="22"/>
          <w:szCs w:val="22"/>
        </w:rPr>
        <w:t xml:space="preserve">Counselling referral coordination with the Student Wellness Centre.</w:t>
      </w:r>
    </w:p>
    <w:p>
      <w:pPr>
        <w:pStyle w:val="Heading1"/>
        <w:spacing w:after="160" w:before="340"/>
      </w:pPr>
      <w:r>
        <w:rPr>
          <w:b/>
          <w:bCs/>
          <w:color w:val="1B2A5B"/>
        </w:rPr>
        <w:t xml:space="preserve">4. Mandatory Medical Insurance</w:t>
      </w:r>
    </w:p>
    <w:p>
      <w:pPr>
        <w:spacing w:after="160" w:line="300"/>
      </w:pPr>
      <w:r>
        <w:rPr>
          <w:sz w:val="22"/>
          <w:szCs w:val="22"/>
        </w:rPr>
        <w:t xml:space="preserve">All students are enrolled under the Group Mediclaim Insurance Policy at the time of admission, covering hospitalisation expenses up to the sum insured specified in Section 5. The annual premium is included in the admission fee structure and is non-optional for resident and non-resident students alike.</w:t>
      </w:r>
    </w:p>
    <w:p>
      <w:pPr>
        <w:pStyle w:val="Heading1"/>
        <w:spacing w:after="160" w:before="340"/>
      </w:pPr>
      <w:r>
        <w:rPr>
          <w:b/>
          <w:bCs/>
          <w:color w:val="1B2A5B"/>
        </w:rPr>
        <w:t xml:space="preserve">5. Insurance Coverage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Coverage Type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Sum Insured</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Hospitalisation (Accident/Illness)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₹2,00,000 per annum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Accidental Death/Permanent Disability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Day-care Procedures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 per policy schedule</w:t>
            </w:r>
          </w:p>
        </w:tc>
      </w:tr>
    </w:tbl>
    <w:p>
      <w:pPr>
        <w:spacing w:after="160"/>
      </w:pPr>
    </w:p>
    <w:p>
      <w:pPr>
        <w:pStyle w:val="Heading1"/>
        <w:spacing w:after="160" w:before="340"/>
      </w:pPr>
      <w:r>
        <w:rPr>
          <w:b/>
          <w:bCs/>
          <w:color w:val="1B2A5B"/>
        </w:rPr>
        <w:t xml:space="preserve">6. Claim Process</w:t>
      </w:r>
    </w:p>
    <w:p>
      <w:pPr>
        <w:pStyle w:val="ListParagraph"/>
        <w:numPr>
          <w:ilvl w:val="0"/>
          <w:numId w:val="3"/>
        </w:numPr>
        <w:spacing w:after="100" w:line="300"/>
      </w:pPr>
      <w:r>
        <w:rPr>
          <w:sz w:val="22"/>
          <w:szCs w:val="22"/>
        </w:rPr>
        <w:t xml:space="preserve">Inform the Health Centre and Insurance Cell within 24 hours of hospitalisation.</w:t>
      </w:r>
    </w:p>
    <w:p>
      <w:pPr>
        <w:pStyle w:val="ListParagraph"/>
        <w:numPr>
          <w:ilvl w:val="0"/>
          <w:numId w:val="3"/>
        </w:numPr>
        <w:spacing w:after="100" w:line="300"/>
      </w:pPr>
      <w:r>
        <w:rPr>
          <w:sz w:val="22"/>
          <w:szCs w:val="22"/>
        </w:rPr>
        <w:t xml:space="preserve">For cashless treatment, use the insurance card at any network hospital listed on the insurer's portal.</w:t>
      </w:r>
    </w:p>
    <w:p>
      <w:pPr>
        <w:pStyle w:val="ListParagraph"/>
        <w:numPr>
          <w:ilvl w:val="0"/>
          <w:numId w:val="3"/>
        </w:numPr>
        <w:spacing w:after="100" w:line="300"/>
      </w:pPr>
      <w:r>
        <w:rPr>
          <w:sz w:val="22"/>
          <w:szCs w:val="22"/>
        </w:rPr>
        <w:t xml:space="preserve">For reimbursement claims, submit original bills and discharge summary to the Insurance Cell within 30 days of discharge.</w:t>
      </w:r>
    </w:p>
    <w:p>
      <w:pPr>
        <w:pStyle w:val="Heading1"/>
        <w:spacing w:after="160" w:before="340"/>
      </w:pPr>
      <w:r>
        <w:rPr>
          <w:b/>
          <w:bCs/>
          <w:color w:val="1B2A5B"/>
        </w:rPr>
        <w:t xml:space="preserve">7. Network Hospitals</w:t>
      </w:r>
    </w:p>
    <w:p>
      <w:pPr>
        <w:spacing w:after="160" w:line="300"/>
      </w:pPr>
      <w:r>
        <w:rPr>
          <w:sz w:val="22"/>
          <w:szCs w:val="22"/>
        </w:rPr>
        <w:t xml:space="preserve">The insurance policy provides cashless treatment at over 30 network hospitals in the Gurugram-Delhi NCR region, including Medanta – The Medicity, Fortis Escorts, and Max Hospital Saket. The complete network hospital list is available on the Insurance Cell page of the University website.</w:t>
      </w:r>
    </w:p>
    <w:p>
      <w:pPr>
        <w:pStyle w:val="Heading1"/>
        <w:spacing w:after="160" w:before="340"/>
      </w:pPr>
      <w:r>
        <w:rPr>
          <w:b/>
          <w:bCs/>
          <w:color w:val="1B2A5B"/>
        </w:rPr>
        <w:t xml:space="preserve">8. Referral Procedure</w:t>
      </w:r>
    </w:p>
    <w:p>
      <w:pPr>
        <w:spacing w:after="160" w:line="300"/>
      </w:pPr>
      <w:r>
        <w:rPr>
          <w:sz w:val="22"/>
          <w:szCs w:val="22"/>
        </w:rPr>
        <w:t xml:space="preserve">For conditions beyond the scope of the Health Centre, the duty physician issues a referral to the nearest network hospital, and the University ambulance service transports the student/employee where required. Referral records are maintained for insurance claim purposes.</w:t>
      </w:r>
    </w:p>
    <w:p>
      <w:pPr>
        <w:pStyle w:val="Heading1"/>
        <w:spacing w:after="160" w:before="340"/>
      </w:pPr>
      <w:r>
        <w:rPr>
          <w:b/>
          <w:bCs/>
          <w:color w:val="1B2A5B"/>
        </w:rPr>
        <w:t xml:space="preserve">9. Mental Health &amp; Wellness Support</w:t>
      </w:r>
    </w:p>
    <w:p>
      <w:pPr>
        <w:pStyle w:val="ListParagraph"/>
        <w:numPr>
          <w:ilvl w:val="0"/>
          <w:numId w:val="2"/>
        </w:numPr>
        <w:spacing w:after="100" w:line="300"/>
      </w:pPr>
      <w:r>
        <w:rPr>
          <w:sz w:val="22"/>
          <w:szCs w:val="22"/>
        </w:rPr>
        <w:t xml:space="preserve">The Student Wellness Centre offers free, confidential counselling sessions by appointment.</w:t>
      </w:r>
    </w:p>
    <w:p>
      <w:pPr>
        <w:pStyle w:val="ListParagraph"/>
        <w:numPr>
          <w:ilvl w:val="0"/>
          <w:numId w:val="2"/>
        </w:numPr>
        <w:spacing w:after="100" w:line="300"/>
      </w:pPr>
      <w:r>
        <w:rPr>
          <w:sz w:val="22"/>
          <w:szCs w:val="22"/>
        </w:rPr>
        <w:t xml:space="preserve">A 24x7 mental health helpline is available for students in crisis: 1800-121-3667.</w:t>
      </w:r>
    </w:p>
    <w:p>
      <w:pPr>
        <w:pStyle w:val="ListParagraph"/>
        <w:numPr>
          <w:ilvl w:val="0"/>
          <w:numId w:val="2"/>
        </w:numPr>
        <w:spacing w:after="100" w:line="300"/>
      </w:pPr>
      <w:r>
        <w:rPr>
          <w:sz w:val="22"/>
          <w:szCs w:val="22"/>
        </w:rPr>
        <w:t xml:space="preserve">Referrals to external specialists are coordinated by the Wellness Centre where extended care is needed.</w:t>
      </w:r>
    </w:p>
    <w:p>
      <w:pPr>
        <w:pStyle w:val="Heading1"/>
        <w:spacing w:after="160" w:before="340"/>
      </w:pPr>
      <w:r>
        <w:rPr>
          <w:b/>
          <w:bCs/>
          <w:color w:val="1B2A5B"/>
        </w:rPr>
        <w:t xml:space="preserve">10. Medical Leave Documentation</w:t>
      </w:r>
    </w:p>
    <w:p>
      <w:pPr>
        <w:spacing w:after="160" w:line="300"/>
      </w:pPr>
      <w:r>
        <w:rPr>
          <w:sz w:val="22"/>
          <w:szCs w:val="22"/>
        </w:rPr>
        <w:t xml:space="preserve">Students availing medical leave for attendance condonation must obtain a medical certificate from the University Health Centre or a registered medical practitioner, as detailed in the University Attendance Policy, Section 6.</w:t>
      </w:r>
    </w:p>
    <w:p>
      <w:pPr>
        <w:pStyle w:val="Heading1"/>
        <w:spacing w:after="160" w:before="340"/>
      </w:pPr>
      <w:r>
        <w:rPr>
          <w:b/>
          <w:bCs/>
          <w:color w:val="1B2A5B"/>
        </w:rPr>
        <w:t xml:space="preserve">11. Vaccination &amp; Preventive Health Drives</w:t>
      </w:r>
    </w:p>
    <w:p>
      <w:pPr>
        <w:spacing w:after="160" w:line="300"/>
      </w:pPr>
      <w:r>
        <w:rPr>
          <w:sz w:val="22"/>
          <w:szCs w:val="22"/>
        </w:rPr>
        <w:t xml:space="preserve">The Health Centre conducts periodic preventive health drives, including seasonal flu vaccination camps and blood donation camps, in collaboration with partner hospitals. Schedules are announced via the ERP Notice Board each semester.</w:t>
      </w:r>
    </w:p>
    <w:p>
      <w:pPr>
        <w:pStyle w:val="Heading1"/>
        <w:spacing w:after="160" w:before="340"/>
      </w:pPr>
      <w:r>
        <w:rPr>
          <w:b/>
          <w:bCs/>
          <w:color w:val="1B2A5B"/>
        </w:rPr>
        <w:t xml:space="preserve">12. Faculty &amp; Staff Health Coverage</w:t>
      </w:r>
    </w:p>
    <w:p>
      <w:pPr>
        <w:spacing w:after="160" w:line="300"/>
      </w:pPr>
      <w:r>
        <w:rPr>
          <w:sz w:val="22"/>
          <w:szCs w:val="22"/>
        </w:rPr>
        <w:t xml:space="preserve">Faculty and staff are covered under a separate Group Health Insurance Policy administered by Human Resources, with sum insured and family coverage details specified in the individual appointment letter. Enrolment and dependent addition can be managed through the HR ERP Insurance Module.</w:t>
      </w:r>
    </w:p>
    <w:p>
      <w:pPr>
        <w:pStyle w:val="Heading1"/>
        <w:spacing w:after="160" w:before="340"/>
      </w:pPr>
      <w:r>
        <w:rPr>
          <w:b/>
          <w:bCs/>
          <w:color w:val="1B2A5B"/>
        </w:rPr>
        <w:t xml:space="preserve">13. Accessibility &amp; Special Needs Support</w:t>
      </w:r>
    </w:p>
    <w:p>
      <w:pPr>
        <w:spacing w:after="160" w:line="300"/>
      </w:pPr>
      <w:r>
        <w:rPr>
          <w:sz w:val="22"/>
          <w:szCs w:val="22"/>
        </w:rPr>
        <w:t xml:space="preserve">The Health Centre coordinates with the Office of Students with Disabilities to arrange accessible consultation rooms, sign-language interpretation on request, and priority scheduling for students with special healthcare needs, in line with the Rights of Persons with Disabilities Act, 2016.</w:t>
      </w:r>
    </w:p>
    <w:p>
      <w:pPr>
        <w:pStyle w:val="Heading1"/>
        <w:spacing w:after="160" w:before="340"/>
      </w:pPr>
      <w:r>
        <w:rPr>
          <w:b/>
          <w:bCs/>
          <w:color w:val="1B2A5B"/>
        </w:rPr>
        <w:t xml:space="preserve">14. Frequently Asked Questions</w:t>
      </w:r>
    </w:p>
    <w:p>
      <w:pPr>
        <w:spacing w:after="60" w:before="180"/>
      </w:pPr>
      <w:r>
        <w:rPr>
          <w:b/>
          <w:bCs/>
          <w:sz w:val="22"/>
          <w:szCs w:val="22"/>
        </w:rPr>
        <w:t xml:space="preserve">Q1. Is the medical insurance premium refundable if I withdraw from the University?</w:t>
      </w:r>
    </w:p>
    <w:p>
      <w:pPr>
        <w:spacing w:after="100" w:line="300"/>
      </w:pPr>
      <w:r>
        <w:rPr>
          <w:sz w:val="22"/>
          <w:szCs w:val="22"/>
        </w:rPr>
        <w:t xml:space="preserve">A: The insurance premium is generally non-refundable once the policy period has commenced, as it is issued to the insurer as a group policy.</w:t>
      </w:r>
    </w:p>
    <w:p>
      <w:pPr>
        <w:spacing w:after="60" w:before="180"/>
      </w:pPr>
      <w:r>
        <w:rPr>
          <w:b/>
          <w:bCs/>
          <w:sz w:val="22"/>
          <w:szCs w:val="22"/>
        </w:rPr>
        <w:t xml:space="preserve">Q2. Can I use my family's existing health insurance instead of the University policy?</w:t>
      </w:r>
    </w:p>
    <w:p>
      <w:pPr>
        <w:spacing w:after="100" w:line="300"/>
      </w:pPr>
      <w:r>
        <w:rPr>
          <w:sz w:val="22"/>
          <w:szCs w:val="22"/>
        </w:rPr>
        <w:t xml:space="preserve">A: The University Group Mediclaim Policy is mandatory for all students; a personal/family policy may be used in addition but does not exempt enrolment in the University scheme.</w:t>
      </w:r>
    </w:p>
    <w:p>
      <w:pPr>
        <w:spacing w:after="60" w:before="180"/>
      </w:pPr>
      <w:r>
        <w:rPr>
          <w:b/>
          <w:bCs/>
          <w:sz w:val="22"/>
          <w:szCs w:val="22"/>
        </w:rPr>
        <w:t xml:space="preserve">Q3. Does the Health Centre provide services to visiting family members?</w:t>
      </w:r>
    </w:p>
    <w:p>
      <w:pPr>
        <w:spacing w:after="100" w:line="300"/>
      </w:pPr>
      <w:r>
        <w:rPr>
          <w:sz w:val="22"/>
          <w:szCs w:val="22"/>
        </w:rPr>
        <w:t xml:space="preserve">A: No, Health Centre services are reserved exclusively for registered students, faculty, and staff.</w:t>
      </w:r>
    </w:p>
    <w:p>
      <w:pPr>
        <w:pStyle w:val="Heading1"/>
        <w:spacing w:after="160" w:before="340"/>
      </w:pPr>
      <w:r>
        <w:rPr>
          <w:b/>
          <w:bCs/>
          <w:color w:val="1B2A5B"/>
        </w:rPr>
        <w:t xml:space="preserve">15.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 / Phone</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University Health Centre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Anjali Bhatia, Chief Medical Officer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+91-124-2266911</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Insurance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Tarun Malik</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insurance@krmangalam.edu.in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Student Wellness Centre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Priya Nanda, Counselling Psychologist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wellness@krmangalam.edu.in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Health &amp; Insurance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2026-08-08T07:54:30.177Z</dcterms:created>
  <dcterms:modified xsi:type="dcterms:W3CDTF">2026-08-08T07:54:30.177Z</dcterms:modified>
</cp:coreProperties>
</file>

<file path=docProps/custom.xml><?xml version="1.0" encoding="utf-8"?>
<Properties xmlns="http://schemas.openxmlformats.org/officeDocument/2006/custom-properties" xmlns:vt="http://schemas.openxmlformats.org/officeDocument/2006/docPropsVTypes"/>
</file>