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jc w:val="center"/>
      </w:pPr>
      <w:r>
        <w:rPr>
          <w:b/>
          <w:bCs/>
          <w:color w:val="1B2A5B"/>
          <w:sz w:val="40"/>
          <w:szCs w:val="40"/>
        </w:rPr>
        <w:t xml:space="preserve">K.R. MANGALAM UNIVERSITY</w:t>
      </w:r>
    </w:p>
    <w:p>
      <w:pPr>
        <w:spacing w:after="300"/>
        <w:jc w:val="center"/>
      </w:pPr>
      <w:r>
        <w:rPr>
          <w:color w:val="666666"/>
          <w:sz w:val="18"/>
          <w:szCs w:val="18"/>
        </w:rPr>
        <w:t xml:space="preserve">Sohna Road, Gurugram, Haryana – 122103 | www.krmangalam.edu.in</w:t>
      </w:r>
    </w:p>
    <w:p>
      <w:pPr>
        <w:pBdr>
          <w:top w:val="single" w:color="B08D2B" w:sz="6"/>
          <w:bottom w:val="single" w:color="B08D2B" w:sz="6"/>
        </w:pBdr>
        <w:spacing w:after="200" w:before="200"/>
      </w:pPr>
      <w:r>
        <w:t xml:space="preserve"/>
      </w:r>
    </w:p>
    <w:p>
      <w:pPr>
        <w:spacing w:before="600"/>
      </w:pPr>
      <w:r>
        <w:t xml:space="preserve"/>
      </w:r>
    </w:p>
    <w:p>
      <w:pPr>
        <w:spacing w:after="200"/>
        <w:jc w:val="center"/>
      </w:pPr>
      <w:r>
        <w:rPr>
          <w:b/>
          <w:bCs/>
          <w:color w:val="B08D2B"/>
          <w:sz w:val="24"/>
          <w:szCs w:val="24"/>
        </w:rPr>
        <w:t xml:space="preserve">OFFICIAL POLICY DOCUMENT</w:t>
      </w:r>
    </w:p>
    <w:p>
      <w:pPr>
        <w:spacing w:after="600"/>
        <w:jc w:val="center"/>
      </w:pPr>
      <w:r>
        <w:rPr>
          <w:b/>
          <w:bCs/>
          <w:sz w:val="44"/>
          <w:szCs w:val="44"/>
        </w:rPr>
        <w:t xml:space="preserve">Sports &amp; Physical Education Policy</w:t>
      </w:r>
    </w:p>
    <w:p>
      <w:pPr>
        <w:spacing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B2A5B" w:val="clear"/>
            <w:tcMar>
              <w:top w:type="dxa" w:w="80"/>
              <w:left w:type="dxa" w:w="100"/>
              <w:bottom w:type="dxa" w:w="80"/>
              <w:right w:type="dxa" w:w="100"/>
            </w:tcMar>
            <w:vAlign w:val="center"/>
          </w:tcPr>
          <w:p>
            <w:pPr>
              <w:jc w:val="left"/>
            </w:pPr>
            <w:r>
              <w:rPr>
                <w:b/>
                <w:bCs/>
                <w:color w:val="FFFFFF"/>
                <w:sz w:val="21"/>
                <w:szCs w:val="21"/>
              </w:rPr>
              <w:t xml:space="preserve">Field</w:t>
            </w:r>
          </w:p>
        </w:tc>
        <w:tc>
          <w:tcPr>
            <w:tcW w:type="dxa" w:w="6360"/>
            <w:shd w:fill="1B2A5B" w:val="clear"/>
            <w:tcMar>
              <w:top w:type="dxa" w:w="80"/>
              <w:left w:type="dxa" w:w="100"/>
              <w:bottom w:type="dxa" w:w="80"/>
              <w:right w:type="dxa" w:w="100"/>
            </w:tcMar>
            <w:vAlign w:val="center"/>
          </w:tcPr>
          <w:p>
            <w:pPr>
              <w:jc w:val="left"/>
            </w:pPr>
            <w:r>
              <w:rPr>
                <w:b/>
                <w:bCs/>
                <w:color w:val="FFFFFF"/>
                <w:sz w:val="21"/>
                <w:szCs w:val="21"/>
              </w:rPr>
              <w:t xml:space="preserve">Detail</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Notice Number</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KRMU/SPT/POL/2026-27/010</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Effective Date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1 July 2026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Version</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Version 1.6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Approved By</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Office of the Registrar, K.R. Mangalam University</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Applicable To</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All students, faculty, and staff, Academic Session 2026–2027</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Review Cycle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Annual, or as directed by the Academic Council</w:t>
            </w:r>
          </w:p>
        </w:tc>
      </w:tr>
    </w:tbl>
    <w:p>
      <w:r>
        <w:br w:type="page"/>
      </w:r>
    </w:p>
    <w:p>
      <w:pPr>
        <w:pStyle w:val="Heading1"/>
        <w:spacing w:after="160" w:before="340"/>
      </w:pPr>
      <w:r>
        <w:rPr>
          <w:b/>
          <w:bCs/>
          <w:color w:val="1B2A5B"/>
        </w:rPr>
        <w:t xml:space="preserve">Document Control &amp; Revision History</w:t>
      </w:r>
    </w:p>
    <w:p>
      <w:pPr>
        <w:spacing w:after="160" w:line="300"/>
      </w:pPr>
      <w:r>
        <w:rPr>
          <w:sz w:val="22"/>
          <w:szCs w:val="22"/>
        </w:rPr>
        <w:t xml:space="preserve">This document, "Sports &amp; Physical Education Policy," is maintained by the concerned administrative office of K.R. Mangalam University and is subject to periodic review. The table below records the revision history of this document under notice number KRMU/SPT/POL/2026-27/010.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400"/>
        <w:gridCol w:w="1660"/>
      </w:tblGrid>
      <w:tr>
        <w:tc>
          <w:tcPr>
            <w:tcW w:type="dxa" w:w="1400"/>
            <w:shd w:fill="1B2A5B" w:val="clear"/>
            <w:tcMar>
              <w:top w:type="dxa" w:w="80"/>
              <w:left w:type="dxa" w:w="100"/>
              <w:bottom w:type="dxa" w:w="80"/>
              <w:right w:type="dxa" w:w="100"/>
            </w:tcMar>
            <w:vAlign w:val="center"/>
          </w:tcPr>
          <w:p>
            <w:pPr>
              <w:jc w:val="left"/>
            </w:pPr>
            <w:r>
              <w:rPr>
                <w:b/>
                <w:bCs/>
                <w:color w:val="FFFFFF"/>
                <w:sz w:val="21"/>
                <w:szCs w:val="21"/>
              </w:rPr>
              <w:t xml:space="preserve">Version</w:t>
            </w:r>
          </w:p>
        </w:tc>
        <w:tc>
          <w:tcPr>
            <w:tcW w:type="dxa" w:w="1900"/>
            <w:shd w:fill="1B2A5B" w:val="clear"/>
            <w:tcMar>
              <w:top w:type="dxa" w:w="80"/>
              <w:left w:type="dxa" w:w="100"/>
              <w:bottom w:type="dxa" w:w="80"/>
              <w:right w:type="dxa" w:w="100"/>
            </w:tcMar>
            <w:vAlign w:val="center"/>
          </w:tcPr>
          <w:p>
            <w:pPr>
              <w:jc w:val="left"/>
            </w:pPr>
            <w:r>
              <w:rPr>
                <w:b/>
                <w:bCs/>
                <w:color w:val="FFFFFF"/>
                <w:sz w:val="21"/>
                <w:szCs w:val="21"/>
              </w:rPr>
              <w:t xml:space="preserve">Date</w:t>
            </w:r>
          </w:p>
        </w:tc>
        <w:tc>
          <w:tcPr>
            <w:tcW w:type="dxa" w:w="4400"/>
            <w:shd w:fill="1B2A5B" w:val="clear"/>
            <w:tcMar>
              <w:top w:type="dxa" w:w="80"/>
              <w:left w:type="dxa" w:w="100"/>
              <w:bottom w:type="dxa" w:w="80"/>
              <w:right w:type="dxa" w:w="100"/>
            </w:tcMar>
            <w:vAlign w:val="center"/>
          </w:tcPr>
          <w:p>
            <w:pPr>
              <w:jc w:val="left"/>
            </w:pPr>
            <w:r>
              <w:rPr>
                <w:b/>
                <w:bCs/>
                <w:color w:val="FFFFFF"/>
                <w:sz w:val="21"/>
                <w:szCs w:val="21"/>
              </w:rPr>
              <w:t xml:space="preserve">Summary of Change</w:t>
            </w:r>
          </w:p>
        </w:tc>
        <w:tc>
          <w:tcPr>
            <w:tcW w:type="dxa" w:w="1660"/>
            <w:shd w:fill="1B2A5B" w:val="clear"/>
            <w:tcMar>
              <w:top w:type="dxa" w:w="80"/>
              <w:left w:type="dxa" w:w="100"/>
              <w:bottom w:type="dxa" w:w="80"/>
              <w:right w:type="dxa" w:w="100"/>
            </w:tcMar>
            <w:vAlign w:val="center"/>
          </w:tcPr>
          <w:p>
            <w:pPr>
              <w:jc w:val="left"/>
            </w:pPr>
            <w:r>
              <w:rPr>
                <w:b/>
                <w:bCs/>
                <w:color w:val="FFFFFF"/>
                <w:sz w:val="21"/>
                <w:szCs w:val="21"/>
              </w:rPr>
              <w:t xml:space="preserve">Approved By</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15 June 2024</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Initial release for Academic Session 2024–2025</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10 June 2025</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updated fee/fine figures and contact details</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1.6</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 July 2026</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for Academic Session 2026–2027; policy realigned with current ERP workflow</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Office of the Registrar</w:t>
            </w:r>
          </w:p>
        </w:tc>
      </w:tr>
    </w:tbl>
    <w:p>
      <w:pPr>
        <w:spacing w:after="160"/>
      </w:pPr>
    </w:p>
    <w:p>
      <w:pPr>
        <w:pStyle w:val="Heading1"/>
        <w:spacing w:after="160" w:before="340"/>
      </w:pPr>
      <w:r>
        <w:rPr>
          <w:b/>
          <w:bCs/>
          <w:color w:val="1B2A5B"/>
        </w:rPr>
        <w:t xml:space="preserve">Related Documents</w:t>
      </w:r>
    </w:p>
    <w:p>
      <w:pPr>
        <w:spacing w:after="160" w:line="300"/>
      </w:pPr>
      <w:r>
        <w:rPr>
          <w:sz w:val="22"/>
          <w:szCs w:val="22"/>
        </w:rPr>
        <w:t xml:space="preserve">Readers of "Sports Policy 2026–27" should also refer to the following related official documents for a complete understanding of University policy:</w:t>
      </w:r>
    </w:p>
    <w:p>
      <w:pPr>
        <w:pStyle w:val="ListParagraph"/>
        <w:numPr>
          <w:ilvl w:val="0"/>
          <w:numId w:val="2"/>
        </w:numPr>
        <w:spacing w:after="100" w:line="300"/>
      </w:pPr>
      <w:r>
        <w:rPr>
          <w:sz w:val="22"/>
          <w:szCs w:val="22"/>
        </w:rPr>
        <w:t xml:space="preserve">University Attendance Policy (Academic Session 2026–2027)</w:t>
      </w:r>
    </w:p>
    <w:p>
      <w:pPr>
        <w:pStyle w:val="ListParagraph"/>
        <w:numPr>
          <w:ilvl w:val="0"/>
          <w:numId w:val="2"/>
        </w:numPr>
        <w:spacing w:after="100" w:line="300"/>
      </w:pPr>
      <w:r>
        <w:rPr>
          <w:sz w:val="22"/>
          <w:szCs w:val="22"/>
        </w:rPr>
        <w:t xml:space="preserve">Examination Rules &amp; Evaluation Policy (2026–2027)</w:t>
      </w:r>
    </w:p>
    <w:p>
      <w:pPr>
        <w:pStyle w:val="ListParagraph"/>
        <w:numPr>
          <w:ilvl w:val="0"/>
          <w:numId w:val="2"/>
        </w:numPr>
        <w:spacing w:after="100" w:line="300"/>
      </w:pPr>
      <w:r>
        <w:rPr>
          <w:sz w:val="22"/>
          <w:szCs w:val="22"/>
        </w:rPr>
        <w:t xml:space="preserve">Student Code of Conduct &amp; Discipline Policy</w:t>
      </w:r>
    </w:p>
    <w:p>
      <w:pPr>
        <w:pStyle w:val="ListParagraph"/>
        <w:numPr>
          <w:ilvl w:val="0"/>
          <w:numId w:val="2"/>
        </w:numPr>
        <w:spacing w:after="100" w:line="300"/>
      </w:pPr>
      <w:r>
        <w:rPr>
          <w:sz w:val="22"/>
          <w:szCs w:val="22"/>
        </w:rPr>
        <w:t xml:space="preserve">Hostel Rules &amp; Residential Handbook (2026–2027)</w:t>
      </w:r>
    </w:p>
    <w:p>
      <w:pPr>
        <w:pStyle w:val="ListParagraph"/>
        <w:numPr>
          <w:ilvl w:val="0"/>
          <w:numId w:val="2"/>
        </w:numPr>
        <w:spacing w:after="100" w:line="300"/>
      </w:pPr>
      <w:r>
        <w:rPr>
          <w:sz w:val="22"/>
          <w:szCs w:val="22"/>
        </w:rPr>
        <w:t xml:space="preserve">Campus IT Services &amp; Digital Identity Guide</w:t>
      </w:r>
    </w:p>
    <w:p>
      <w:pPr>
        <w:spacing w:after="160" w:line="300"/>
      </w:pPr>
      <w:r>
        <w:rPr>
          <w:sz w:val="22"/>
          <w:szCs w:val="22"/>
        </w:rPr>
        <w:t xml:space="preserve">Where any provision of this document conflicts with a related policy listed above, the more recently notified document shall prevail, unless otherwise specified by the Office of the Registrar.</w:t>
      </w:r>
    </w:p>
    <w:p>
      <w:pPr>
        <w:pStyle w:val="Heading1"/>
        <w:spacing w:after="160" w:before="340"/>
      </w:pPr>
      <w:r>
        <w:rPr>
          <w:b/>
          <w:bCs/>
          <w:color w:val="1B2A5B"/>
        </w:rPr>
        <w:t xml:space="preserve">1. Purpose</w:t>
      </w:r>
    </w:p>
    <w:p>
      <w:pPr>
        <w:spacing w:after="160" w:line="300"/>
      </w:pPr>
      <w:r>
        <w:rPr>
          <w:sz w:val="22"/>
          <w:szCs w:val="22"/>
        </w:rPr>
        <w:t xml:space="preserve">This policy governs access to sporting facilities, participation in inter-university tournaments, sports scholarships administration, and safety protocols for the Department of Sports &amp; Physical Education at K.R. Mangalam University for the Academic Session 2026–2027.</w:t>
      </w:r>
    </w:p>
    <w:p>
      <w:pPr>
        <w:pStyle w:val="Heading1"/>
        <w:spacing w:after="160" w:before="340"/>
      </w:pPr>
      <w:r>
        <w:rPr>
          <w:b/>
          <w:bCs/>
          <w:color w:val="1B2A5B"/>
        </w:rPr>
        <w:t xml:space="preserve">2. Facilities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Facility</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Location</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Multipurpose Indoor Sports Complex</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Block F</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Cricket &amp; Football Ground</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North Campus Grounds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Swimming Pool (Olympic-size)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Sports Complex, Level 1</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Basketball &amp; Volleyball Courts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Outdoor Courts, Block F Annexe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Gymnasium</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Block F, Ground Floor</w:t>
            </w:r>
          </w:p>
        </w:tc>
      </w:tr>
    </w:tbl>
    <w:p>
      <w:pPr>
        <w:spacing w:after="160"/>
      </w:pPr>
    </w:p>
    <w:p>
      <w:pPr>
        <w:pStyle w:val="Heading1"/>
        <w:spacing w:after="160" w:before="340"/>
      </w:pPr>
      <w:r>
        <w:rPr>
          <w:b/>
          <w:bCs/>
          <w:color w:val="1B2A5B"/>
        </w:rPr>
        <w:t xml:space="preserve">3. Facility Access &amp; Timings</w:t>
      </w:r>
    </w:p>
    <w:p>
      <w:pPr>
        <w:pStyle w:val="ListParagraph"/>
        <w:numPr>
          <w:ilvl w:val="0"/>
          <w:numId w:val="2"/>
        </w:numPr>
        <w:spacing w:after="100" w:line="300"/>
      </w:pPr>
      <w:r>
        <w:rPr>
          <w:sz w:val="22"/>
          <w:szCs w:val="22"/>
        </w:rPr>
        <w:t xml:space="preserve">Facilities are open to all registered students and staff, Monday–Saturday, 6:00 AM–9:00 PM.</w:t>
      </w:r>
    </w:p>
    <w:p>
      <w:pPr>
        <w:pStyle w:val="ListParagraph"/>
        <w:numPr>
          <w:ilvl w:val="0"/>
          <w:numId w:val="2"/>
        </w:numPr>
        <w:spacing w:after="100" w:line="300"/>
      </w:pPr>
      <w:r>
        <w:rPr>
          <w:sz w:val="22"/>
          <w:szCs w:val="22"/>
        </w:rPr>
        <w:t xml:space="preserve">Priority booking is given to University teams during tournament preparation periods.</w:t>
      </w:r>
    </w:p>
    <w:p>
      <w:pPr>
        <w:pStyle w:val="ListParagraph"/>
        <w:numPr>
          <w:ilvl w:val="0"/>
          <w:numId w:val="2"/>
        </w:numPr>
        <w:spacing w:after="100" w:line="300"/>
      </w:pPr>
      <w:r>
        <w:rPr>
          <w:sz w:val="22"/>
          <w:szCs w:val="22"/>
        </w:rPr>
        <w:t xml:space="preserve">Gym access requires a mandatory fitness induction session and medical fitness declaration.</w:t>
      </w:r>
    </w:p>
    <w:p>
      <w:pPr>
        <w:pStyle w:val="Heading1"/>
        <w:spacing w:after="160" w:before="340"/>
      </w:pPr>
      <w:r>
        <w:rPr>
          <w:b/>
          <w:bCs/>
          <w:color w:val="1B2A5B"/>
        </w:rPr>
        <w:t xml:space="preserve">4. University Teams &amp; Trials</w:t>
      </w:r>
    </w:p>
    <w:p>
      <w:pPr>
        <w:spacing w:after="160" w:line="300"/>
      </w:pPr>
      <w:r>
        <w:rPr>
          <w:sz w:val="22"/>
          <w:szCs w:val="22"/>
        </w:rPr>
        <w:t xml:space="preserve">Open trials for University representative teams (cricket, football, basketball, athletics, badminton, and swimming) are conducted at the start of each academic session. Selected students are registered under the Sports Quota and are eligible for attendance condonation as per the University Attendance Policy, Section 7.</w:t>
      </w:r>
    </w:p>
    <w:p>
      <w:pPr>
        <w:pStyle w:val="Heading1"/>
        <w:spacing w:after="160" w:before="340"/>
      </w:pPr>
      <w:r>
        <w:rPr>
          <w:b/>
          <w:bCs/>
          <w:color w:val="1B2A5B"/>
        </w:rPr>
        <w:t xml:space="preserve">5. Inter-University Tournament Participation</w:t>
      </w:r>
    </w:p>
    <w:p>
      <w:pPr>
        <w:pStyle w:val="ListParagraph"/>
        <w:numPr>
          <w:ilvl w:val="0"/>
          <w:numId w:val="2"/>
        </w:numPr>
        <w:spacing w:after="100" w:line="300"/>
      </w:pPr>
      <w:r>
        <w:rPr>
          <w:sz w:val="22"/>
          <w:szCs w:val="22"/>
        </w:rPr>
        <w:t xml:space="preserve">The University participates in Association of Indian Universities (AIU) zonal and national tournaments, as well as state-level collegiate meets.</w:t>
      </w:r>
    </w:p>
    <w:p>
      <w:pPr>
        <w:pStyle w:val="ListParagraph"/>
        <w:numPr>
          <w:ilvl w:val="0"/>
          <w:numId w:val="2"/>
        </w:numPr>
        <w:spacing w:after="100" w:line="300"/>
      </w:pPr>
      <w:r>
        <w:rPr>
          <w:sz w:val="22"/>
          <w:szCs w:val="22"/>
        </w:rPr>
        <w:t xml:space="preserve">Travel, accommodation, and kit expenses for approved tournaments are borne by the University.</w:t>
      </w:r>
    </w:p>
    <w:p>
      <w:pPr>
        <w:pStyle w:val="ListParagraph"/>
        <w:numPr>
          <w:ilvl w:val="0"/>
          <w:numId w:val="2"/>
        </w:numPr>
        <w:spacing w:after="100" w:line="300"/>
      </w:pPr>
      <w:r>
        <w:rPr>
          <w:sz w:val="22"/>
          <w:szCs w:val="22"/>
        </w:rPr>
        <w:t xml:space="preserve">Team captains must submit a post-tournament report to the Director, Sports &amp; Physical Education within 5 working days.</w:t>
      </w:r>
    </w:p>
    <w:p>
      <w:pPr>
        <w:pStyle w:val="Heading1"/>
        <w:spacing w:after="160" w:before="340"/>
      </w:pPr>
      <w:r>
        <w:rPr>
          <w:b/>
          <w:bCs/>
          <w:color w:val="1B2A5B"/>
        </w:rPr>
        <w:t xml:space="preserve">6. Sports Scholarship Administration</w:t>
      </w:r>
    </w:p>
    <w:p>
      <w:pPr>
        <w:spacing w:after="160" w:line="300"/>
      </w:pPr>
      <w:r>
        <w:rPr>
          <w:sz w:val="22"/>
          <w:szCs w:val="22"/>
        </w:rPr>
        <w:t xml:space="preserve">Sports scholarships are awarded per the criteria detailed in the Scholarship &amp; Financial Aid Handbook, Section 3. The Department of Sports &amp; Physical Education certifies achievement level and forwards recommendations to the Financial Aid Committee each academic year.</w:t>
      </w:r>
    </w:p>
    <w:p>
      <w:pPr>
        <w:pStyle w:val="Heading1"/>
        <w:spacing w:after="160" w:before="340"/>
      </w:pPr>
      <w:r>
        <w:rPr>
          <w:b/>
          <w:bCs/>
          <w:color w:val="1B2A5B"/>
        </w:rPr>
        <w:t xml:space="preserve">7. Equipment Issue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Category</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Deposit Required</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Standard Sports Kit (bats, balls, nets)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₹500 refundable deposit</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Specialised Equipment (swimming gear, athletics blocks)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₹1,000 refundable deposit</w:t>
            </w:r>
          </w:p>
        </w:tc>
      </w:tr>
    </w:tbl>
    <w:p>
      <w:pPr>
        <w:spacing w:after="160"/>
      </w:pPr>
    </w:p>
    <w:p>
      <w:pPr>
        <w:spacing w:after="160" w:line="300"/>
      </w:pPr>
      <w:r>
        <w:rPr>
          <w:sz w:val="22"/>
          <w:szCs w:val="22"/>
        </w:rPr>
        <w:t xml:space="preserve">Equipment must be returned within 7 days of issue; damaged or unreturned equipment results in forfeiture of the deposit and, where applicable, recovery of replacement cost.</w:t>
      </w:r>
    </w:p>
    <w:p>
      <w:pPr>
        <w:pStyle w:val="Heading1"/>
        <w:spacing w:after="160" w:before="340"/>
      </w:pPr>
      <w:r>
        <w:rPr>
          <w:b/>
          <w:bCs/>
          <w:color w:val="1B2A5B"/>
        </w:rPr>
        <w:t xml:space="preserve">8. Safety &amp; Injury Protocol</w:t>
      </w:r>
    </w:p>
    <w:p>
      <w:pPr>
        <w:pStyle w:val="ListParagraph"/>
        <w:numPr>
          <w:ilvl w:val="0"/>
          <w:numId w:val="3"/>
        </w:numPr>
        <w:spacing w:after="100" w:line="300"/>
      </w:pPr>
      <w:r>
        <w:rPr>
          <w:sz w:val="22"/>
          <w:szCs w:val="22"/>
        </w:rPr>
        <w:t xml:space="preserve">All facility users must undergo a basic safety briefing before first use of specialised equipment (pool, gym machines).</w:t>
      </w:r>
    </w:p>
    <w:p>
      <w:pPr>
        <w:pStyle w:val="ListParagraph"/>
        <w:numPr>
          <w:ilvl w:val="0"/>
          <w:numId w:val="3"/>
        </w:numPr>
        <w:spacing w:after="100" w:line="300"/>
      </w:pPr>
      <w:r>
        <w:rPr>
          <w:sz w:val="22"/>
          <w:szCs w:val="22"/>
        </w:rPr>
        <w:t xml:space="preserve">In case of injury, the on-site sports physiotherapist provides first aid; serious injuries are referred to the University Health Centre.</w:t>
      </w:r>
    </w:p>
    <w:p>
      <w:pPr>
        <w:pStyle w:val="ListParagraph"/>
        <w:numPr>
          <w:ilvl w:val="0"/>
          <w:numId w:val="3"/>
        </w:numPr>
        <w:spacing w:after="100" w:line="300"/>
      </w:pPr>
      <w:r>
        <w:rPr>
          <w:sz w:val="22"/>
          <w:szCs w:val="22"/>
        </w:rPr>
        <w:t xml:space="preserve">An incident report is filed by the supervising coach within 24 hours of any injury on University sports premises.</w:t>
      </w:r>
    </w:p>
    <w:p>
      <w:pPr>
        <w:pStyle w:val="Heading1"/>
        <w:spacing w:after="160" w:before="340"/>
      </w:pPr>
      <w:r>
        <w:rPr>
          <w:b/>
          <w:bCs/>
          <w:color w:val="1B2A5B"/>
        </w:rPr>
        <w:t xml:space="preserve">9. Intramural Sports &amp; Fests</w:t>
      </w:r>
    </w:p>
    <w:p>
      <w:pPr>
        <w:spacing w:after="160" w:line="300"/>
      </w:pPr>
      <w:r>
        <w:rPr>
          <w:sz w:val="22"/>
          <w:szCs w:val="22"/>
        </w:rPr>
        <w:t xml:space="preserve">The annual intramural sports fest, "KRMU Khel Utsav," is held each October, featuring inter-school and inter-hostel competitions across 15+ sporting disciplines, open to all students regardless of prior sporting experience.</w:t>
      </w:r>
    </w:p>
    <w:p>
      <w:pPr>
        <w:pStyle w:val="Heading1"/>
        <w:spacing w:after="160" w:before="340"/>
      </w:pPr>
      <w:r>
        <w:rPr>
          <w:b/>
          <w:bCs/>
          <w:color w:val="1B2A5B"/>
        </w:rPr>
        <w:t xml:space="preserve">10. Code of Conduct for Athletes</w:t>
      </w:r>
    </w:p>
    <w:p>
      <w:pPr>
        <w:pStyle w:val="ListParagraph"/>
        <w:numPr>
          <w:ilvl w:val="0"/>
          <w:numId w:val="2"/>
        </w:numPr>
        <w:spacing w:after="100" w:line="300"/>
      </w:pPr>
      <w:r>
        <w:rPr>
          <w:sz w:val="22"/>
          <w:szCs w:val="22"/>
        </w:rPr>
        <w:t xml:space="preserve">Athletes representing the University must maintain discipline and sportsmanship at all times during official events.</w:t>
      </w:r>
    </w:p>
    <w:p>
      <w:pPr>
        <w:pStyle w:val="ListParagraph"/>
        <w:numPr>
          <w:ilvl w:val="0"/>
          <w:numId w:val="2"/>
        </w:numPr>
        <w:spacing w:after="100" w:line="300"/>
      </w:pPr>
      <w:r>
        <w:rPr>
          <w:sz w:val="22"/>
          <w:szCs w:val="22"/>
        </w:rPr>
        <w:t xml:space="preserve">Use of banned performance-enhancing substances is strictly prohibited and subject to disciplinary action under the Student Code of Conduct.</w:t>
      </w:r>
    </w:p>
    <w:p>
      <w:pPr>
        <w:pStyle w:val="ListParagraph"/>
        <w:numPr>
          <w:ilvl w:val="0"/>
          <w:numId w:val="2"/>
        </w:numPr>
        <w:spacing w:after="100" w:line="300"/>
      </w:pPr>
      <w:r>
        <w:rPr>
          <w:sz w:val="22"/>
          <w:szCs w:val="22"/>
        </w:rPr>
        <w:t xml:space="preserve">Team selection decisions by the coaching staff are final and not subject to appeal except on grounds of procedural irregularity.</w:t>
      </w:r>
    </w:p>
    <w:p>
      <w:pPr>
        <w:pStyle w:val="Heading1"/>
        <w:spacing w:after="160" w:before="340"/>
      </w:pPr>
      <w:r>
        <w:rPr>
          <w:b/>
          <w:bCs/>
          <w:color w:val="1B2A5B"/>
        </w:rPr>
        <w:t xml:space="preserve">11. Recognition &amp; Sports Merit Certificates</w:t>
      </w:r>
    </w:p>
    <w:p>
      <w:pPr>
        <w:spacing w:after="160" w:line="300"/>
      </w:pPr>
      <w:r>
        <w:rPr>
          <w:sz w:val="22"/>
          <w:szCs w:val="22"/>
        </w:rPr>
        <w:t xml:space="preserve">Students representing the University at zonal, state, or national level are issued an official Sports Merit Certificate at the end of each academic year, which may be used to support scholarship applications, placement profiles, and further academic admissions.</w:t>
      </w:r>
    </w:p>
    <w:p>
      <w:pPr>
        <w:pStyle w:val="Heading1"/>
        <w:spacing w:after="160" w:before="340"/>
      </w:pPr>
      <w:r>
        <w:rPr>
          <w:b/>
          <w:bCs/>
          <w:color w:val="1B2A5B"/>
        </w:rPr>
        <w:t xml:space="preserve">12. Frequently Asked Questions</w:t>
      </w:r>
    </w:p>
    <w:p>
      <w:pPr>
        <w:spacing w:after="60" w:before="180"/>
      </w:pPr>
      <w:r>
        <w:rPr>
          <w:b/>
          <w:bCs/>
          <w:sz w:val="22"/>
          <w:szCs w:val="22"/>
        </w:rPr>
        <w:t xml:space="preserve">Q1. Do I need to be on a University team to use the sports facilities?</w:t>
      </w:r>
    </w:p>
    <w:p>
      <w:pPr>
        <w:spacing w:after="100" w:line="300"/>
      </w:pPr>
      <w:r>
        <w:rPr>
          <w:sz w:val="22"/>
          <w:szCs w:val="22"/>
        </w:rPr>
        <w:t xml:space="preserve">A: No, all registered students may use general facilities during open hours; team membership is only required for priority booking during tournament preparation.</w:t>
      </w:r>
    </w:p>
    <w:p>
      <w:pPr>
        <w:spacing w:after="60" w:before="180"/>
      </w:pPr>
      <w:r>
        <w:rPr>
          <w:b/>
          <w:bCs/>
          <w:sz w:val="22"/>
          <w:szCs w:val="22"/>
        </w:rPr>
        <w:t xml:space="preserve">Q2. Is there a fee to use the gymnasium?</w:t>
      </w:r>
    </w:p>
    <w:p>
      <w:pPr>
        <w:spacing w:after="100" w:line="300"/>
      </w:pPr>
      <w:r>
        <w:rPr>
          <w:sz w:val="22"/>
          <w:szCs w:val="22"/>
        </w:rPr>
        <w:t xml:space="preserve">A: No, gym access is included as part of the University fee structure, subject to completing the mandatory induction session.</w:t>
      </w:r>
    </w:p>
    <w:p>
      <w:pPr>
        <w:spacing w:after="60" w:before="180"/>
      </w:pPr>
      <w:r>
        <w:rPr>
          <w:b/>
          <w:bCs/>
          <w:sz w:val="22"/>
          <w:szCs w:val="22"/>
        </w:rPr>
        <w:t xml:space="preserve">Q3. How do I get certified proof of my sports participation for scholarship purposes?</w:t>
      </w:r>
    </w:p>
    <w:p>
      <w:pPr>
        <w:spacing w:after="100" w:line="300"/>
      </w:pPr>
      <w:r>
        <w:rPr>
          <w:sz w:val="22"/>
          <w:szCs w:val="22"/>
        </w:rPr>
        <w:t xml:space="preserve">A: Submit your participation/medal certificate to the Department of Sports &amp; Physical Education for verification and countersignature.</w:t>
      </w:r>
    </w:p>
    <w:p>
      <w:pPr>
        <w:pStyle w:val="Heading1"/>
        <w:spacing w:after="160" w:before="340"/>
      </w:pPr>
      <w:r>
        <w:rPr>
          <w:b/>
          <w:bCs/>
          <w:color w:val="1B2A5B"/>
        </w:rPr>
        <w:t xml:space="preserve">13.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Office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Contact Person</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Email</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Director, Sports &amp; Physical Education</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Mr. Harjeet Sandhu</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sports@krmangalam.edu.in</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Sports Physiotherapist</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Ms. Meenal Chopra</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sportsphysio@krmangalam.edu.in</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B" w:sz="4"/>
      </w:pBdr>
      <w:spacing w:before="60"/>
      <w:jc w:val="center"/>
    </w:pPr>
    <w:r>
      <w:rPr>
        <w:color w:val="666666"/>
        <w:sz w:val="16"/>
        <w:szCs w:val="16"/>
      </w:rPr>
      <w:t xml:space="preserve">Office of the Registrar | K.R. Mangalam University | Confidential – For Internal &amp; Student Use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B" w:sz="4"/>
      </w:pBdr>
      <w:tabs>
        <w:tab w:val="right" w:pos="9360"/>
      </w:tabs>
      <w:spacing w:after="60"/>
    </w:pPr>
    <w:r>
      <w:rPr>
        <w:b/>
        <w:bCs/>
        <w:color w:val="1B2A5B"/>
        <w:sz w:val="18"/>
        <w:szCs w:val="18"/>
      </w:rPr>
      <w:t xml:space="preserve">K.R. Mangalam University</w:t>
    </w:r>
    <w:r>
      <w:rPr>
        <w:color w:val="666666"/>
        <w:sz w:val="18"/>
        <w:szCs w:val="18"/>
      </w:rPr>
      <w:t xml:space="preserve">	Sports Policy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2026-08-08T07:54:30.215Z</dcterms:created>
  <dcterms:modified xsi:type="dcterms:W3CDTF">2026-08-08T07:54:30.215Z</dcterms:modified>
</cp:coreProperties>
</file>

<file path=docProps/custom.xml><?xml version="1.0" encoding="utf-8"?>
<Properties xmlns="http://schemas.openxmlformats.org/officeDocument/2006/custom-properties" xmlns:vt="http://schemas.openxmlformats.org/officeDocument/2006/docPropsVTypes"/>
</file>