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HANDBOOK</w:t>
      </w:r>
    </w:p>
    <w:p>
      <w:pPr>
        <w:spacing w:after="600"/>
        <w:jc w:val="center"/>
      </w:pPr>
      <w:r>
        <w:rPr>
          <w:b/>
          <w:bCs/>
          <w:sz w:val="44"/>
          <w:szCs w:val="44"/>
        </w:rPr>
        <w:t xml:space="preserve">Faculty Handbook</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KRMU/HR/FHB/2026-27/001</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April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4.1</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"Faculty Handbook," is maintained by the concerned administrative office of K.R. Mangalam University and is subject to periodic review. The table below records the revision history of this document under notice number KRMU/HR/FHB/2026-27/001.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4.1</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April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"Faculty Handbook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Welcome &amp; Institutional Overview</w:t>
      </w:r>
    </w:p>
    <w:p>
      <w:pPr>
        <w:spacing w:after="160" w:line="300"/>
      </w:pPr>
      <w:r>
        <w:rPr>
          <w:sz w:val="22"/>
          <w:szCs w:val="22"/>
        </w:rPr>
        <w:t xml:space="preserve">This Faculty Handbook serves as the primary reference document for all teaching staff at K.R. Mangalam University, consolidating key policies on workload, leave, appraisal, and academic responsibilities for the Academic Session 2026–2027. It should be read alongside the specific policy documents it references.</w:t>
      </w:r>
    </w:p>
    <w:p>
      <w:pPr>
        <w:pStyle w:val="Heading1"/>
        <w:spacing w:after="160" w:before="340"/>
      </w:pPr>
      <w:r>
        <w:rPr>
          <w:b/>
          <w:bCs/>
          <w:color w:val="1B2A5B"/>
        </w:rPr>
        <w:t xml:space="preserve">2. Teaching Workload Norms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Designation</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Weekly Teaching Hours (Minimum)</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Assistant Professor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16 hours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Associate Professor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14 hours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Professor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12 hours</w:t>
            </w:r>
          </w:p>
        </w:tc>
      </w:tr>
    </w:tbl>
    <w:p>
      <w:pPr>
        <w:spacing w:after="160"/>
      </w:pPr>
    </w:p>
    <w:p>
      <w:pPr>
        <w:spacing w:after="160" w:line="300"/>
      </w:pPr>
      <w:r>
        <w:rPr>
          <w:sz w:val="22"/>
          <w:szCs w:val="22"/>
        </w:rPr>
        <w:t xml:space="preserve">Workload allocation also accounts for administrative responsibilities, research supervision, and committee duties, as approved by the Head of Department each semester.</w:t>
      </w:r>
    </w:p>
    <w:p>
      <w:pPr>
        <w:pStyle w:val="Heading1"/>
        <w:spacing w:after="160" w:before="340"/>
      </w:pPr>
      <w:r>
        <w:rPr>
          <w:b/>
          <w:bCs/>
          <w:color w:val="1B2A5B"/>
        </w:rPr>
        <w:t xml:space="preserve">3. Academic Calendar Responsibilities</w:t>
      </w:r>
    </w:p>
    <w:p>
      <w:pPr>
        <w:pStyle w:val="ListParagraph"/>
        <w:numPr>
          <w:ilvl w:val="0"/>
          <w:numId w:val="2"/>
        </w:numPr>
        <w:spacing w:after="100" w:line="300"/>
      </w:pPr>
      <w:r>
        <w:rPr>
          <w:sz w:val="22"/>
          <w:szCs w:val="22"/>
        </w:rPr>
        <w:t xml:space="preserve">Submit course files (syllabus, session plan, question bank) to the Head of Department before the start of each semester.</w:t>
      </w:r>
    </w:p>
    <w:p>
      <w:pPr>
        <w:pStyle w:val="ListParagraph"/>
        <w:numPr>
          <w:ilvl w:val="0"/>
          <w:numId w:val="2"/>
        </w:numPr>
        <w:spacing w:after="100" w:line="300"/>
      </w:pPr>
      <w:r>
        <w:rPr>
          <w:sz w:val="22"/>
          <w:szCs w:val="22"/>
        </w:rPr>
        <w:t xml:space="preserve">Ensure Internal Assessment marks are uploaded to the ERP within the timeline specified in the Examination Rules &amp; Evaluation Policy.</w:t>
      </w:r>
    </w:p>
    <w:p>
      <w:pPr>
        <w:pStyle w:val="ListParagraph"/>
        <w:numPr>
          <w:ilvl w:val="0"/>
          <w:numId w:val="2"/>
        </w:numPr>
        <w:spacing w:after="100" w:line="300"/>
      </w:pPr>
      <w:r>
        <w:rPr>
          <w:sz w:val="22"/>
          <w:szCs w:val="22"/>
        </w:rPr>
        <w:t xml:space="preserve">Participate in orientation, convocation, and other mandatory institutional events as notified.</w:t>
      </w:r>
    </w:p>
    <w:p>
      <w:pPr>
        <w:pStyle w:val="Heading1"/>
        <w:spacing w:after="160" w:before="340"/>
      </w:pPr>
      <w:r>
        <w:rPr>
          <w:b/>
          <w:bCs/>
          <w:color w:val="1B2A5B"/>
        </w:rPr>
        <w:t xml:space="preserve">4. Leave Policy for Faculty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Leave Type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Entitlement per Year</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Casual Leave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12 days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Earned Leave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15 days (accumulable up to 60 days)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Medical Leave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10 days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Maternity Leave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26 weeks (as per Maternity Benefit Act, 1961)</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Paternity Leave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15 days</w:t>
            </w:r>
          </w:p>
        </w:tc>
      </w:tr>
    </w:tbl>
    <w:p>
      <w:pPr>
        <w:spacing w:after="160"/>
      </w:pPr>
    </w:p>
    <w:p>
      <w:pPr>
        <w:pStyle w:val="Heading1"/>
        <w:spacing w:after="160" w:before="340"/>
      </w:pPr>
      <w:r>
        <w:rPr>
          <w:b/>
          <w:bCs/>
          <w:color w:val="1B2A5B"/>
        </w:rPr>
        <w:t xml:space="preserve">5. Leave Application Procedure</w:t>
      </w:r>
    </w:p>
    <w:p>
      <w:pPr>
        <w:pStyle w:val="ListParagraph"/>
        <w:numPr>
          <w:ilvl w:val="0"/>
          <w:numId w:val="3"/>
        </w:numPr>
        <w:spacing w:after="100" w:line="300"/>
      </w:pPr>
      <w:r>
        <w:rPr>
          <w:sz w:val="22"/>
          <w:szCs w:val="22"/>
        </w:rPr>
        <w:t xml:space="preserve">Apply through the HR ERP Leave Module at least 3 working days in advance (except medical emergencies).</w:t>
      </w:r>
    </w:p>
    <w:p>
      <w:pPr>
        <w:pStyle w:val="ListParagraph"/>
        <w:numPr>
          <w:ilvl w:val="0"/>
          <w:numId w:val="3"/>
        </w:numPr>
        <w:spacing w:after="100" w:line="300"/>
      </w:pPr>
      <w:r>
        <w:rPr>
          <w:sz w:val="22"/>
          <w:szCs w:val="22"/>
        </w:rPr>
        <w:t xml:space="preserve">Arrange for class coverage/handover with the Head of Department for any leave exceeding 2 days.</w:t>
      </w:r>
    </w:p>
    <w:p>
      <w:pPr>
        <w:pStyle w:val="ListParagraph"/>
        <w:numPr>
          <w:ilvl w:val="0"/>
          <w:numId w:val="3"/>
        </w:numPr>
        <w:spacing w:after="100" w:line="300"/>
      </w:pPr>
      <w:r>
        <w:rPr>
          <w:sz w:val="22"/>
          <w:szCs w:val="22"/>
        </w:rPr>
        <w:t xml:space="preserve">Leave is confirmed only upon HR system approval; unapproved absence is treated as unauthorised leave.</w:t>
      </w:r>
    </w:p>
    <w:p>
      <w:pPr>
        <w:pStyle w:val="Heading1"/>
        <w:spacing w:after="160" w:before="340"/>
      </w:pPr>
      <w:r>
        <w:rPr>
          <w:b/>
          <w:bCs/>
          <w:color w:val="1B2A5B"/>
        </w:rPr>
        <w:t xml:space="preserve">6. Faculty Development Programme (FDP) Support</w:t>
      </w:r>
    </w:p>
    <w:p>
      <w:pPr>
        <w:spacing w:after="160" w:line="300"/>
      </w:pPr>
      <w:r>
        <w:rPr>
          <w:sz w:val="22"/>
          <w:szCs w:val="22"/>
        </w:rPr>
        <w:t xml:space="preserve">Faculty members are encouraged to attend at least one Faculty Development Programme, workshop, or short-term course each academic year. The University sponsors registration fees up to ₹15,000 per faculty member annually for UGC-recognised FDPs, subject to Dean approval.</w:t>
      </w:r>
    </w:p>
    <w:p>
      <w:pPr>
        <w:pStyle w:val="Heading1"/>
        <w:spacing w:after="160" w:before="340"/>
      </w:pPr>
      <w:r>
        <w:rPr>
          <w:b/>
          <w:bCs/>
          <w:color w:val="1B2A5B"/>
        </w:rPr>
        <w:t xml:space="preserve">7. Mentorship Responsibilities</w:t>
      </w:r>
    </w:p>
    <w:p>
      <w:pPr>
        <w:spacing w:after="160" w:line="300"/>
      </w:pPr>
      <w:r>
        <w:rPr>
          <w:sz w:val="22"/>
          <w:szCs w:val="22"/>
        </w:rPr>
        <w:t xml:space="preserve">Every faculty member is assigned a group of 15–20 students as Faculty Mentor for the duration of their programme, responsible for academic guidance, attendance monitoring (per the University Attendance Policy), and general wellbeing check-ins each semester.</w:t>
      </w:r>
    </w:p>
    <w:p>
      <w:pPr>
        <w:pStyle w:val="Heading1"/>
        <w:spacing w:after="160" w:before="340"/>
      </w:pPr>
      <w:r>
        <w:rPr>
          <w:b/>
          <w:bCs/>
          <w:color w:val="1B2A5B"/>
        </w:rPr>
        <w:t xml:space="preserve">8. Committee Participation</w:t>
      </w:r>
    </w:p>
    <w:p>
      <w:pPr>
        <w:pStyle w:val="ListParagraph"/>
        <w:numPr>
          <w:ilvl w:val="0"/>
          <w:numId w:val="2"/>
        </w:numPr>
        <w:spacing w:after="100" w:line="300"/>
      </w:pPr>
      <w:r>
        <w:rPr>
          <w:sz w:val="22"/>
          <w:szCs w:val="22"/>
        </w:rPr>
        <w:t xml:space="preserve">Faculty members may be nominated to serve on committees such as the Unfair Means Committee, Grievance Redressal Committee, Internship Committee, or Board of Studies.</w:t>
      </w:r>
    </w:p>
    <w:p>
      <w:pPr>
        <w:pStyle w:val="ListParagraph"/>
        <w:numPr>
          <w:ilvl w:val="0"/>
          <w:numId w:val="2"/>
        </w:numPr>
        <w:spacing w:after="100" w:line="300"/>
      </w:pPr>
      <w:r>
        <w:rPr>
          <w:sz w:val="22"/>
          <w:szCs w:val="22"/>
        </w:rPr>
        <w:t xml:space="preserve">Committee assignments are typically for a 2-year term and are factored into the overall workload allocation.</w:t>
      </w:r>
    </w:p>
    <w:p>
      <w:pPr>
        <w:pStyle w:val="Heading1"/>
        <w:spacing w:after="160" w:before="340"/>
      </w:pPr>
      <w:r>
        <w:rPr>
          <w:b/>
          <w:bCs/>
          <w:color w:val="1B2A5B"/>
        </w:rPr>
        <w:t xml:space="preserve">9. Research &amp; Publication Expectations</w:t>
      </w:r>
    </w:p>
    <w:p>
      <w:pPr>
        <w:spacing w:after="160" w:line="300"/>
      </w:pPr>
      <w:r>
        <w:rPr>
          <w:sz w:val="22"/>
          <w:szCs w:val="22"/>
        </w:rPr>
        <w:t xml:space="preserve">Faculty members are expected to maintain an active research profile, with a minimum of one peer-reviewed publication every two years, in line with the expectations of the Career Advancement Scheme detailed in the Faculty Recruitment &amp; Career Progression Policy. Refer to the Research &amp; Publication Incentive Policy for applicable incentives.</w:t>
      </w:r>
    </w:p>
    <w:p>
      <w:pPr>
        <w:pStyle w:val="Heading1"/>
        <w:spacing w:after="160" w:before="340"/>
      </w:pPr>
      <w:r>
        <w:rPr>
          <w:b/>
          <w:bCs/>
          <w:color w:val="1B2A5B"/>
        </w:rPr>
        <w:t xml:space="preserve">10. Code of Professional Conduct</w:t>
      </w:r>
    </w:p>
    <w:p>
      <w:pPr>
        <w:pStyle w:val="ListParagraph"/>
        <w:numPr>
          <w:ilvl w:val="0"/>
          <w:numId w:val="2"/>
        </w:numPr>
        <w:spacing w:after="100" w:line="300"/>
      </w:pPr>
      <w:r>
        <w:rPr>
          <w:sz w:val="22"/>
          <w:szCs w:val="22"/>
        </w:rPr>
        <w:t xml:space="preserve">Maintain punctuality and professionalism in all classroom, examination, and administrative duties.</w:t>
      </w:r>
    </w:p>
    <w:p>
      <w:pPr>
        <w:pStyle w:val="ListParagraph"/>
        <w:numPr>
          <w:ilvl w:val="0"/>
          <w:numId w:val="2"/>
        </w:numPr>
        <w:spacing w:after="100" w:line="300"/>
      </w:pPr>
      <w:r>
        <w:rPr>
          <w:sz w:val="22"/>
          <w:szCs w:val="22"/>
        </w:rPr>
        <w:t xml:space="preserve">Treat all students, colleagues, and staff with respect and without discrimination.</w:t>
      </w:r>
    </w:p>
    <w:p>
      <w:pPr>
        <w:pStyle w:val="ListParagraph"/>
        <w:numPr>
          <w:ilvl w:val="0"/>
          <w:numId w:val="2"/>
        </w:numPr>
        <w:spacing w:after="100" w:line="300"/>
      </w:pPr>
      <w:r>
        <w:rPr>
          <w:sz w:val="22"/>
          <w:szCs w:val="22"/>
        </w:rPr>
        <w:t xml:space="preserve">Avoid conflicts of interest, including private tuition to enrolled students for a fee.</w:t>
      </w:r>
    </w:p>
    <w:p>
      <w:pPr>
        <w:pStyle w:val="ListParagraph"/>
        <w:numPr>
          <w:ilvl w:val="0"/>
          <w:numId w:val="2"/>
        </w:numPr>
        <w:spacing w:after="100" w:line="300"/>
      </w:pPr>
      <w:r>
        <w:rPr>
          <w:sz w:val="22"/>
          <w:szCs w:val="22"/>
        </w:rPr>
        <w:t xml:space="preserve">Maintain confidentiality of student records and internal University matters.</w:t>
      </w:r>
    </w:p>
    <w:p>
      <w:pPr>
        <w:pStyle w:val="Heading1"/>
        <w:spacing w:after="160" w:before="340"/>
      </w:pPr>
      <w:r>
        <w:rPr>
          <w:b/>
          <w:bCs/>
          <w:color w:val="1B2A5B"/>
        </w:rPr>
        <w:t xml:space="preserve">11. Grievance &amp; Support Mechanisms</w:t>
      </w:r>
    </w:p>
    <w:p>
      <w:pPr>
        <w:spacing w:after="160" w:line="300"/>
      </w:pPr>
      <w:r>
        <w:rPr>
          <w:sz w:val="22"/>
          <w:szCs w:val="22"/>
        </w:rPr>
        <w:t xml:space="preserve">Faculty members experiencing a workplace grievance may approach the Grievance Redressal Committee as outlined in the Student &amp; Faculty Grievance Redressal Policy, or HR directly for matters relating to service conditions, appraisal disputes, or interpersonal conflicts.</w:t>
      </w:r>
    </w:p>
    <w:p>
      <w:pPr>
        <w:pStyle w:val="Heading1"/>
        <w:spacing w:after="160" w:before="340"/>
      </w:pPr>
      <w:r>
        <w:rPr>
          <w:b/>
          <w:bCs/>
          <w:color w:val="1B2A5B"/>
        </w:rPr>
        <w:t xml:space="preserve">12. IT &amp; Campus Resource Access</w:t>
      </w:r>
    </w:p>
    <w:p>
      <w:pPr>
        <w:spacing w:after="160" w:line="300"/>
      </w:pPr>
      <w:r>
        <w:rPr>
          <w:sz w:val="22"/>
          <w:szCs w:val="22"/>
        </w:rPr>
        <w:t xml:space="preserve">Faculty members receive full access to the ERP, LMS, Digital Library (including IEEE, Springer, and ACM subscriptions), and VPN facilities as detailed in the Campus IT Services &amp; Digital Identity Guide, along with a University-issued laptop for academic use, subject to departmental asset policy.</w:t>
      </w:r>
    </w:p>
    <w:p>
      <w:pPr>
        <w:pStyle w:val="Heading1"/>
        <w:spacing w:after="160" w:before="340"/>
      </w:pPr>
      <w:r>
        <w:rPr>
          <w:b/>
          <w:bCs/>
          <w:color w:val="1B2A5B"/>
        </w:rPr>
        <w:t xml:space="preserve">13. Frequently Asked Questions</w:t>
      </w:r>
    </w:p>
    <w:p>
      <w:pPr>
        <w:spacing w:after="60" w:before="180"/>
      </w:pPr>
      <w:r>
        <w:rPr>
          <w:b/>
          <w:bCs/>
          <w:sz w:val="22"/>
          <w:szCs w:val="22"/>
        </w:rPr>
        <w:t xml:space="preserve">Q1. Can unused casual leave be carried forward to the next year?</w:t>
      </w:r>
    </w:p>
    <w:p>
      <w:pPr>
        <w:spacing w:after="100" w:line="300"/>
      </w:pPr>
      <w:r>
        <w:rPr>
          <w:sz w:val="22"/>
          <w:szCs w:val="22"/>
        </w:rPr>
        <w:t xml:space="preserve">A: No, casual leave lapses at the end of the calendar year and cannot be carried forward or encashed.</w:t>
      </w:r>
    </w:p>
    <w:p>
      <w:pPr>
        <w:spacing w:after="60" w:before="180"/>
      </w:pPr>
      <w:r>
        <w:rPr>
          <w:b/>
          <w:bCs/>
          <w:sz w:val="22"/>
          <w:szCs w:val="22"/>
        </w:rPr>
        <w:t xml:space="preserve">Q2. Is private tutoring of enrolled students permitted?</w:t>
      </w:r>
    </w:p>
    <w:p>
      <w:pPr>
        <w:spacing w:after="100" w:line="300"/>
      </w:pPr>
      <w:r>
        <w:rPr>
          <w:sz w:val="22"/>
          <w:szCs w:val="22"/>
        </w:rPr>
        <w:t xml:space="preserve">A: No, faculty members are prohibited from providing private paid tuition to students currently enrolled in their courses, as this constitutes a conflict of interest under the Code of Professional Conduct.</w:t>
      </w:r>
    </w:p>
    <w:p>
      <w:pPr>
        <w:spacing w:after="60" w:before="180"/>
      </w:pPr>
      <w:r>
        <w:rPr>
          <w:b/>
          <w:bCs/>
          <w:sz w:val="22"/>
          <w:szCs w:val="22"/>
        </w:rPr>
        <w:t xml:space="preserve">Q3. How is teaching workload adjusted for faculty on committee duties?</w:t>
      </w:r>
    </w:p>
    <w:p>
      <w:pPr>
        <w:spacing w:after="100" w:line="300"/>
      </w:pPr>
      <w:r>
        <w:rPr>
          <w:sz w:val="22"/>
          <w:szCs w:val="22"/>
        </w:rPr>
        <w:t xml:space="preserve">A: The Head of Department reduces teaching hours proportionally to accommodate significant committee or administrative responsibilities, subject to Dean approval.</w:t>
      </w:r>
    </w:p>
    <w:p>
      <w:pPr>
        <w:pStyle w:val="Heading1"/>
        <w:spacing w:after="160" w:before="340"/>
      </w:pPr>
      <w:r>
        <w:rPr>
          <w:b/>
          <w:bCs/>
          <w:color w:val="1B2A5B"/>
        </w:rPr>
        <w:t xml:space="preserve">14.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Office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Human Resources (Faculty Affairs)</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Ms. Ritu Dabas, HR Manager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hr.faculty@krmangalam.edu.in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Dr. Anil Kashyap, Registrar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registrar@krmangalam.edu.in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Faculty Handbook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2026-08-08T07:54:30.398Z</dcterms:created>
  <dcterms:modified xsi:type="dcterms:W3CDTF">2026-08-08T07:54:30.398Z</dcterms:modified>
</cp:coreProperties>
</file>

<file path=docProps/custom.xml><?xml version="1.0" encoding="utf-8"?>
<Properties xmlns="http://schemas.openxmlformats.org/officeDocument/2006/custom-properties" xmlns:vt="http://schemas.openxmlformats.org/officeDocument/2006/docPropsVTypes"/>
</file>