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529" w:rsidRDefault="00087529" w:rsidP="00087529">
      <w:pPr>
        <w:jc w:val="center"/>
        <w:rPr>
          <w:rFonts w:ascii="Arial Black" w:hAnsi="Arial Black"/>
          <w:b/>
          <w:color w:val="002060"/>
          <w:sz w:val="38"/>
          <w:szCs w:val="38"/>
          <w:u w:val="single"/>
        </w:rPr>
      </w:pPr>
      <w:r w:rsidRPr="00087529">
        <w:rPr>
          <w:rFonts w:ascii="Arial Black" w:hAnsi="Arial Black"/>
          <w:b/>
          <w:color w:val="002060"/>
          <w:sz w:val="38"/>
          <w:szCs w:val="38"/>
          <w:u w:val="single"/>
        </w:rPr>
        <w:t>A COLLEGE FOOD CHOICES CASE STUDY USING TABLEAU</w:t>
      </w:r>
    </w:p>
    <w:p w:rsidR="00087529" w:rsidRDefault="00087529" w:rsidP="00087529">
      <w:pPr>
        <w:rPr>
          <w:rFonts w:cstheme="minorHAnsi"/>
          <w:b/>
          <w:color w:val="002060"/>
          <w:sz w:val="28"/>
          <w:szCs w:val="38"/>
        </w:rPr>
      </w:pPr>
      <w:r w:rsidRPr="00087529">
        <w:rPr>
          <w:rFonts w:cstheme="minorHAnsi"/>
          <w:b/>
          <w:color w:val="002060"/>
          <w:sz w:val="28"/>
          <w:szCs w:val="38"/>
        </w:rPr>
        <w:t>Lifestyle Overview</w:t>
      </w:r>
      <w:r>
        <w:rPr>
          <w:rFonts w:cstheme="minorHAnsi"/>
          <w:b/>
          <w:color w:val="002060"/>
          <w:sz w:val="28"/>
          <w:szCs w:val="38"/>
        </w:rPr>
        <w:t xml:space="preserve">: </w:t>
      </w:r>
    </w:p>
    <w:p w:rsidR="00087529" w:rsidRPr="00087529" w:rsidRDefault="00087529" w:rsidP="00087529">
      <w:pPr>
        <w:rPr>
          <w:rFonts w:cstheme="minorHAnsi"/>
          <w:b/>
          <w:color w:val="002060"/>
          <w:sz w:val="28"/>
          <w:szCs w:val="38"/>
        </w:rPr>
      </w:pPr>
      <w:r w:rsidRPr="00087529">
        <w:rPr>
          <w:rFonts w:cstheme="minorHAnsi"/>
          <w:color w:val="000000" w:themeColor="text1"/>
          <w:sz w:val="28"/>
          <w:szCs w:val="38"/>
        </w:rPr>
        <w:t>This dashboard provides a Lifestyle Overview of students, showcasing gender and marital status, employment types, GPA distribution, and perceptions of life rewarding experiences.</w:t>
      </w:r>
    </w:p>
    <w:p w:rsidR="00A469CC" w:rsidRDefault="0008752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107373</wp:posOffset>
            </wp:positionH>
            <wp:positionV relativeFrom="paragraph">
              <wp:posOffset>514523</wp:posOffset>
            </wp:positionV>
            <wp:extent cx="1979295" cy="1094509"/>
            <wp:effectExtent l="0" t="0" r="1905" b="0"/>
            <wp:wrapNone/>
            <wp:docPr id="8" name="Picture 8" descr="C:\Users\DELL\AppData\Local\Microsoft\Windows\INetCache\Content.MSO\730ABE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730ABE8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14" cy="109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42BE3C7" wp14:editId="52CE3D0E">
            <wp:extent cx="6369685" cy="450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276" cy="452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529" w:rsidRDefault="00087529"/>
    <w:p w:rsidR="00087529" w:rsidRDefault="00087529"/>
    <w:p w:rsidR="00087529" w:rsidRDefault="00087529"/>
    <w:p w:rsidR="00087529" w:rsidRDefault="00087529"/>
    <w:p w:rsidR="00087529" w:rsidRDefault="00087529"/>
    <w:p w:rsidR="00087529" w:rsidRDefault="00087529"/>
    <w:p w:rsidR="00087529" w:rsidRDefault="00087529"/>
    <w:p w:rsidR="00087529" w:rsidRDefault="00087529"/>
    <w:p w:rsidR="00087529" w:rsidRDefault="00087529"/>
    <w:p w:rsidR="00087529" w:rsidRDefault="00087529"/>
    <w:p w:rsidR="00087529" w:rsidRDefault="00087529"/>
    <w:p w:rsidR="00087529" w:rsidRDefault="00087529">
      <w:pPr>
        <w:rPr>
          <w:rFonts w:cstheme="minorHAnsi"/>
          <w:b/>
          <w:color w:val="002060"/>
          <w:sz w:val="28"/>
          <w:szCs w:val="38"/>
        </w:rPr>
      </w:pPr>
      <w:r w:rsidRPr="00087529">
        <w:rPr>
          <w:rFonts w:cstheme="minorHAnsi"/>
          <w:b/>
          <w:color w:val="002060"/>
          <w:sz w:val="28"/>
          <w:szCs w:val="38"/>
        </w:rPr>
        <w:t>Dietary Habits and Preferences:</w:t>
      </w:r>
    </w:p>
    <w:p w:rsidR="00087529" w:rsidRPr="00087529" w:rsidRDefault="00087529">
      <w:pPr>
        <w:rPr>
          <w:rFonts w:cstheme="minorHAnsi"/>
          <w:color w:val="000000" w:themeColor="text1"/>
          <w:sz w:val="28"/>
          <w:szCs w:val="38"/>
        </w:rPr>
      </w:pPr>
      <w:r w:rsidRPr="00087529">
        <w:rPr>
          <w:rFonts w:cstheme="minorHAnsi"/>
          <w:color w:val="000000" w:themeColor="text1"/>
          <w:sz w:val="28"/>
          <w:szCs w:val="38"/>
        </w:rPr>
        <w:t>This dashboard highlights students' dietary habits and preferences, covering calorie awareness, diet status, comfort food reasons, cuisine choices, breakfast habits, and favourite sources of comfort food.</w:t>
      </w:r>
    </w:p>
    <w:p w:rsidR="00087529" w:rsidRDefault="00087529">
      <w:r>
        <w:rPr>
          <w:noProof/>
        </w:rPr>
        <w:drawing>
          <wp:inline distT="0" distB="0" distL="0" distR="0" wp14:anchorId="27E558AD" wp14:editId="2487BED7">
            <wp:extent cx="6201410" cy="433387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257" cy="436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529" w:rsidRDefault="00087529">
      <w:r>
        <w:br w:type="page"/>
      </w:r>
    </w:p>
    <w:p w:rsidR="00087529" w:rsidRPr="00087529" w:rsidRDefault="00087529">
      <w:pPr>
        <w:rPr>
          <w:rFonts w:cstheme="minorHAnsi"/>
          <w:color w:val="000000" w:themeColor="text1"/>
          <w:sz w:val="28"/>
          <w:szCs w:val="38"/>
        </w:rPr>
      </w:pPr>
      <w:r w:rsidRPr="00087529">
        <w:rPr>
          <w:rFonts w:cstheme="minorHAnsi"/>
          <w:b/>
          <w:color w:val="002060"/>
          <w:sz w:val="28"/>
          <w:szCs w:val="38"/>
        </w:rPr>
        <w:lastRenderedPageBreak/>
        <w:t>Dietary Habits and Preferences</w:t>
      </w:r>
      <w:r>
        <w:rPr>
          <w:rFonts w:cstheme="minorHAnsi"/>
          <w:b/>
          <w:color w:val="002060"/>
          <w:sz w:val="28"/>
          <w:szCs w:val="38"/>
        </w:rPr>
        <w:t>:</w:t>
      </w:r>
    </w:p>
    <w:p w:rsidR="00087529" w:rsidRPr="00087529" w:rsidRDefault="00087529">
      <w:pPr>
        <w:rPr>
          <w:rFonts w:cstheme="minorHAnsi"/>
          <w:color w:val="000000" w:themeColor="text1"/>
          <w:sz w:val="28"/>
          <w:szCs w:val="38"/>
        </w:rPr>
      </w:pPr>
      <w:r w:rsidRPr="00087529">
        <w:rPr>
          <w:rFonts w:cstheme="minorHAnsi"/>
          <w:color w:val="000000" w:themeColor="text1"/>
          <w:sz w:val="28"/>
          <w:szCs w:val="38"/>
        </w:rPr>
        <w:t>This dashboard explores students' dietary wellness through exercise frequency, vitamin intake by gender, fruit and veggie consumption patterns, nutritional awareness, and their self-perceived healthy feeling.</w:t>
      </w:r>
    </w:p>
    <w:p w:rsidR="00087529" w:rsidRDefault="00087529"/>
    <w:p w:rsidR="00087529" w:rsidRDefault="00087529">
      <w:r>
        <w:rPr>
          <w:noProof/>
        </w:rPr>
        <w:drawing>
          <wp:inline distT="0" distB="0" distL="0" distR="0" wp14:anchorId="4E70956C" wp14:editId="50213251">
            <wp:extent cx="6109353" cy="47529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435" cy="475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529" w:rsidRDefault="00087529">
      <w:r>
        <w:br w:type="page"/>
      </w:r>
    </w:p>
    <w:p w:rsidR="00087529" w:rsidRDefault="00087529">
      <w:pPr>
        <w:rPr>
          <w:rFonts w:cstheme="minorHAnsi"/>
          <w:b/>
          <w:color w:val="002060"/>
          <w:sz w:val="28"/>
          <w:szCs w:val="38"/>
        </w:rPr>
      </w:pPr>
      <w:r w:rsidRPr="006E72DA">
        <w:rPr>
          <w:rFonts w:cstheme="minorHAnsi"/>
          <w:b/>
          <w:color w:val="002060"/>
          <w:sz w:val="28"/>
          <w:szCs w:val="38"/>
        </w:rPr>
        <w:lastRenderedPageBreak/>
        <w:t>Impact of Childhood Food Preferences on Audit Choices:</w:t>
      </w:r>
    </w:p>
    <w:p w:rsidR="006E72DA" w:rsidRPr="006E72DA" w:rsidRDefault="006E72DA">
      <w:pPr>
        <w:rPr>
          <w:rFonts w:cstheme="minorHAnsi"/>
          <w:color w:val="000000" w:themeColor="text1"/>
          <w:sz w:val="28"/>
          <w:szCs w:val="38"/>
        </w:rPr>
      </w:pPr>
      <w:r w:rsidRPr="006E72DA">
        <w:rPr>
          <w:rFonts w:cstheme="minorHAnsi"/>
          <w:color w:val="000000" w:themeColor="text1"/>
          <w:sz w:val="28"/>
          <w:szCs w:val="38"/>
        </w:rPr>
        <w:t>This pie chart reflects the influence of childhood cuisine preferences on adulthood choices, with American cuisine being the most favoured, followed by Mexican/Spanish and unspecified options.</w:t>
      </w:r>
    </w:p>
    <w:p w:rsidR="00087529" w:rsidRDefault="00087529"/>
    <w:p w:rsidR="00087529" w:rsidRDefault="00087529">
      <w:r>
        <w:rPr>
          <w:noProof/>
        </w:rPr>
        <w:drawing>
          <wp:inline distT="0" distB="0" distL="0" distR="0" wp14:anchorId="4C255C46" wp14:editId="5051D7CC">
            <wp:extent cx="6381750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122" cy="465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087529" w:rsidRDefault="00087529">
      <w:bookmarkStart w:id="0" w:name="_GoBack"/>
      <w:bookmarkEnd w:id="0"/>
    </w:p>
    <w:p w:rsidR="006E72DA" w:rsidRPr="006E72DA" w:rsidRDefault="006E72DA">
      <w:pPr>
        <w:rPr>
          <w:rFonts w:cstheme="minorHAnsi"/>
          <w:b/>
          <w:color w:val="002060"/>
          <w:sz w:val="28"/>
          <w:szCs w:val="38"/>
        </w:rPr>
      </w:pPr>
      <w:r w:rsidRPr="006E72DA">
        <w:rPr>
          <w:rFonts w:cstheme="minorHAnsi"/>
          <w:b/>
          <w:color w:val="002060"/>
          <w:sz w:val="28"/>
          <w:szCs w:val="38"/>
        </w:rPr>
        <w:t>Impact of Childhood Food Preferences and Adult Choices:</w:t>
      </w:r>
    </w:p>
    <w:p w:rsidR="006E72DA" w:rsidRDefault="006E72DA">
      <w:r w:rsidRPr="006E72DA">
        <w:t xml:space="preserve">This </w:t>
      </w:r>
      <w:proofErr w:type="spellStart"/>
      <w:r w:rsidRPr="006E72DA">
        <w:t>treemap</w:t>
      </w:r>
      <w:proofErr w:type="spellEnd"/>
      <w:r w:rsidRPr="006E72DA">
        <w:t xml:space="preserve"> illustrates how individuals perceive their overall health, with varying degrees of healthy feelings shaped by early dietary experiences.</w:t>
      </w:r>
    </w:p>
    <w:p w:rsidR="00087529" w:rsidRDefault="00087529">
      <w:r>
        <w:rPr>
          <w:noProof/>
        </w:rPr>
        <w:drawing>
          <wp:inline distT="0" distB="0" distL="0" distR="0" wp14:anchorId="7DE0CB94" wp14:editId="33EEE002">
            <wp:extent cx="6248400" cy="509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769" cy="509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Pr="006E72DA" w:rsidRDefault="006E72DA">
      <w:pPr>
        <w:rPr>
          <w:rFonts w:cstheme="minorHAnsi"/>
          <w:b/>
          <w:color w:val="002060"/>
          <w:sz w:val="28"/>
          <w:szCs w:val="38"/>
        </w:rPr>
      </w:pPr>
      <w:r w:rsidRPr="006E72DA">
        <w:rPr>
          <w:rFonts w:cstheme="minorHAnsi"/>
          <w:b/>
          <w:color w:val="002060"/>
          <w:sz w:val="28"/>
          <w:szCs w:val="38"/>
        </w:rPr>
        <w:t>Impact of Childhood Food Preferences on Adult Choices:</w:t>
      </w:r>
    </w:p>
    <w:p w:rsidR="006E72DA" w:rsidRDefault="006E72DA">
      <w:r w:rsidRPr="006E72DA">
        <w:t>This visualization shows the frequency of nutritional awareness in adults, linked to childhood eating habits—ranging from never checking to consistently monitoring food nutrients.</w:t>
      </w:r>
    </w:p>
    <w:p w:rsidR="00087529" w:rsidRDefault="00087529">
      <w:r>
        <w:rPr>
          <w:noProof/>
        </w:rPr>
        <w:drawing>
          <wp:inline distT="0" distB="0" distL="0" distR="0" wp14:anchorId="155C3D4D" wp14:editId="0EA8627B">
            <wp:extent cx="5731510" cy="4419149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Default="006E72DA"/>
    <w:p w:rsidR="006E72DA" w:rsidRPr="006E72DA" w:rsidRDefault="006E72DA">
      <w:pPr>
        <w:rPr>
          <w:rFonts w:cstheme="minorHAnsi"/>
          <w:b/>
          <w:color w:val="002060"/>
          <w:sz w:val="28"/>
          <w:szCs w:val="38"/>
        </w:rPr>
      </w:pPr>
      <w:r w:rsidRPr="006E72DA">
        <w:rPr>
          <w:rFonts w:cstheme="minorHAnsi"/>
          <w:b/>
          <w:color w:val="002060"/>
          <w:sz w:val="28"/>
          <w:szCs w:val="38"/>
        </w:rPr>
        <w:t>Comfort Food Reasons:</w:t>
      </w:r>
    </w:p>
    <w:p w:rsidR="006E72DA" w:rsidRDefault="006E72DA">
      <w:r w:rsidRPr="006E72DA">
        <w:t>This bubble chart highlights emotional triggers behind comfort food consumption in adulthood—such as boredom, stress, sadness, and happiness—rooted in childhood associations.</w:t>
      </w:r>
    </w:p>
    <w:p w:rsidR="00087529" w:rsidRDefault="00087529">
      <w:r>
        <w:rPr>
          <w:noProof/>
        </w:rPr>
        <w:drawing>
          <wp:inline distT="0" distB="0" distL="0" distR="0" wp14:anchorId="557D7919" wp14:editId="499BA107">
            <wp:extent cx="5257800" cy="426359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110" cy="426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29"/>
    <w:rsid w:val="00087529"/>
    <w:rsid w:val="006E72DA"/>
    <w:rsid w:val="009B6EA4"/>
    <w:rsid w:val="00A4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4B4F"/>
  <w15:chartTrackingRefBased/>
  <w15:docId w15:val="{0B3F63A7-1B24-4602-ABB5-ADDF8023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2025-07-02T13:49:00Z</dcterms:created>
  <dcterms:modified xsi:type="dcterms:W3CDTF">2025-07-02T14:22:00Z</dcterms:modified>
</cp:coreProperties>
</file>