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200" w:before="400"/>
        <w:jc w:val="center"/>
      </w:pPr>
      <w:r>
        <w:rPr>
          <w:rFonts w:ascii="Arial" w:cs="Arial" w:eastAsia="Arial" w:hAnsi="Arial"/>
          <w:b/>
          <w:bCs/>
          <w:color w:val="1F3864"/>
          <w:sz w:val="72"/>
          <w:szCs w:val="72"/>
        </w:rPr>
        <w:t xml:space="preserve">MediTalk</w:t>
      </w:r>
    </w:p>
    <w:p>
      <w:pPr>
        <w:spacing w:after="600" w:before="100"/>
        <w:jc w:val="center"/>
      </w:pPr>
      <w:r>
        <w:rPr>
          <w:rFonts w:ascii="Arial" w:cs="Arial" w:eastAsia="Arial" w:hAnsi="Arial"/>
          <w:color w:val="2E4D8A"/>
          <w:sz w:val="36"/>
          <w:szCs w:val="36"/>
        </w:rPr>
        <w:t xml:space="preserve">Project Report</w:t>
      </w:r>
    </w:p>
    <w:p>
      <w:pPr>
        <w:pBdr>
          <w:bottom w:val="single" w:color="1F3864" w:sz="8" w:space="1"/>
        </w:pBdr>
        <w:spacing w:after="400" w:before="0"/>
      </w:pPr>
      <w:r>
        <w:t xml:space="preserve"/>
      </w:r>
    </w:p>
    <w:p>
      <w:pPr>
        <w:spacing w:after="40" w:before="40"/>
      </w:pPr>
      <w:r>
        <w:t xml:space="preserve"/>
      </w:r>
    </w:p>
    <w:p>
      <w:pPr>
        <w:spacing w:after="40" w:before="40"/>
      </w:pPr>
      <w:r>
        <w:t xml:space="preserve"/>
      </w:r>
    </w:p>
    <w:p>
      <w:pPr>
        <w:spacing w:after="200" w:before="200"/>
        <w:jc w:val="center"/>
      </w:pPr>
      <w:r>
        <w:rPr>
          <w:rFonts w:ascii="Arial" w:cs="Arial" w:eastAsia="Arial" w:hAnsi="Arial"/>
          <w:i/>
          <w:iCs/>
          <w:color w:val="444444"/>
          <w:sz w:val="26"/>
          <w:szCs w:val="26"/>
        </w:rPr>
        <w:t xml:space="preserve">Full-Stack Telehealth Consultation Platform</w:t>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jc w:val="center"/>
      </w:pPr>
      <w:r>
        <w:rPr>
          <w:rFonts w:ascii="Arial" w:cs="Arial" w:eastAsia="Arial" w:hAnsi="Arial"/>
          <w:color w:val="666666"/>
          <w:sz w:val="22"/>
          <w:szCs w:val="22"/>
        </w:rPr>
        <w:t xml:space="preserve">Submitted by</w:t>
      </w:r>
    </w:p>
    <w:p>
      <w:pPr>
        <w:spacing w:after="40" w:before="40"/>
      </w:pPr>
      <w:r>
        <w:t xml:space="preserve"/>
      </w:r>
    </w:p>
    <w:p>
      <w:pPr>
        <w:spacing w:after="80" w:before="80"/>
        <w:jc w:val="center"/>
      </w:pPr>
      <w:r>
        <w:rPr>
          <w:rFonts w:ascii="Arial" w:cs="Arial" w:eastAsia="Arial" w:hAnsi="Arial"/>
          <w:b/>
          <w:bCs/>
          <w:color w:val="1F3864"/>
          <w:sz w:val="28"/>
          <w:szCs w:val="28"/>
        </w:rPr>
        <w:t xml:space="preserve">BHAVISHYA C</w:t>
      </w:r>
    </w:p>
    <w:p>
      <w:pPr>
        <w:spacing w:after="60" w:before="60"/>
        <w:jc w:val="center"/>
      </w:pPr>
      <w:r>
        <w:rPr>
          <w:rFonts w:ascii="Arial" w:cs="Arial" w:eastAsia="Arial" w:hAnsi="Arial"/>
          <w:color w:val="333333"/>
          <w:sz w:val="22"/>
          <w:szCs w:val="22"/>
        </w:rPr>
        <w:t xml:space="preserve">Roll No: S20230010052</w:t>
      </w:r>
    </w:p>
    <w:p>
      <w:pPr>
        <w:spacing w:after="60" w:before="60"/>
        <w:jc w:val="center"/>
      </w:pPr>
      <w:r>
        <w:rPr>
          <w:rFonts w:ascii="Arial" w:cs="Arial" w:eastAsia="Arial" w:hAnsi="Arial"/>
          <w:color w:val="333333"/>
          <w:sz w:val="22"/>
          <w:szCs w:val="22"/>
        </w:rPr>
        <w:t xml:space="preserve">UG3  |  Computer Science and Engineering</w:t>
      </w:r>
    </w:p>
    <w:p>
      <w:r>
        <w:br w:type="page"/>
      </w:r>
    </w:p>
    <w:p>
      <w:pPr>
        <w:pStyle w:val="Heading1"/>
        <w:pBdr>
          <w:bottom w:val="single" w:color="1F3864" w:sz="6" w:space="1"/>
        </w:pBdr>
        <w:spacing w:after="120" w:before="240"/>
      </w:pPr>
      <w:r>
        <w:rPr>
          <w:rFonts w:ascii="Arial" w:cs="Arial" w:eastAsia="Arial" w:hAnsi="Arial"/>
          <w:b/>
          <w:bCs/>
          <w:color w:val="1F3864"/>
          <w:sz w:val="32"/>
          <w:szCs w:val="32"/>
        </w:rPr>
        <w:t xml:space="preserve">1. Executive Summary</w:t>
      </w:r>
    </w:p>
    <w:p>
      <w:pPr>
        <w:spacing w:after="60" w:before="60"/>
        <w:jc w:val="both"/>
      </w:pPr>
      <w:r>
        <w:rPr>
          <w:rFonts w:ascii="Arial" w:cs="Arial" w:eastAsia="Arial" w:hAnsi="Arial"/>
          <w:sz w:val="22"/>
          <w:szCs w:val="22"/>
        </w:rPr>
        <w:t xml:space="preserve">MediTalk is a comprehensive, full-stack telehealth consultation platform designed to support the complete digital care journey between patients and doctors. The system integrates role-based access control, real-time communication, appointment lifecycle management, payment confirmation, and structured prescription delivery into a single unified and seamless workflow.</w:t>
      </w:r>
    </w:p>
    <w:p>
      <w:pPr>
        <w:spacing w:after="40" w:before="40"/>
      </w:pPr>
      <w:r>
        <w:t xml:space="preserve"/>
      </w:r>
    </w:p>
    <w:p>
      <w:pPr>
        <w:spacing w:after="60" w:before="60"/>
        <w:jc w:val="both"/>
      </w:pPr>
      <w:r>
        <w:rPr>
          <w:rFonts w:ascii="Arial" w:cs="Arial" w:eastAsia="Arial" w:hAnsi="Arial"/>
          <w:sz w:val="22"/>
          <w:szCs w:val="22"/>
        </w:rPr>
        <w:t xml:space="preserve">The platform's central achievement lies in its workflow integrity — business rules are enforced at both the backend API layer and the frontend state transition layer, ensuring that all post-consultation activities occur in the correct, clinically meaningful sequence:</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Appointment completed</w:t>
      </w:r>
    </w:p>
    <w:p>
      <w:pPr>
        <w:pStyle w:val="ListParagraph"/>
        <w:numPr>
          <w:ilvl w:val="0"/>
          <w:numId w:val="2"/>
        </w:numPr>
        <w:spacing w:after="60" w:before="60"/>
      </w:pPr>
      <w:r>
        <w:rPr>
          <w:rFonts w:ascii="Arial" w:cs="Arial" w:eastAsia="Arial" w:hAnsi="Arial"/>
          <w:sz w:val="22"/>
          <w:szCs w:val="22"/>
        </w:rPr>
        <w:t xml:space="preserve">Payment completed</w:t>
      </w:r>
    </w:p>
    <w:p>
      <w:pPr>
        <w:pStyle w:val="ListParagraph"/>
        <w:numPr>
          <w:ilvl w:val="0"/>
          <w:numId w:val="2"/>
        </w:numPr>
        <w:spacing w:after="60" w:before="60"/>
      </w:pPr>
      <w:r>
        <w:rPr>
          <w:rFonts w:ascii="Arial" w:cs="Arial" w:eastAsia="Arial" w:hAnsi="Arial"/>
          <w:sz w:val="22"/>
          <w:szCs w:val="22"/>
        </w:rPr>
        <w:t xml:space="preserve">Prescription submitted and delivered</w:t>
      </w:r>
    </w:p>
    <w:p>
      <w:pPr>
        <w:spacing w:after="40" w:before="40"/>
      </w:pPr>
      <w:r>
        <w:t xml:space="preserve"/>
      </w:r>
    </w:p>
    <w:p>
      <w:pPr>
        <w:spacing w:after="60" w:before="60"/>
        <w:jc w:val="both"/>
      </w:pPr>
      <w:r>
        <w:rPr>
          <w:rFonts w:ascii="Arial" w:cs="Arial" w:eastAsia="Arial" w:hAnsi="Arial"/>
          <w:sz w:val="22"/>
          <w:szCs w:val="22"/>
        </w:rPr>
        <w:t xml:space="preserve">MediTalk demonstrates strong alignment with real-world telemedicine operational requirements while maintaining a modular, scalable, and maintainable codebase suitable for further production-grade evolution.</w:t>
      </w:r>
    </w:p>
    <w:p>
      <w:pPr>
        <w:spacing w:after="40" w:before="40"/>
      </w:pPr>
      <w:r>
        <w:t xml:space="preserve"/>
      </w:r>
    </w:p>
    <w:p>
      <w:pPr>
        <w:pStyle w:val="Heading1"/>
        <w:pBdr>
          <w:bottom w:val="single" w:color="1F3864" w:sz="6" w:space="1"/>
        </w:pBdr>
        <w:spacing w:after="120" w:before="240"/>
      </w:pPr>
      <w:r>
        <w:rPr>
          <w:rFonts w:ascii="Arial" w:cs="Arial" w:eastAsia="Arial" w:hAnsi="Arial"/>
          <w:b/>
          <w:bCs/>
          <w:color w:val="1F3864"/>
          <w:sz w:val="32"/>
          <w:szCs w:val="32"/>
        </w:rPr>
        <w:t xml:space="preserve">2. Problem Context and Motivation</w:t>
      </w:r>
    </w:p>
    <w:p>
      <w:pPr>
        <w:spacing w:after="60" w:before="60"/>
        <w:jc w:val="both"/>
      </w:pPr>
      <w:r>
        <w:rPr>
          <w:rFonts w:ascii="Arial" w:cs="Arial" w:eastAsia="Arial" w:hAnsi="Arial"/>
          <w:sz w:val="22"/>
          <w:szCs w:val="22"/>
        </w:rPr>
        <w:t xml:space="preserve">The rapid growth of digital healthcare has created demand for structured, trustworthy, and transparent teleconsultation systems. However, many basic telehealth implementations treat patient-doctor communication, payment processing, and prescription management as disconnected components. This disconnect leads to significant operational and experiential problems:</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Lack of traceability after a consultation is completed.</w:t>
      </w:r>
    </w:p>
    <w:p>
      <w:pPr>
        <w:pStyle w:val="ListParagraph"/>
        <w:numPr>
          <w:ilvl w:val="0"/>
          <w:numId w:val="3"/>
        </w:numPr>
        <w:spacing w:after="40" w:before="40"/>
      </w:pPr>
      <w:r>
        <w:rPr>
          <w:rFonts w:ascii="Arial" w:cs="Arial" w:eastAsia="Arial" w:hAnsi="Arial"/>
          <w:sz w:val="22"/>
          <w:szCs w:val="22"/>
        </w:rPr>
        <w:t xml:space="preserve">Unclear responsibility boundaries in payment and prescription sequencing.</w:t>
      </w:r>
    </w:p>
    <w:p>
      <w:pPr>
        <w:pStyle w:val="ListParagraph"/>
        <w:numPr>
          <w:ilvl w:val="0"/>
          <w:numId w:val="3"/>
        </w:numPr>
        <w:spacing w:after="40" w:before="40"/>
      </w:pPr>
      <w:r>
        <w:rPr>
          <w:rFonts w:ascii="Arial" w:cs="Arial" w:eastAsia="Arial" w:hAnsi="Arial"/>
          <w:sz w:val="22"/>
          <w:szCs w:val="22"/>
        </w:rPr>
        <w:t xml:space="preserve">Inconsistent status updates across patient and doctor interfaces.</w:t>
      </w:r>
    </w:p>
    <w:p>
      <w:pPr>
        <w:pStyle w:val="ListParagraph"/>
        <w:numPr>
          <w:ilvl w:val="0"/>
          <w:numId w:val="3"/>
        </w:numPr>
        <w:spacing w:after="40" w:before="40"/>
      </w:pPr>
      <w:r>
        <w:rPr>
          <w:rFonts w:ascii="Arial" w:cs="Arial" w:eastAsia="Arial" w:hAnsi="Arial"/>
          <w:sz w:val="22"/>
          <w:szCs w:val="22"/>
        </w:rPr>
        <w:t xml:space="preserve">Reduced user trust due to workflow ambiguity and missing feedback loops.</w:t>
      </w:r>
    </w:p>
    <w:p>
      <w:pPr>
        <w:spacing w:after="40" w:before="40"/>
      </w:pPr>
      <w:r>
        <w:t xml:space="preserve"/>
      </w:r>
    </w:p>
    <w:p>
      <w:pPr>
        <w:spacing w:after="60" w:before="60"/>
        <w:jc w:val="both"/>
      </w:pPr>
      <w:r>
        <w:rPr>
          <w:rFonts w:ascii="Arial" w:cs="Arial" w:eastAsia="Arial" w:hAnsi="Arial"/>
          <w:sz w:val="22"/>
          <w:szCs w:val="22"/>
        </w:rPr>
        <w:t xml:space="preserve">MediTalk directly addresses these challenges by creating a controlled and transparent consultation pipeline in which every stage has a clearly defined status, role-restricted actions, and real-time notifications — ensuring both the patient and the doctor always have accurate, synchronized information about where they are in the consultation process.</w:t>
      </w:r>
    </w:p>
    <w:p>
      <w:pPr>
        <w:spacing w:after="40" w:before="40"/>
      </w:pPr>
      <w:r>
        <w:t xml:space="preserve"/>
      </w:r>
    </w:p>
    <w:p>
      <w:pPr>
        <w:pStyle w:val="Heading1"/>
        <w:pBdr>
          <w:bottom w:val="single" w:color="1F3864" w:sz="6" w:space="1"/>
        </w:pBdr>
        <w:spacing w:after="120" w:before="240"/>
      </w:pPr>
      <w:r>
        <w:rPr>
          <w:rFonts w:ascii="Arial" w:cs="Arial" w:eastAsia="Arial" w:hAnsi="Arial"/>
          <w:b/>
          <w:bCs/>
          <w:color w:val="1F3864"/>
          <w:sz w:val="32"/>
          <w:szCs w:val="32"/>
        </w:rPr>
        <w:t xml:space="preserve">3. Objectives</w:t>
      </w:r>
    </w:p>
    <w:p>
      <w:pPr>
        <w:pStyle w:val="Heading2"/>
        <w:spacing w:after="80" w:before="160"/>
      </w:pPr>
      <w:r>
        <w:rPr>
          <w:rFonts w:ascii="Arial" w:cs="Arial" w:eastAsia="Arial" w:hAnsi="Arial"/>
          <w:b/>
          <w:bCs/>
          <w:color w:val="2E4D8A"/>
          <w:sz w:val="26"/>
          <w:szCs w:val="26"/>
        </w:rPr>
        <w:t xml:space="preserve">3.1 Functional Objectives</w:t>
      </w:r>
    </w:p>
    <w:p>
      <w:pPr>
        <w:pStyle w:val="ListParagraph"/>
        <w:numPr>
          <w:ilvl w:val="0"/>
          <w:numId w:val="3"/>
        </w:numPr>
        <w:spacing w:after="40" w:before="40"/>
      </w:pPr>
      <w:r>
        <w:rPr>
          <w:rFonts w:ascii="Arial" w:cs="Arial" w:eastAsia="Arial" w:hAnsi="Arial"/>
          <w:sz w:val="22"/>
          <w:szCs w:val="22"/>
        </w:rPr>
        <w:t xml:space="preserve">Provide secure registration and login for Patient, Doctor, and Admin roles with role-aware data access.</w:t>
      </w:r>
    </w:p>
    <w:p>
      <w:pPr>
        <w:pStyle w:val="ListParagraph"/>
        <w:numPr>
          <w:ilvl w:val="0"/>
          <w:numId w:val="3"/>
        </w:numPr>
        <w:spacing w:after="40" w:before="40"/>
      </w:pPr>
      <w:r>
        <w:rPr>
          <w:rFonts w:ascii="Arial" w:cs="Arial" w:eastAsia="Arial" w:hAnsi="Arial"/>
          <w:sz w:val="22"/>
          <w:szCs w:val="22"/>
        </w:rPr>
        <w:t xml:space="preserve">Enable doctor search, discovery, and profile exploration for patients.</w:t>
      </w:r>
    </w:p>
    <w:p>
      <w:pPr>
        <w:pStyle w:val="ListParagraph"/>
        <w:numPr>
          <w:ilvl w:val="0"/>
          <w:numId w:val="3"/>
        </w:numPr>
        <w:spacing w:after="40" w:before="40"/>
      </w:pPr>
      <w:r>
        <w:rPr>
          <w:rFonts w:ascii="Arial" w:cs="Arial" w:eastAsia="Arial" w:hAnsi="Arial"/>
          <w:sz w:val="22"/>
          <w:szCs w:val="22"/>
        </w:rPr>
        <w:t xml:space="preserve">Support real-time chat and appointment coordination between patients and doctors.</w:t>
      </w:r>
    </w:p>
    <w:p>
      <w:pPr>
        <w:pStyle w:val="ListParagraph"/>
        <w:numPr>
          <w:ilvl w:val="0"/>
          <w:numId w:val="3"/>
        </w:numPr>
        <w:spacing w:after="40" w:before="40"/>
      </w:pPr>
      <w:r>
        <w:rPr>
          <w:rFonts w:ascii="Arial" w:cs="Arial" w:eastAsia="Arial" w:hAnsi="Arial"/>
          <w:sz w:val="22"/>
          <w:szCs w:val="22"/>
        </w:rPr>
        <w:t xml:space="preserve">Implement appointment state progression covering pending, confirmed, completed, and canceled states.</w:t>
      </w:r>
    </w:p>
    <w:p>
      <w:pPr>
        <w:pStyle w:val="ListParagraph"/>
        <w:numPr>
          <w:ilvl w:val="0"/>
          <w:numId w:val="3"/>
        </w:numPr>
        <w:spacing w:after="40" w:before="40"/>
      </w:pPr>
      <w:r>
        <w:rPr>
          <w:rFonts w:ascii="Arial" w:cs="Arial" w:eastAsia="Arial" w:hAnsi="Arial"/>
          <w:sz w:val="22"/>
          <w:szCs w:val="22"/>
        </w:rPr>
        <w:t xml:space="preserve">Enable payment processing after consultation completion with receipt generation.</w:t>
      </w:r>
    </w:p>
    <w:p>
      <w:pPr>
        <w:pStyle w:val="ListParagraph"/>
        <w:numPr>
          <w:ilvl w:val="0"/>
          <w:numId w:val="3"/>
        </w:numPr>
        <w:spacing w:after="40" w:before="40"/>
      </w:pPr>
      <w:r>
        <w:rPr>
          <w:rFonts w:ascii="Arial" w:cs="Arial" w:eastAsia="Arial" w:hAnsi="Arial"/>
          <w:sz w:val="22"/>
          <w:szCs w:val="22"/>
        </w:rPr>
        <w:t xml:space="preserve">Enable prescription submission exclusively after successful payment verification.</w:t>
      </w:r>
    </w:p>
    <w:p>
      <w:pPr>
        <w:pStyle w:val="ListParagraph"/>
        <w:numPr>
          <w:ilvl w:val="0"/>
          <w:numId w:val="3"/>
        </w:numPr>
        <w:spacing w:after="40" w:before="40"/>
      </w:pPr>
      <w:r>
        <w:rPr>
          <w:rFonts w:ascii="Arial" w:cs="Arial" w:eastAsia="Arial" w:hAnsi="Arial"/>
          <w:sz w:val="22"/>
          <w:szCs w:val="22"/>
        </w:rPr>
        <w:t xml:space="preserve">Deliver prescription data directly through chat messages and notification channels.</w:t>
      </w:r>
    </w:p>
    <w:p>
      <w:pPr>
        <w:spacing w:after="40" w:before="40"/>
      </w:pPr>
      <w:r>
        <w:t xml:space="preserve"/>
      </w:r>
    </w:p>
    <w:p>
      <w:pPr>
        <w:pStyle w:val="Heading2"/>
        <w:spacing w:after="80" w:before="160"/>
      </w:pPr>
      <w:r>
        <w:rPr>
          <w:rFonts w:ascii="Arial" w:cs="Arial" w:eastAsia="Arial" w:hAnsi="Arial"/>
          <w:b/>
          <w:bCs/>
          <w:color w:val="2E4D8A"/>
          <w:sz w:val="26"/>
          <w:szCs w:val="26"/>
        </w:rPr>
        <w:t xml:space="preserve">3.2 Technical Objectives</w:t>
      </w:r>
    </w:p>
    <w:p>
      <w:pPr>
        <w:pStyle w:val="ListParagraph"/>
        <w:numPr>
          <w:ilvl w:val="0"/>
          <w:numId w:val="3"/>
        </w:numPr>
        <w:spacing w:after="40" w:before="40"/>
      </w:pPr>
      <w:r>
        <w:rPr>
          <w:rFonts w:ascii="Arial" w:cs="Arial" w:eastAsia="Arial" w:hAnsi="Arial"/>
          <w:sz w:val="22"/>
          <w:szCs w:val="22"/>
        </w:rPr>
        <w:t xml:space="preserve">Adopt a scalable, modular architecture separating frontend, backend, and data concerns.</w:t>
      </w:r>
    </w:p>
    <w:p>
      <w:pPr>
        <w:pStyle w:val="ListParagraph"/>
        <w:numPr>
          <w:ilvl w:val="0"/>
          <w:numId w:val="3"/>
        </w:numPr>
        <w:spacing w:after="40" w:before="40"/>
      </w:pPr>
      <w:r>
        <w:rPr>
          <w:rFonts w:ascii="Arial" w:cs="Arial" w:eastAsia="Arial" w:hAnsi="Arial"/>
          <w:sz w:val="22"/>
          <w:szCs w:val="22"/>
        </w:rPr>
        <w:t xml:space="preserve">Ensure clean API design with proper service abstraction and reusability.</w:t>
      </w:r>
    </w:p>
    <w:p>
      <w:pPr>
        <w:pStyle w:val="ListParagraph"/>
        <w:numPr>
          <w:ilvl w:val="0"/>
          <w:numId w:val="3"/>
        </w:numPr>
        <w:spacing w:after="40" w:before="40"/>
      </w:pPr>
      <w:r>
        <w:rPr>
          <w:rFonts w:ascii="Arial" w:cs="Arial" w:eastAsia="Arial" w:hAnsi="Arial"/>
          <w:sz w:val="22"/>
          <w:szCs w:val="22"/>
        </w:rPr>
        <w:t xml:space="preserve">Support a real-time user experience through Socket.IO event-driven communication.</w:t>
      </w:r>
    </w:p>
    <w:p>
      <w:pPr>
        <w:pStyle w:val="ListParagraph"/>
        <w:numPr>
          <w:ilvl w:val="0"/>
          <w:numId w:val="3"/>
        </w:numPr>
        <w:spacing w:after="40" w:before="40"/>
      </w:pPr>
      <w:r>
        <w:rPr>
          <w:rFonts w:ascii="Arial" w:cs="Arial" w:eastAsia="Arial" w:hAnsi="Arial"/>
          <w:sz w:val="22"/>
          <w:szCs w:val="22"/>
        </w:rPr>
        <w:t xml:space="preserve">Enforce business workflow constraints at the data model, API middleware, and UI layers simultaneously.</w:t>
      </w:r>
    </w:p>
    <w:p>
      <w:pPr>
        <w:spacing w:after="40" w:before="40"/>
      </w:pPr>
      <w:r>
        <w:t xml:space="preserve"/>
      </w:r>
    </w:p>
    <w:p>
      <w:pPr>
        <w:pStyle w:val="Heading1"/>
        <w:pBdr>
          <w:bottom w:val="single" w:color="1F3864" w:sz="6" w:space="1"/>
        </w:pBdr>
        <w:spacing w:after="120" w:before="240"/>
      </w:pPr>
      <w:r>
        <w:rPr>
          <w:rFonts w:ascii="Arial" w:cs="Arial" w:eastAsia="Arial" w:hAnsi="Arial"/>
          <w:b/>
          <w:bCs/>
          <w:color w:val="1F3864"/>
          <w:sz w:val="32"/>
          <w:szCs w:val="32"/>
        </w:rPr>
        <w:t xml:space="preserve">4. Scope</w:t>
      </w:r>
    </w:p>
    <w:p>
      <w:pPr>
        <w:spacing w:after="60" w:before="60"/>
        <w:jc w:val="both"/>
      </w:pPr>
      <w:r>
        <w:rPr>
          <w:rFonts w:ascii="Arial" w:cs="Arial" w:eastAsia="Arial" w:hAnsi="Arial"/>
          <w:sz w:val="22"/>
          <w:szCs w:val="22"/>
        </w:rPr>
        <w:t xml:space="preserve">The MediTalk platform covers the following functional areas in its current implementation:</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Full authentication and authorization system with JWT.</w:t>
      </w:r>
    </w:p>
    <w:p>
      <w:pPr>
        <w:pStyle w:val="ListParagraph"/>
        <w:numPr>
          <w:ilvl w:val="0"/>
          <w:numId w:val="3"/>
        </w:numPr>
        <w:spacing w:after="40" w:before="40"/>
      </w:pPr>
      <w:r>
        <w:rPr>
          <w:rFonts w:ascii="Arial" w:cs="Arial" w:eastAsia="Arial" w:hAnsi="Arial"/>
          <w:sz w:val="22"/>
          <w:szCs w:val="22"/>
        </w:rPr>
        <w:t xml:space="preserve">Doctor discovery and listing with search and filtering capabilities.</w:t>
      </w:r>
    </w:p>
    <w:p>
      <w:pPr>
        <w:pStyle w:val="ListParagraph"/>
        <w:numPr>
          <w:ilvl w:val="0"/>
          <w:numId w:val="3"/>
        </w:numPr>
        <w:spacing w:after="40" w:before="40"/>
      </w:pPr>
      <w:r>
        <w:rPr>
          <w:rFonts w:ascii="Arial" w:cs="Arial" w:eastAsia="Arial" w:hAnsi="Arial"/>
          <w:sz w:val="22"/>
          <w:szCs w:val="22"/>
        </w:rPr>
        <w:t xml:space="preserve">Persistent chat with conversation history and real-time messaging.</w:t>
      </w:r>
    </w:p>
    <w:p>
      <w:pPr>
        <w:pStyle w:val="ListParagraph"/>
        <w:numPr>
          <w:ilvl w:val="0"/>
          <w:numId w:val="3"/>
        </w:numPr>
        <w:spacing w:after="40" w:before="40"/>
      </w:pPr>
      <w:r>
        <w:rPr>
          <w:rFonts w:ascii="Arial" w:cs="Arial" w:eastAsia="Arial" w:hAnsi="Arial"/>
          <w:sz w:val="22"/>
          <w:szCs w:val="22"/>
        </w:rPr>
        <w:t xml:space="preserve">Appointment lifecycle creation and state transitions.</w:t>
      </w:r>
    </w:p>
    <w:p>
      <w:pPr>
        <w:pStyle w:val="ListParagraph"/>
        <w:numPr>
          <w:ilvl w:val="0"/>
          <w:numId w:val="3"/>
        </w:numPr>
        <w:spacing w:after="40" w:before="40"/>
      </w:pPr>
      <w:r>
        <w:rPr>
          <w:rFonts w:ascii="Arial" w:cs="Arial" w:eastAsia="Arial" w:hAnsi="Arial"/>
          <w:sz w:val="22"/>
          <w:szCs w:val="22"/>
        </w:rPr>
        <w:t xml:space="preserve">Mock card-based payment flow with transaction record generation.</w:t>
      </w:r>
    </w:p>
    <w:p>
      <w:pPr>
        <w:pStyle w:val="ListParagraph"/>
        <w:numPr>
          <w:ilvl w:val="0"/>
          <w:numId w:val="3"/>
        </w:numPr>
        <w:spacing w:after="40" w:before="40"/>
      </w:pPr>
      <w:r>
        <w:rPr>
          <w:rFonts w:ascii="Arial" w:cs="Arial" w:eastAsia="Arial" w:hAnsi="Arial"/>
          <w:sz w:val="22"/>
          <w:szCs w:val="22"/>
        </w:rPr>
        <w:t xml:space="preserve">Structured prescription generation, storage, and chat delivery.</w:t>
      </w:r>
    </w:p>
    <w:p>
      <w:pPr>
        <w:pStyle w:val="ListParagraph"/>
        <w:numPr>
          <w:ilvl w:val="0"/>
          <w:numId w:val="3"/>
        </w:numPr>
        <w:spacing w:after="40" w:before="40"/>
      </w:pPr>
      <w:r>
        <w:rPr>
          <w:rFonts w:ascii="Arial" w:cs="Arial" w:eastAsia="Arial" w:hAnsi="Arial"/>
          <w:sz w:val="22"/>
          <w:szCs w:val="22"/>
        </w:rPr>
        <w:t xml:space="preserve">Real-time notification generation for all critical events.</w:t>
      </w:r>
    </w:p>
    <w:p>
      <w:pPr>
        <w:pStyle w:val="ListParagraph"/>
        <w:numPr>
          <w:ilvl w:val="0"/>
          <w:numId w:val="3"/>
        </w:numPr>
        <w:spacing w:after="40" w:before="40"/>
      </w:pPr>
      <w:r>
        <w:rPr>
          <w:rFonts w:ascii="Arial" w:cs="Arial" w:eastAsia="Arial" w:hAnsi="Arial"/>
          <w:sz w:val="22"/>
          <w:szCs w:val="22"/>
        </w:rPr>
        <w:t xml:space="preserve">Ratings and reviews support for doctor profiles.</w:t>
      </w:r>
    </w:p>
    <w:p>
      <w:pPr>
        <w:spacing w:after="40" w:before="40"/>
      </w:pPr>
      <w:r>
        <w:t xml:space="preserve"/>
      </w:r>
    </w:p>
    <w:p>
      <w:pPr>
        <w:pStyle w:val="Heading1"/>
        <w:pBdr>
          <w:bottom w:val="single" w:color="1F3864" w:sz="6" w:space="1"/>
        </w:pBdr>
        <w:spacing w:after="120" w:before="240"/>
      </w:pPr>
      <w:r>
        <w:rPr>
          <w:rFonts w:ascii="Arial" w:cs="Arial" w:eastAsia="Arial" w:hAnsi="Arial"/>
          <w:b/>
          <w:bCs/>
          <w:color w:val="1F3864"/>
          <w:sz w:val="32"/>
          <w:szCs w:val="32"/>
        </w:rPr>
        <w:t xml:space="preserve">5. System Architecture</w:t>
      </w:r>
    </w:p>
    <w:p>
      <w:pPr>
        <w:spacing w:after="60" w:before="60"/>
        <w:jc w:val="both"/>
      </w:pPr>
      <w:r>
        <w:rPr>
          <w:rFonts w:ascii="Arial" w:cs="Arial" w:eastAsia="Arial" w:hAnsi="Arial"/>
          <w:sz w:val="22"/>
          <w:szCs w:val="22"/>
        </w:rPr>
        <w:t xml:space="preserve">MediTalk follows a decoupled three-layer client-server architecture, keeping the frontend, backend, and data layers independently maintainable and scalable.</w:t>
      </w:r>
    </w:p>
    <w:p>
      <w:pPr>
        <w:spacing w:after="40" w:before="40"/>
      </w:pPr>
      <w:r>
        <w:t xml:space="preserve"/>
      </w:r>
    </w:p>
    <w:p>
      <w:pPr>
        <w:pStyle w:val="Heading2"/>
        <w:spacing w:after="80" w:before="160"/>
      </w:pPr>
      <w:r>
        <w:rPr>
          <w:rFonts w:ascii="Arial" w:cs="Arial" w:eastAsia="Arial" w:hAnsi="Arial"/>
          <w:b/>
          <w:bCs/>
          <w:color w:val="2E4D8A"/>
          <w:sz w:val="26"/>
          <w:szCs w:val="26"/>
        </w:rPr>
        <w:t xml:space="preserve">5.1 Frontend Layer</w:t>
      </w:r>
    </w:p>
    <w:p>
      <w:pPr>
        <w:spacing w:after="60" w:before="60"/>
        <w:jc w:val="both"/>
      </w:pPr>
      <w:r>
        <w:rPr>
          <w:rFonts w:ascii="Arial" w:cs="Arial" w:eastAsia="Arial" w:hAnsi="Arial"/>
          <w:sz w:val="22"/>
          <w:szCs w:val="22"/>
        </w:rPr>
        <w:t xml:space="preserve">Built with React and Vite for fast development and optimized production builds. Tailwind CSS provides utility-first styling for a clean and responsive user interface. Redux Toolkit manages authentication and user session state globally, while Axios handles all HTTP API communication. The Socket.IO client enables event-driven real-time updates without requiring page refreshes.</w:t>
      </w:r>
    </w:p>
    <w:p>
      <w:pPr>
        <w:spacing w:after="40" w:before="40"/>
      </w:pPr>
      <w:r>
        <w:t xml:space="preserve"/>
      </w:r>
    </w:p>
    <w:p>
      <w:pPr>
        <w:pStyle w:val="Heading2"/>
        <w:spacing w:after="80" w:before="160"/>
      </w:pPr>
      <w:r>
        <w:rPr>
          <w:rFonts w:ascii="Arial" w:cs="Arial" w:eastAsia="Arial" w:hAnsi="Arial"/>
          <w:b/>
          <w:bCs/>
          <w:color w:val="2E4D8A"/>
          <w:sz w:val="26"/>
          <w:szCs w:val="26"/>
        </w:rPr>
        <w:t xml:space="preserve">5.2 Backend Layer</w:t>
      </w:r>
    </w:p>
    <w:p>
      <w:pPr>
        <w:spacing w:after="60" w:before="60"/>
        <w:jc w:val="both"/>
      </w:pPr>
      <w:r>
        <w:rPr>
          <w:rFonts w:ascii="Arial" w:cs="Arial" w:eastAsia="Arial" w:hAnsi="Arial"/>
          <w:sz w:val="22"/>
          <w:szCs w:val="22"/>
        </w:rPr>
        <w:t xml:space="preserve">The server is built on Node.js with Express, providing a structured REST API with middleware pipeline support. Mongoose manages MongoDB schema definitions and data model interactions. JWT tokens secure all protected routes, and the Socket.IO server manages bidirectional real-time events for messaging and workflow state changes.</w:t>
      </w:r>
    </w:p>
    <w:p>
      <w:pPr>
        <w:spacing w:after="40" w:before="40"/>
      </w:pPr>
      <w:r>
        <w:t xml:space="preserve"/>
      </w:r>
    </w:p>
    <w:p>
      <w:pPr>
        <w:spacing w:after="60" w:before="60"/>
        <w:jc w:val="both"/>
      </w:pPr>
      <w:r>
        <w:rPr>
          <w:rFonts w:ascii="Arial" w:cs="Arial" w:eastAsia="Arial" w:hAnsi="Arial"/>
          <w:sz w:val="22"/>
          <w:szCs w:val="22"/>
        </w:rPr>
        <w:t xml:space="preserve">The table below summarizes the complete technology stack used across all layers of the MediTalk platform: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Frontend</w:t>
            </w:r>
          </w:p>
        </w:tc>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React + Vite</w:t>
            </w:r>
          </w:p>
        </w:tc>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Fast component-based UI with optimized builds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Tailwind CSS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Utility-first responsive styling</w:t>
            </w:r>
          </w:p>
        </w:tc>
      </w:tr>
      <w:tr>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Frontend</w:t>
            </w:r>
          </w:p>
        </w:tc>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Redux Toolkit</w:t>
            </w:r>
          </w:p>
        </w:tc>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Global auth and session state management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Axios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 client for REST API communication</w:t>
            </w:r>
          </w:p>
        </w:tc>
      </w:tr>
      <w:tr>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Frontend</w:t>
            </w:r>
          </w:p>
        </w:tc>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Socket.IO Client</w:t>
            </w:r>
          </w:p>
        </w:tc>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Real-time event-driven UI updates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Node.js + Express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REST API server with middleware pipeline</w:t>
            </w:r>
          </w:p>
        </w:tc>
      </w:tr>
      <w:tr>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Backend</w:t>
            </w:r>
          </w:p>
        </w:tc>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Mongoose</w:t>
            </w:r>
          </w:p>
        </w:tc>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MongoDB schema management and ORM</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JWT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Stateless token-based route authentication</w:t>
            </w:r>
          </w:p>
        </w:tc>
      </w:tr>
      <w:tr>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Backend</w:t>
            </w:r>
          </w:p>
        </w:tc>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Socket.IO Server</w:t>
            </w:r>
          </w:p>
        </w:tc>
        <w:tc>
          <w:tcPr>
            <w:tcW w:type="dxa" w:w="3120"/>
            <w:tcBorders>
              <w:top w:val="single" w:color="CCCCCC" w:sz="1"/>
              <w:left w:val="single" w:color="CCCCCC" w:sz="1"/>
              <w:bottom w:val="single" w:color="CCCCCC" w:sz="1"/>
              <w:right w:val="single" w:color="CCCCCC" w:sz="1"/>
            </w:tcBorders>
            <w:shd w:fill="EDF2FB" w:val="clear"/>
            <w:tcMar>
              <w:top w:type="dxa" w:w="70"/>
              <w:left w:type="dxa" w:w="120"/>
              <w:bottom w:type="dxa" w:w="70"/>
              <w:right w:type="dxa" w:w="120"/>
            </w:tcMar>
          </w:tcPr>
          <w:p>
            <w:r>
              <w:rPr>
                <w:rFonts w:ascii="Arial" w:cs="Arial" w:eastAsia="Arial" w:hAnsi="Arial"/>
                <w:sz w:val="20"/>
                <w:szCs w:val="20"/>
              </w:rPr>
              <w:t xml:space="preserve">Bidirectional real-time messaging events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MongoDB</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NoSQL document store for all platform data</w:t>
            </w:r>
          </w:p>
        </w:tc>
      </w:tr>
    </w:tbl>
    <w:p>
      <w:pPr>
        <w:spacing w:after="40" w:before="40"/>
      </w:pPr>
      <w:r>
        <w:t xml:space="preserve"/>
      </w:r>
    </w:p>
    <w:p>
      <w:pPr>
        <w:pStyle w:val="Heading2"/>
        <w:spacing w:after="80" w:before="160"/>
      </w:pPr>
      <w:r>
        <w:rPr>
          <w:rFonts w:ascii="Arial" w:cs="Arial" w:eastAsia="Arial" w:hAnsi="Arial"/>
          <w:b/>
          <w:bCs/>
          <w:color w:val="2E4D8A"/>
          <w:sz w:val="26"/>
          <w:szCs w:val="26"/>
        </w:rPr>
        <w:t xml:space="preserve">5.3 Data Layer</w:t>
      </w:r>
    </w:p>
    <w:p>
      <w:pPr>
        <w:spacing w:after="60" w:before="60"/>
        <w:jc w:val="both"/>
      </w:pPr>
      <w:r>
        <w:rPr>
          <w:rFonts w:ascii="Arial" w:cs="Arial" w:eastAsia="Arial" w:hAnsi="Arial"/>
          <w:sz w:val="22"/>
          <w:szCs w:val="22"/>
        </w:rPr>
        <w:t xml:space="preserve">MongoDB serves as the primary database, with dedicated collections for each functional domain of the platform. Key fields in the payment, prescription, and conversation flows are indexed to support efficient lookup operations across the consultation lifecycle. The table below outlines each collection and its role: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D8A" w:val="clear"/>
            <w:tcMar>
              <w:top w:type="dxa" w:w="90"/>
              <w:left w:type="dxa" w:w="120"/>
              <w:bottom w:type="dxa" w:w="90"/>
              <w:right w:type="dxa" w:w="120"/>
            </w:tcMar>
          </w:tcPr>
          <w:p>
            <w:r>
              <w:rPr>
                <w:rFonts w:ascii="Arial" w:cs="Arial" w:eastAsia="Arial" w:hAnsi="Arial"/>
                <w:b/>
                <w:bCs/>
                <w:color w:val="FFFFFF"/>
                <w:sz w:val="20"/>
                <w:szCs w:val="20"/>
              </w:rPr>
              <w:t xml:space="preserve">Collection</w:t>
            </w:r>
          </w:p>
        </w:tc>
        <w:tc>
          <w:tcPr>
            <w:tcW w:type="dxa" w:w="4680"/>
            <w:tcBorders>
              <w:top w:val="single" w:color="CCCCCC" w:sz="1"/>
              <w:left w:val="single" w:color="CCCCCC" w:sz="1"/>
              <w:bottom w:val="single" w:color="CCCCCC" w:sz="1"/>
              <w:right w:val="single" w:color="CCCCCC" w:sz="1"/>
            </w:tcBorders>
            <w:shd w:fill="2E4D8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sz w:val="20"/>
                <w:szCs w:val="20"/>
              </w:rPr>
              <w:t xml:space="preserve">Users</w:t>
            </w:r>
          </w:p>
        </w:tc>
        <w:tc>
          <w:tcPr>
            <w:tcW w:type="dxa" w:w="468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sz w:val="20"/>
                <w:szCs w:val="20"/>
              </w:rPr>
              <w:t xml:space="preserve">Stores patient, doctor, and admin profiles with role and auth details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Appointments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Tracks appointment lifecycle, status transitions, and linked parties</w:t>
            </w:r>
          </w:p>
        </w:tc>
      </w:tr>
      <w:tr>
        <w:tc>
          <w:tcPr>
            <w:tcW w:type="dxa" w:w="468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sz w:val="20"/>
                <w:szCs w:val="20"/>
              </w:rPr>
              <w:t xml:space="preserve">Conversations</w:t>
            </w:r>
          </w:p>
        </w:tc>
        <w:tc>
          <w:tcPr>
            <w:tcW w:type="dxa" w:w="468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sz w:val="20"/>
                <w:szCs w:val="20"/>
              </w:rPr>
              <w:t xml:space="preserve">Manages chat threads between patient-doctor pairs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Messages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Stores individual chat messages with sender/receiver context</w:t>
            </w:r>
          </w:p>
        </w:tc>
      </w:tr>
      <w:tr>
        <w:tc>
          <w:tcPr>
            <w:tcW w:type="dxa" w:w="468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sz w:val="20"/>
                <w:szCs w:val="20"/>
              </w:rPr>
              <w:t xml:space="preserve">Payments</w:t>
            </w:r>
          </w:p>
        </w:tc>
        <w:tc>
          <w:tcPr>
            <w:tcW w:type="dxa" w:w="468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sz w:val="20"/>
                <w:szCs w:val="20"/>
              </w:rPr>
              <w:t xml:space="preserve">Records payment transactions linked to appointments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Prescriptions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Stores structured prescription documents with medicines array</w:t>
            </w:r>
          </w:p>
        </w:tc>
      </w:tr>
      <w:tr>
        <w:tc>
          <w:tcPr>
            <w:tcW w:type="dxa" w:w="468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sz w:val="20"/>
                <w:szCs w:val="20"/>
              </w:rPr>
              <w:t xml:space="preserve">Notifications</w:t>
            </w:r>
          </w:p>
        </w:tc>
        <w:tc>
          <w:tcPr>
            <w:tcW w:type="dxa" w:w="4680"/>
            <w:tcBorders>
              <w:top w:val="single" w:color="CCCCCC" w:sz="1"/>
              <w:left w:val="single" w:color="CCCCCC" w:sz="1"/>
              <w:bottom w:val="single" w:color="CCCCCC" w:sz="1"/>
              <w:right w:val="single" w:color="CCCCCC" w:sz="1"/>
            </w:tcBorders>
            <w:shd w:fill="F0F4FF" w:val="clear"/>
            <w:tcMar>
              <w:top w:type="dxa" w:w="70"/>
              <w:left w:type="dxa" w:w="120"/>
              <w:bottom w:type="dxa" w:w="70"/>
              <w:right w:type="dxa" w:w="120"/>
            </w:tcMar>
          </w:tcPr>
          <w:p>
            <w:r>
              <w:rPr>
                <w:rFonts w:ascii="Arial" w:cs="Arial" w:eastAsia="Arial" w:hAnsi="Arial"/>
                <w:sz w:val="20"/>
                <w:szCs w:val="20"/>
              </w:rPr>
              <w:t xml:space="preserve">Logs system-generated alerts for all critical workflow events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Reviews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Captures patient ratings and feedback for doctor profiles</w:t>
            </w:r>
          </w:p>
        </w:tc>
      </w:tr>
    </w:tbl>
    <w:p>
      <w:pPr>
        <w:spacing w:after="40" w:before="40"/>
      </w:pPr>
      <w:r>
        <w:t xml:space="preserve"/>
      </w:r>
    </w:p>
    <w:p>
      <w:pPr>
        <w:pStyle w:val="Heading1"/>
        <w:pBdr>
          <w:bottom w:val="single" w:color="1F3864" w:sz="6" w:space="1"/>
        </w:pBdr>
        <w:spacing w:after="120" w:before="240"/>
      </w:pPr>
      <w:r>
        <w:rPr>
          <w:rFonts w:ascii="Arial" w:cs="Arial" w:eastAsia="Arial" w:hAnsi="Arial"/>
          <w:b/>
          <w:bCs/>
          <w:color w:val="1F3864"/>
          <w:sz w:val="32"/>
          <w:szCs w:val="32"/>
        </w:rPr>
        <w:t xml:space="preserve">6. Module-Wise Functional Design</w:t>
      </w:r>
    </w:p>
    <w:p>
      <w:pPr>
        <w:pStyle w:val="Heading2"/>
        <w:spacing w:after="80" w:before="160"/>
      </w:pPr>
      <w:r>
        <w:rPr>
          <w:rFonts w:ascii="Arial" w:cs="Arial" w:eastAsia="Arial" w:hAnsi="Arial"/>
          <w:b/>
          <w:bCs/>
          <w:color w:val="2E4D8A"/>
          <w:sz w:val="26"/>
          <w:szCs w:val="26"/>
        </w:rPr>
        <w:t xml:space="preserve">6.1 Authentication and Access Control</w:t>
      </w:r>
    </w:p>
    <w:p>
      <w:pPr>
        <w:spacing w:after="60" w:before="60"/>
        <w:jc w:val="both"/>
      </w:pPr>
      <w:r>
        <w:rPr>
          <w:rFonts w:ascii="Arial" w:cs="Arial" w:eastAsia="Arial" w:hAnsi="Arial"/>
          <w:sz w:val="22"/>
          <w:szCs w:val="22"/>
        </w:rPr>
        <w:t xml:space="preserve">The authentication module supports multi-role registration covering Patient, Doctor, and Admin personas. Doctor-specific registration captures professional details and verification state. All protected routes are secured via JWT middleware, and every request is filtered based on the authenticated user's role to restrict data visibility and action permissions appropriately.</w:t>
      </w:r>
    </w:p>
    <w:p>
      <w:pPr>
        <w:spacing w:after="40" w:before="40"/>
      </w:pPr>
      <w:r>
        <w:t xml:space="preserve"/>
      </w:r>
    </w:p>
    <w:p>
      <w:pPr>
        <w:pStyle w:val="Heading2"/>
        <w:spacing w:after="80" w:before="160"/>
      </w:pPr>
      <w:r>
        <w:rPr>
          <w:rFonts w:ascii="Arial" w:cs="Arial" w:eastAsia="Arial" w:hAnsi="Arial"/>
          <w:b/>
          <w:bCs/>
          <w:color w:val="2E4D8A"/>
          <w:sz w:val="26"/>
          <w:szCs w:val="26"/>
        </w:rPr>
        <w:t xml:space="preserve">6.2 Doctor Discovery</w:t>
      </w:r>
    </w:p>
    <w:p>
      <w:pPr>
        <w:spacing w:after="60" w:before="60"/>
        <w:jc w:val="both"/>
      </w:pPr>
      <w:r>
        <w:rPr>
          <w:rFonts w:ascii="Arial" w:cs="Arial" w:eastAsia="Arial" w:hAnsi="Arial"/>
          <w:sz w:val="22"/>
          <w:szCs w:val="22"/>
        </w:rPr>
        <w:t xml:space="preserve">Patients can search and browse doctor listings with support for filtering by specialization and other criteria. Each doctor card displays specialization, consultation fee, ratings, and direct action links to the doctor's profile or chat. Consultation fee visibility was included explicitly to ensure transparent pricing during the patient's selection process.</w:t>
      </w:r>
    </w:p>
    <w:p>
      <w:pPr>
        <w:spacing w:after="40" w:before="40"/>
      </w:pPr>
      <w:r>
        <w:t xml:space="preserve"/>
      </w:r>
    </w:p>
    <w:p>
      <w:pPr>
        <w:pStyle w:val="Heading2"/>
        <w:spacing w:after="80" w:before="160"/>
      </w:pPr>
      <w:r>
        <w:rPr>
          <w:rFonts w:ascii="Arial" w:cs="Arial" w:eastAsia="Arial" w:hAnsi="Arial"/>
          <w:b/>
          <w:bCs/>
          <w:color w:val="2E4D8A"/>
          <w:sz w:val="26"/>
          <w:szCs w:val="26"/>
        </w:rPr>
        <w:t xml:space="preserve">6.3 Real-Time Chat and Appointment Integration</w:t>
      </w:r>
    </w:p>
    <w:p>
      <w:pPr>
        <w:spacing w:after="60" w:before="60"/>
        <w:jc w:val="both"/>
      </w:pPr>
      <w:r>
        <w:rPr>
          <w:rFonts w:ascii="Arial" w:cs="Arial" w:eastAsia="Arial" w:hAnsi="Arial"/>
          <w:sz w:val="22"/>
          <w:szCs w:val="22"/>
        </w:rPr>
        <w:t xml:space="preserve">The chat module provides persistent message exchange with sender and receiver context maintained for every message thread. Appointment metadata is embedded directly within chat messages, allowing appointment-related actions — accept, reject, join, and end — to be performed inline within the chat interface via action cards. Typing indicators and thread-scoped event rendering improve the real-time communication experience significantly.</w:t>
      </w:r>
    </w:p>
    <w:p>
      <w:pPr>
        <w:spacing w:after="40" w:before="40"/>
      </w:pPr>
      <w:r>
        <w:t xml:space="preserve"/>
      </w:r>
    </w:p>
    <w:p>
      <w:pPr>
        <w:pStyle w:val="Heading2"/>
        <w:spacing w:after="80" w:before="160"/>
      </w:pPr>
      <w:r>
        <w:rPr>
          <w:rFonts w:ascii="Arial" w:cs="Arial" w:eastAsia="Arial" w:hAnsi="Arial"/>
          <w:b/>
          <w:bCs/>
          <w:color w:val="2E4D8A"/>
          <w:sz w:val="26"/>
          <w:szCs w:val="26"/>
        </w:rPr>
        <w:t xml:space="preserve">6.4 Payment Management</w:t>
      </w:r>
    </w:p>
    <w:p>
      <w:pPr>
        <w:spacing w:after="60" w:before="60"/>
        <w:jc w:val="both"/>
      </w:pPr>
      <w:r>
        <w:rPr>
          <w:rFonts w:ascii="Arial" w:cs="Arial" w:eastAsia="Arial" w:hAnsi="Arial"/>
          <w:sz w:val="22"/>
          <w:szCs w:val="22"/>
        </w:rPr>
        <w:t xml:space="preserve">The payment module is initiated through a dedicated API endpoint linked to a specific appointment. Patients submit mock card details through a validated payment form. Upon successful processing, a transaction identifier and receipt details are generated and persisted. A payment status retrieval API ensures that both the frontend and the backend remain synchronized on payment state at all times.</w:t>
      </w:r>
    </w:p>
    <w:p>
      <w:pPr>
        <w:spacing w:after="40" w:before="40"/>
      </w:pPr>
      <w:r>
        <w:t xml:space="preserve"/>
      </w:r>
    </w:p>
    <w:p>
      <w:pPr>
        <w:pStyle w:val="Heading2"/>
        <w:spacing w:after="80" w:before="160"/>
      </w:pPr>
      <w:r>
        <w:rPr>
          <w:rFonts w:ascii="Arial" w:cs="Arial" w:eastAsia="Arial" w:hAnsi="Arial"/>
          <w:b/>
          <w:bCs/>
          <w:color w:val="2E4D8A"/>
          <w:sz w:val="26"/>
          <w:szCs w:val="26"/>
        </w:rPr>
        <w:t xml:space="preserve">6.5 Prescription Management</w:t>
      </w:r>
    </w:p>
    <w:p>
      <w:pPr>
        <w:spacing w:after="60" w:before="60"/>
        <w:jc w:val="both"/>
      </w:pPr>
      <w:r>
        <w:rPr>
          <w:rFonts w:ascii="Arial" w:cs="Arial" w:eastAsia="Arial" w:hAnsi="Arial"/>
          <w:sz w:val="22"/>
          <w:szCs w:val="22"/>
        </w:rPr>
        <w:t xml:space="preserve">Prescriptions are modeled as structured clinical documents linked to a specific appointment, patient, and doctor. Each prescription contains a nested medicines array with mandatory fields — medicine name, dosage, frequency, and duration — and optional fields including type, administration instructions, and additional notes. The system enforces a strict rule: prescription submission is only permitted for appointments that are both marked as completed and have a verified completed payment record.</w:t>
      </w:r>
    </w:p>
    <w:p>
      <w:pPr>
        <w:spacing w:after="40" w:before="40"/>
      </w:pPr>
      <w:r>
        <w:t xml:space="preserve"/>
      </w:r>
    </w:p>
    <w:p>
      <w:pPr>
        <w:pStyle w:val="Heading2"/>
        <w:spacing w:after="80" w:before="160"/>
      </w:pPr>
      <w:r>
        <w:rPr>
          <w:rFonts w:ascii="Arial" w:cs="Arial" w:eastAsia="Arial" w:hAnsi="Arial"/>
          <w:b/>
          <w:bCs/>
          <w:color w:val="2E4D8A"/>
          <w:sz w:val="26"/>
          <w:szCs w:val="26"/>
        </w:rPr>
        <w:t xml:space="preserve">6.6 Notifications and Real-Time Events</w:t>
      </w:r>
    </w:p>
    <w:p>
      <w:pPr>
        <w:spacing w:after="60" w:before="60"/>
        <w:jc w:val="both"/>
      </w:pPr>
      <w:r>
        <w:rPr>
          <w:rFonts w:ascii="Arial" w:cs="Arial" w:eastAsia="Arial" w:hAnsi="Arial"/>
          <w:sz w:val="22"/>
          <w:szCs w:val="22"/>
        </w:rPr>
        <w:t xml:space="preserve">The notification system generates real-time alerts for all critical events in the consultation workflow. Payment completion triggers notifications to both the patient and the doctor. Prescription submission triggers a receipt notification to the patient. Socket.IO events drive status synchronization, ensuring that all parties see the latest workflow state without manual page refreshes.</w:t>
      </w:r>
    </w:p>
    <w:p>
      <w:pPr>
        <w:spacing w:after="40" w:before="40"/>
      </w:pPr>
      <w:r>
        <w:t xml:space="preserve"/>
      </w:r>
    </w:p>
    <w:p>
      <w:pPr>
        <w:pStyle w:val="Heading1"/>
        <w:pBdr>
          <w:bottom w:val="single" w:color="1F3864" w:sz="6" w:space="1"/>
        </w:pBdr>
        <w:spacing w:after="120" w:before="240"/>
      </w:pPr>
      <w:r>
        <w:rPr>
          <w:rFonts w:ascii="Arial" w:cs="Arial" w:eastAsia="Arial" w:hAnsi="Arial"/>
          <w:b/>
          <w:bCs/>
          <w:color w:val="1F3864"/>
          <w:sz w:val="32"/>
          <w:szCs w:val="32"/>
        </w:rPr>
        <w:t xml:space="preserve">7. Core Business Workflow: Payment to Prescription</w:t>
      </w:r>
    </w:p>
    <w:p>
      <w:pPr>
        <w:spacing w:after="60" w:before="60"/>
        <w:jc w:val="both"/>
      </w:pPr>
      <w:r>
        <w:rPr>
          <w:rFonts w:ascii="Arial" w:cs="Arial" w:eastAsia="Arial" w:hAnsi="Arial"/>
          <w:sz w:val="22"/>
          <w:szCs w:val="22"/>
        </w:rPr>
        <w:t xml:space="preserve">The post-consultation workflow is the most critical path in the MediTalk system and is implemented as a controlled state machine with mandatory sequential progression:</w:t>
      </w:r>
    </w:p>
    <w:p>
      <w:pPr>
        <w:spacing w:after="40" w:before="40"/>
      </w:pPr>
      <w:r>
        <w:t xml:space="preserve"/>
      </w:r>
    </w:p>
    <w:p>
      <w:pPr>
        <w:pStyle w:val="ListParagraph"/>
        <w:numPr>
          <w:ilvl w:val="0"/>
          <w:numId w:val="4"/>
        </w:numPr>
        <w:spacing w:after="60" w:before="60"/>
      </w:pPr>
      <w:r>
        <w:rPr>
          <w:rFonts w:ascii="Arial" w:cs="Arial" w:eastAsia="Arial" w:hAnsi="Arial"/>
          <w:sz w:val="22"/>
          <w:szCs w:val="22"/>
        </w:rPr>
        <w:t xml:space="preserve">The doctor marks the appointment as completed, closing the active consultation session.</w:t>
      </w:r>
    </w:p>
    <w:p>
      <w:pPr>
        <w:pStyle w:val="ListParagraph"/>
        <w:numPr>
          <w:ilvl w:val="0"/>
          <w:numId w:val="4"/>
        </w:numPr>
        <w:spacing w:after="60" w:before="60"/>
      </w:pPr>
      <w:r>
        <w:rPr>
          <w:rFonts w:ascii="Arial" w:cs="Arial" w:eastAsia="Arial" w:hAnsi="Arial"/>
          <w:sz w:val="22"/>
          <w:szCs w:val="22"/>
        </w:rPr>
        <w:t xml:space="preserve">The patient's chat card displays a payment action, prompting the patient to complete payment.</w:t>
      </w:r>
    </w:p>
    <w:p>
      <w:pPr>
        <w:pStyle w:val="ListParagraph"/>
        <w:numPr>
          <w:ilvl w:val="0"/>
          <w:numId w:val="4"/>
        </w:numPr>
        <w:spacing w:after="60" w:before="60"/>
      </w:pPr>
      <w:r>
        <w:rPr>
          <w:rFonts w:ascii="Arial" w:cs="Arial" w:eastAsia="Arial" w:hAnsi="Arial"/>
          <w:sz w:val="22"/>
          <w:szCs w:val="22"/>
        </w:rPr>
        <w:t xml:space="preserve">The patient submits card details through the payment form and receives a payment receipt.</w:t>
      </w:r>
    </w:p>
    <w:p>
      <w:pPr>
        <w:pStyle w:val="ListParagraph"/>
        <w:numPr>
          <w:ilvl w:val="0"/>
          <w:numId w:val="4"/>
        </w:numPr>
        <w:spacing w:after="60" w:before="60"/>
      </w:pPr>
      <w:r>
        <w:rPr>
          <w:rFonts w:ascii="Arial" w:cs="Arial" w:eastAsia="Arial" w:hAnsi="Arial"/>
          <w:sz w:val="22"/>
          <w:szCs w:val="22"/>
        </w:rPr>
        <w:t xml:space="preserve">The backend persists the payment record with a completed status, transaction ID, and card reference.</w:t>
      </w:r>
    </w:p>
    <w:p>
      <w:pPr>
        <w:pStyle w:val="ListParagraph"/>
        <w:numPr>
          <w:ilvl w:val="0"/>
          <w:numId w:val="4"/>
        </w:numPr>
        <w:spacing w:after="60" w:before="60"/>
      </w:pPr>
      <w:r>
        <w:rPr>
          <w:rFonts w:ascii="Arial" w:cs="Arial" w:eastAsia="Arial" w:hAnsi="Arial"/>
          <w:sz w:val="22"/>
          <w:szCs w:val="22"/>
        </w:rPr>
        <w:t xml:space="preserve">The doctor receives a payment completion event and notification, confirming that payment has been settled.</w:t>
      </w:r>
    </w:p>
    <w:p>
      <w:pPr>
        <w:pStyle w:val="ListParagraph"/>
        <w:numPr>
          <w:ilvl w:val="0"/>
          <w:numId w:val="4"/>
        </w:numPr>
        <w:spacing w:after="60" w:before="60"/>
      </w:pPr>
      <w:r>
        <w:rPr>
          <w:rFonts w:ascii="Arial" w:cs="Arial" w:eastAsia="Arial" w:hAnsi="Arial"/>
          <w:sz w:val="22"/>
          <w:szCs w:val="22"/>
        </w:rPr>
        <w:t xml:space="preserve">The doctor's interface enables the prescription form, which was previously locked pending payment.</w:t>
      </w:r>
    </w:p>
    <w:p>
      <w:pPr>
        <w:pStyle w:val="ListParagraph"/>
        <w:numPr>
          <w:ilvl w:val="0"/>
          <w:numId w:val="4"/>
        </w:numPr>
        <w:spacing w:after="60" w:before="60"/>
      </w:pPr>
      <w:r>
        <w:rPr>
          <w:rFonts w:ascii="Arial" w:cs="Arial" w:eastAsia="Arial" w:hAnsi="Arial"/>
          <w:sz w:val="22"/>
          <w:szCs w:val="22"/>
        </w:rPr>
        <w:t xml:space="preserve">The prescription is submitted, stored in the database, and delivered to the patient via the chat interface and a notification event.</w:t>
      </w:r>
    </w:p>
    <w:p>
      <w:pPr>
        <w:spacing w:after="40" w:before="40"/>
      </w:pPr>
      <w:r>
        <w:t xml:space="preserve"/>
      </w:r>
    </w:p>
    <w:p>
      <w:pPr>
        <w:pStyle w:val="Heading2"/>
        <w:spacing w:after="80" w:before="160"/>
      </w:pPr>
      <w:r>
        <w:rPr>
          <w:rFonts w:ascii="Arial" w:cs="Arial" w:eastAsia="Arial" w:hAnsi="Arial"/>
          <w:b/>
          <w:bCs/>
          <w:color w:val="2E4D8A"/>
          <w:sz w:val="26"/>
          <w:szCs w:val="26"/>
        </w:rPr>
        <w:t xml:space="preserve">Key Rule Enforcement Points</w:t>
      </w:r>
    </w:p>
    <w:p>
      <w:pPr>
        <w:pStyle w:val="ListParagraph"/>
        <w:numPr>
          <w:ilvl w:val="0"/>
          <w:numId w:val="3"/>
        </w:numPr>
        <w:spacing w:after="40" w:before="40"/>
      </w:pPr>
      <w:r>
        <w:rPr>
          <w:rFonts w:ascii="Arial" w:cs="Arial" w:eastAsia="Arial" w:hAnsi="Arial"/>
          <w:sz w:val="22"/>
          <w:szCs w:val="22"/>
        </w:rPr>
        <w:t xml:space="preserve">Any API request to create a prescription is rejected if the linked appointment's payment status is not confirmed as completed.</w:t>
      </w:r>
    </w:p>
    <w:p>
      <w:pPr>
        <w:pStyle w:val="ListParagraph"/>
        <w:numPr>
          <w:ilvl w:val="0"/>
          <w:numId w:val="3"/>
        </w:numPr>
        <w:spacing w:after="40" w:before="40"/>
      </w:pPr>
      <w:r>
        <w:rPr>
          <w:rFonts w:ascii="Arial" w:cs="Arial" w:eastAsia="Arial" w:hAnsi="Arial"/>
          <w:sz w:val="22"/>
          <w:szCs w:val="22"/>
        </w:rPr>
        <w:t xml:space="preserve">The frontend hides or disables invalid action paths at each stage, reducing user error and preventing out-of-sequence interactions.</w:t>
      </w:r>
    </w:p>
    <w:p>
      <w:r>
        <w:br w:type="page"/>
      </w:r>
    </w:p>
    <w:p>
      <w:pPr>
        <w:pStyle w:val="Heading1"/>
        <w:pBdr>
          <w:bottom w:val="single" w:color="1F3864" w:sz="6" w:space="1"/>
        </w:pBdr>
        <w:spacing w:after="120" w:before="240"/>
      </w:pPr>
      <w:r>
        <w:rPr>
          <w:rFonts w:ascii="Arial" w:cs="Arial" w:eastAsia="Arial" w:hAnsi="Arial"/>
          <w:b/>
          <w:bCs/>
          <w:color w:val="1F3864"/>
          <w:sz w:val="32"/>
          <w:szCs w:val="32"/>
        </w:rPr>
        <w:t xml:space="preserve">8. Data Model Design</w:t>
      </w:r>
    </w:p>
    <w:p>
      <w:pPr>
        <w:pStyle w:val="Heading2"/>
        <w:spacing w:after="80" w:before="160"/>
      </w:pPr>
      <w:r>
        <w:rPr>
          <w:rFonts w:ascii="Arial" w:cs="Arial" w:eastAsia="Arial" w:hAnsi="Arial"/>
          <w:b/>
          <w:bCs/>
          <w:color w:val="2E4D8A"/>
          <w:sz w:val="26"/>
          <w:szCs w:val="26"/>
        </w:rPr>
        <w:t xml:space="preserve">8.1 Payment Model</w:t>
      </w:r>
    </w:p>
    <w:p>
      <w:pPr>
        <w:spacing w:after="60" w:before="60"/>
        <w:jc w:val="both"/>
      </w:pPr>
      <w:r>
        <w:rPr>
          <w:rFonts w:ascii="Arial" w:cs="Arial" w:eastAsia="Arial" w:hAnsi="Arial"/>
          <w:sz w:val="22"/>
          <w:szCs w:val="22"/>
        </w:rPr>
        <w:t xml:space="preserve">Each payment record is uniquely linked to a single appointment. Fields include the payment amount, status (pending/completed/failed), a generated transaction ID, the last four digits of the card used, and the payment method. This structure supports both audit tracing and UI status rendering across the patient and doctor interfaces.</w:t>
      </w:r>
    </w:p>
    <w:p>
      <w:pPr>
        <w:spacing w:after="40" w:before="40"/>
      </w:pPr>
      <w:r>
        <w:t xml:space="preserve"/>
      </w:r>
    </w:p>
    <w:p>
      <w:pPr>
        <w:pStyle w:val="Heading2"/>
        <w:spacing w:after="80" w:before="160"/>
      </w:pPr>
      <w:r>
        <w:rPr>
          <w:rFonts w:ascii="Arial" w:cs="Arial" w:eastAsia="Arial" w:hAnsi="Arial"/>
          <w:b/>
          <w:bCs/>
          <w:color w:val="2E4D8A"/>
          <w:sz w:val="26"/>
          <w:szCs w:val="26"/>
        </w:rPr>
        <w:t xml:space="preserve">8.2 Prescription Model</w:t>
      </w:r>
    </w:p>
    <w:p>
      <w:pPr>
        <w:spacing w:after="60" w:before="60"/>
        <w:jc w:val="both"/>
      </w:pPr>
      <w:r>
        <w:rPr>
          <w:rFonts w:ascii="Arial" w:cs="Arial" w:eastAsia="Arial" w:hAnsi="Arial"/>
          <w:sz w:val="22"/>
          <w:szCs w:val="22"/>
        </w:rPr>
        <w:t xml:space="preserve">Each prescription is stored as a document linked to its appointment, doctor, and patient. The medicines array is a nested structure, allowing multiple medicines with individual clinical instructions to be recorded within a single prescription record. A reference to the corresponding payment record ensures the payment-prescription dependency is maintained at the data layer itself.</w:t>
      </w:r>
    </w:p>
    <w:p>
      <w:pPr>
        <w:spacing w:after="40" w:before="40"/>
      </w:pPr>
      <w:r>
        <w:t xml:space="preserve"/>
      </w:r>
    </w:p>
    <w:p>
      <w:pPr>
        <w:pStyle w:val="Heading2"/>
        <w:spacing w:after="80" w:before="160"/>
      </w:pPr>
      <w:r>
        <w:rPr>
          <w:rFonts w:ascii="Arial" w:cs="Arial" w:eastAsia="Arial" w:hAnsi="Arial"/>
          <w:b/>
          <w:bCs/>
          <w:color w:val="2E4D8A"/>
          <w:sz w:val="26"/>
          <w:szCs w:val="26"/>
        </w:rPr>
        <w:t xml:space="preserve">8.3 User Model Extension</w:t>
      </w:r>
    </w:p>
    <w:p>
      <w:pPr>
        <w:spacing w:after="60" w:before="60"/>
        <w:jc w:val="both"/>
      </w:pPr>
      <w:r>
        <w:rPr>
          <w:rFonts w:ascii="Arial" w:cs="Arial" w:eastAsia="Arial" w:hAnsi="Arial"/>
          <w:sz w:val="22"/>
          <w:szCs w:val="22"/>
        </w:rPr>
        <w:t xml:space="preserve">The User schema was extended with a consultationFee field to support transparent fee display in the doctor discovery flow. This field is captured at the doctor registration stage and surfaced on doctor listing cards visible to patients, ensuring pricing clarity before a consultation is initiated.</w:t>
      </w:r>
    </w:p>
    <w:p>
      <w:pPr>
        <w:spacing w:after="40" w:before="40"/>
      </w:pPr>
      <w:r>
        <w:t xml:space="preserve"/>
      </w:r>
    </w:p>
    <w:p>
      <w:pPr>
        <w:pStyle w:val="Heading1"/>
        <w:pBdr>
          <w:bottom w:val="single" w:color="1F3864" w:sz="6" w:space="1"/>
        </w:pBdr>
        <w:spacing w:after="120" w:before="240"/>
      </w:pPr>
      <w:r>
        <w:rPr>
          <w:rFonts w:ascii="Arial" w:cs="Arial" w:eastAsia="Arial" w:hAnsi="Arial"/>
          <w:b/>
          <w:bCs/>
          <w:color w:val="1F3864"/>
          <w:sz w:val="32"/>
          <w:szCs w:val="32"/>
        </w:rPr>
        <w:t xml:space="preserve">9. API Design</w:t>
      </w:r>
    </w:p>
    <w:p>
      <w:pPr>
        <w:spacing w:after="60" w:before="60"/>
        <w:jc w:val="both"/>
      </w:pPr>
      <w:r>
        <w:rPr>
          <w:rFonts w:ascii="Arial" w:cs="Arial" w:eastAsia="Arial" w:hAnsi="Arial"/>
          <w:sz w:val="22"/>
          <w:szCs w:val="22"/>
        </w:rPr>
        <w:t xml:space="preserve">MediTalk's API is organized into clearly separated resource namespaces, each handling a specific domain of the platform: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Module</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Base Path</w:t>
            </w:r>
          </w:p>
        </w:tc>
      </w:tr>
      <w:tr>
        <w:tc>
          <w:tcPr>
            <w:tcW w:type="dxa" w:w="4680"/>
            <w:tcBorders>
              <w:top w:val="single" w:color="CCCCCC" w:sz="1"/>
              <w:left w:val="single" w:color="CCCCCC" w:sz="1"/>
              <w:bottom w:val="single" w:color="CCCCCC" w:sz="1"/>
              <w:right w:val="single" w:color="CCCCCC" w:sz="1"/>
            </w:tcBorders>
            <w:shd w:fill="EDF2FB" w:val="clear"/>
            <w:tcMar>
              <w:top w:type="dxa" w:w="80"/>
              <w:left w:type="dxa" w:w="140"/>
              <w:bottom w:type="dxa" w:w="80"/>
              <w:right w:type="dxa" w:w="140"/>
            </w:tcMar>
          </w:tcPr>
          <w:p>
            <w:r>
              <w:rPr>
                <w:rFonts w:ascii="Arial" w:cs="Arial" w:eastAsia="Arial" w:hAnsi="Arial"/>
                <w:sz w:val="22"/>
                <w:szCs w:val="22"/>
              </w:rPr>
              <w:t xml:space="preserve">Authentication</w:t>
            </w:r>
          </w:p>
        </w:tc>
        <w:tc>
          <w:tcPr>
            <w:tcW w:type="dxa" w:w="4680"/>
            <w:tcBorders>
              <w:top w:val="single" w:color="CCCCCC" w:sz="1"/>
              <w:left w:val="single" w:color="CCCCCC" w:sz="1"/>
              <w:bottom w:val="single" w:color="CCCCCC" w:sz="1"/>
              <w:right w:val="single" w:color="CCCCCC" w:sz="1"/>
            </w:tcBorders>
            <w:shd w:fill="EDF2FB" w:val="clear"/>
            <w:tcMar>
              <w:top w:type="dxa" w:w="80"/>
              <w:left w:type="dxa" w:w="140"/>
              <w:bottom w:type="dxa" w:w="80"/>
              <w:right w:type="dxa" w:w="140"/>
            </w:tcMar>
          </w:tcPr>
          <w:p>
            <w:r>
              <w:rPr>
                <w:rFonts w:ascii="Arial" w:cs="Arial" w:eastAsia="Arial" w:hAnsi="Arial"/>
                <w:sz w:val="22"/>
                <w:szCs w:val="22"/>
              </w:rPr>
              <w:t xml:space="preserve">/api/auth/*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Doctors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/api/doctors/*</w:t>
            </w:r>
          </w:p>
        </w:tc>
      </w:tr>
      <w:tr>
        <w:tc>
          <w:tcPr>
            <w:tcW w:type="dxa" w:w="4680"/>
            <w:tcBorders>
              <w:top w:val="single" w:color="CCCCCC" w:sz="1"/>
              <w:left w:val="single" w:color="CCCCCC" w:sz="1"/>
              <w:bottom w:val="single" w:color="CCCCCC" w:sz="1"/>
              <w:right w:val="single" w:color="CCCCCC" w:sz="1"/>
            </w:tcBorders>
            <w:shd w:fill="EDF2FB" w:val="clear"/>
            <w:tcMar>
              <w:top w:type="dxa" w:w="80"/>
              <w:left w:type="dxa" w:w="140"/>
              <w:bottom w:type="dxa" w:w="80"/>
              <w:right w:type="dxa" w:w="140"/>
            </w:tcMar>
          </w:tcPr>
          <w:p>
            <w:r>
              <w:rPr>
                <w:rFonts w:ascii="Arial" w:cs="Arial" w:eastAsia="Arial" w:hAnsi="Arial"/>
                <w:sz w:val="22"/>
                <w:szCs w:val="22"/>
              </w:rPr>
              <w:t xml:space="preserve">Chat</w:t>
            </w:r>
          </w:p>
        </w:tc>
        <w:tc>
          <w:tcPr>
            <w:tcW w:type="dxa" w:w="4680"/>
            <w:tcBorders>
              <w:top w:val="single" w:color="CCCCCC" w:sz="1"/>
              <w:left w:val="single" w:color="CCCCCC" w:sz="1"/>
              <w:bottom w:val="single" w:color="CCCCCC" w:sz="1"/>
              <w:right w:val="single" w:color="CCCCCC" w:sz="1"/>
            </w:tcBorders>
            <w:shd w:fill="EDF2FB" w:val="clear"/>
            <w:tcMar>
              <w:top w:type="dxa" w:w="80"/>
              <w:left w:type="dxa" w:w="140"/>
              <w:bottom w:type="dxa" w:w="80"/>
              <w:right w:type="dxa" w:w="140"/>
            </w:tcMar>
          </w:tcPr>
          <w:p>
            <w:r>
              <w:rPr>
                <w:rFonts w:ascii="Arial" w:cs="Arial" w:eastAsia="Arial" w:hAnsi="Arial"/>
                <w:sz w:val="22"/>
                <w:szCs w:val="22"/>
              </w:rPr>
              <w:t xml:space="preserve">/api/chat/*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Appointments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/api/appointments/*</w:t>
            </w:r>
          </w:p>
        </w:tc>
      </w:tr>
      <w:tr>
        <w:tc>
          <w:tcPr>
            <w:tcW w:type="dxa" w:w="4680"/>
            <w:tcBorders>
              <w:top w:val="single" w:color="CCCCCC" w:sz="1"/>
              <w:left w:val="single" w:color="CCCCCC" w:sz="1"/>
              <w:bottom w:val="single" w:color="CCCCCC" w:sz="1"/>
              <w:right w:val="single" w:color="CCCCCC" w:sz="1"/>
            </w:tcBorders>
            <w:shd w:fill="EDF2FB" w:val="clear"/>
            <w:tcMar>
              <w:top w:type="dxa" w:w="80"/>
              <w:left w:type="dxa" w:w="140"/>
              <w:bottom w:type="dxa" w:w="80"/>
              <w:right w:type="dxa" w:w="140"/>
            </w:tcMar>
          </w:tcPr>
          <w:p>
            <w:r>
              <w:rPr>
                <w:rFonts w:ascii="Arial" w:cs="Arial" w:eastAsia="Arial" w:hAnsi="Arial"/>
                <w:sz w:val="22"/>
                <w:szCs w:val="22"/>
              </w:rPr>
              <w:t xml:space="preserve">Payments</w:t>
            </w:r>
          </w:p>
        </w:tc>
        <w:tc>
          <w:tcPr>
            <w:tcW w:type="dxa" w:w="4680"/>
            <w:tcBorders>
              <w:top w:val="single" w:color="CCCCCC" w:sz="1"/>
              <w:left w:val="single" w:color="CCCCCC" w:sz="1"/>
              <w:bottom w:val="single" w:color="CCCCCC" w:sz="1"/>
              <w:right w:val="single" w:color="CCCCCC" w:sz="1"/>
            </w:tcBorders>
            <w:shd w:fill="EDF2FB" w:val="clear"/>
            <w:tcMar>
              <w:top w:type="dxa" w:w="80"/>
              <w:left w:type="dxa" w:w="140"/>
              <w:bottom w:type="dxa" w:w="80"/>
              <w:right w:type="dxa" w:w="140"/>
            </w:tcMar>
          </w:tcPr>
          <w:p>
            <w:r>
              <w:rPr>
                <w:rFonts w:ascii="Arial" w:cs="Arial" w:eastAsia="Arial" w:hAnsi="Arial"/>
                <w:sz w:val="22"/>
                <w:szCs w:val="22"/>
              </w:rPr>
              <w:t xml:space="preserve">/api/payments/*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Prescriptions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/api/prescriptions/*</w:t>
            </w:r>
          </w:p>
        </w:tc>
      </w:tr>
      <w:tr>
        <w:tc>
          <w:tcPr>
            <w:tcW w:type="dxa" w:w="4680"/>
            <w:tcBorders>
              <w:top w:val="single" w:color="CCCCCC" w:sz="1"/>
              <w:left w:val="single" w:color="CCCCCC" w:sz="1"/>
              <w:bottom w:val="single" w:color="CCCCCC" w:sz="1"/>
              <w:right w:val="single" w:color="CCCCCC" w:sz="1"/>
            </w:tcBorders>
            <w:shd w:fill="EDF2FB" w:val="clear"/>
            <w:tcMar>
              <w:top w:type="dxa" w:w="80"/>
              <w:left w:type="dxa" w:w="140"/>
              <w:bottom w:type="dxa" w:w="80"/>
              <w:right w:type="dxa" w:w="140"/>
            </w:tcMar>
          </w:tcPr>
          <w:p>
            <w:r>
              <w:rPr>
                <w:rFonts w:ascii="Arial" w:cs="Arial" w:eastAsia="Arial" w:hAnsi="Arial"/>
                <w:sz w:val="22"/>
                <w:szCs w:val="22"/>
              </w:rPr>
              <w:t xml:space="preserve">Notifications</w:t>
            </w:r>
          </w:p>
        </w:tc>
        <w:tc>
          <w:tcPr>
            <w:tcW w:type="dxa" w:w="4680"/>
            <w:tcBorders>
              <w:top w:val="single" w:color="CCCCCC" w:sz="1"/>
              <w:left w:val="single" w:color="CCCCCC" w:sz="1"/>
              <w:bottom w:val="single" w:color="CCCCCC" w:sz="1"/>
              <w:right w:val="single" w:color="CCCCCC" w:sz="1"/>
            </w:tcBorders>
            <w:shd w:fill="EDF2FB" w:val="clear"/>
            <w:tcMar>
              <w:top w:type="dxa" w:w="80"/>
              <w:left w:type="dxa" w:w="140"/>
              <w:bottom w:type="dxa" w:w="80"/>
              <w:right w:type="dxa" w:w="140"/>
            </w:tcMar>
          </w:tcPr>
          <w:p>
            <w:r>
              <w:rPr>
                <w:rFonts w:ascii="Arial" w:cs="Arial" w:eastAsia="Arial" w:hAnsi="Arial"/>
                <w:sz w:val="22"/>
                <w:szCs w:val="22"/>
              </w:rPr>
              <w:t xml:space="preserve">/api/notifications/*</w:t>
            </w:r>
          </w:p>
        </w:tc>
      </w:tr>
    </w:tbl>
    <w:p>
      <w:pPr>
        <w:spacing w:after="40" w:before="40"/>
      </w:pPr>
      <w:r>
        <w:t xml:space="preserve"/>
      </w:r>
    </w:p>
    <w:p>
      <w:pPr>
        <w:pStyle w:val="Heading2"/>
        <w:spacing w:after="80" w:before="160"/>
      </w:pPr>
      <w:r>
        <w:rPr>
          <w:rFonts w:ascii="Arial" w:cs="Arial" w:eastAsia="Arial" w:hAnsi="Arial"/>
          <w:b/>
          <w:bCs/>
          <w:color w:val="2E4D8A"/>
          <w:sz w:val="26"/>
          <w:szCs w:val="26"/>
        </w:rPr>
        <w:t xml:space="preserve">Key Payment and Prescription Endpoints</w:t>
      </w:r>
    </w:p>
    <w:p>
      <w:pPr>
        <w:pStyle w:val="ListParagraph"/>
        <w:numPr>
          <w:ilvl w:val="0"/>
          <w:numId w:val="3"/>
        </w:numPr>
        <w:spacing w:after="40" w:before="40"/>
      </w:pPr>
      <w:r>
        <w:rPr>
          <w:rFonts w:ascii="Arial" w:cs="Arial" w:eastAsia="Arial" w:hAnsi="Arial"/>
          <w:sz w:val="22"/>
          <w:szCs w:val="22"/>
        </w:rPr>
        <w:t xml:space="preserve">POST /api/payments/initiate — Initiates a payment record for a completed appointment.</w:t>
      </w:r>
    </w:p>
    <w:p>
      <w:pPr>
        <w:pStyle w:val="ListParagraph"/>
        <w:numPr>
          <w:ilvl w:val="0"/>
          <w:numId w:val="3"/>
        </w:numPr>
        <w:spacing w:after="40" w:before="40"/>
      </w:pPr>
      <w:r>
        <w:rPr>
          <w:rFonts w:ascii="Arial" w:cs="Arial" w:eastAsia="Arial" w:hAnsi="Arial"/>
          <w:sz w:val="22"/>
          <w:szCs w:val="22"/>
        </w:rPr>
        <w:t xml:space="preserve">POST /api/payments/process — Processes mock card payment and generates receipt.</w:t>
      </w:r>
    </w:p>
    <w:p>
      <w:pPr>
        <w:pStyle w:val="ListParagraph"/>
        <w:numPr>
          <w:ilvl w:val="0"/>
          <w:numId w:val="3"/>
        </w:numPr>
        <w:spacing w:after="40" w:before="40"/>
      </w:pPr>
      <w:r>
        <w:rPr>
          <w:rFonts w:ascii="Arial" w:cs="Arial" w:eastAsia="Arial" w:hAnsi="Arial"/>
          <w:sz w:val="22"/>
          <w:szCs w:val="22"/>
        </w:rPr>
        <w:t xml:space="preserve">GET /api/payments/:appointmentId/status — Retrieves current payment status for UI synchronization.</w:t>
      </w:r>
    </w:p>
    <w:p>
      <w:pPr>
        <w:pStyle w:val="ListParagraph"/>
        <w:numPr>
          <w:ilvl w:val="0"/>
          <w:numId w:val="3"/>
        </w:numPr>
        <w:spacing w:after="40" w:before="40"/>
      </w:pPr>
      <w:r>
        <w:rPr>
          <w:rFonts w:ascii="Arial" w:cs="Arial" w:eastAsia="Arial" w:hAnsi="Arial"/>
          <w:sz w:val="22"/>
          <w:szCs w:val="22"/>
        </w:rPr>
        <w:t xml:space="preserve">POST /api/prescriptions — Submits a new prescription (requires verified payment completion).</w:t>
      </w:r>
    </w:p>
    <w:p>
      <w:pPr>
        <w:pStyle w:val="ListParagraph"/>
        <w:numPr>
          <w:ilvl w:val="0"/>
          <w:numId w:val="3"/>
        </w:numPr>
        <w:spacing w:after="40" w:before="40"/>
      </w:pPr>
      <w:r>
        <w:rPr>
          <w:rFonts w:ascii="Arial" w:cs="Arial" w:eastAsia="Arial" w:hAnsi="Arial"/>
          <w:sz w:val="22"/>
          <w:szCs w:val="22"/>
        </w:rPr>
        <w:t xml:space="preserve">GET /api/prescriptions/:prescriptionId — Retrieves full prescription details for a patient.</w:t>
      </w:r>
    </w:p>
    <w:p>
      <w:pPr>
        <w:spacing w:after="40" w:before="40"/>
      </w:pPr>
      <w:r>
        <w:t xml:space="preserve"/>
      </w:r>
    </w:p>
    <w:p>
      <w:pPr>
        <w:pStyle w:val="Heading1"/>
        <w:pBdr>
          <w:bottom w:val="single" w:color="1F3864" w:sz="6" w:space="1"/>
        </w:pBdr>
        <w:spacing w:after="120" w:before="240"/>
      </w:pPr>
      <w:r>
        <w:rPr>
          <w:rFonts w:ascii="Arial" w:cs="Arial" w:eastAsia="Arial" w:hAnsi="Arial"/>
          <w:b/>
          <w:bCs/>
          <w:color w:val="1F3864"/>
          <w:sz w:val="32"/>
          <w:szCs w:val="32"/>
        </w:rPr>
        <w:t xml:space="preserve">10. Security and Validation</w:t>
      </w:r>
    </w:p>
    <w:p>
      <w:pPr>
        <w:pStyle w:val="ListParagraph"/>
        <w:numPr>
          <w:ilvl w:val="0"/>
          <w:numId w:val="3"/>
        </w:numPr>
        <w:spacing w:after="40" w:before="40"/>
      </w:pPr>
      <w:r>
        <w:rPr>
          <w:rFonts w:ascii="Arial" w:cs="Arial" w:eastAsia="Arial" w:hAnsi="Arial"/>
          <w:sz w:val="22"/>
          <w:szCs w:val="22"/>
        </w:rPr>
        <w:t xml:space="preserve">All protected routes require a valid JWT token issued at login.</w:t>
      </w:r>
    </w:p>
    <w:p>
      <w:pPr>
        <w:pStyle w:val="ListParagraph"/>
        <w:numPr>
          <w:ilvl w:val="0"/>
          <w:numId w:val="3"/>
        </w:numPr>
        <w:spacing w:after="40" w:before="40"/>
      </w:pPr>
      <w:r>
        <w:rPr>
          <w:rFonts w:ascii="Arial" w:cs="Arial" w:eastAsia="Arial" w:hAnsi="Arial"/>
          <w:sz w:val="22"/>
          <w:szCs w:val="22"/>
        </w:rPr>
        <w:t xml:space="preserve">Resource ownership checks ensure that users can only access appointments, payments, and prescriptions belonging to them.</w:t>
      </w:r>
    </w:p>
    <w:p>
      <w:pPr>
        <w:pStyle w:val="ListParagraph"/>
        <w:numPr>
          <w:ilvl w:val="0"/>
          <w:numId w:val="3"/>
        </w:numPr>
        <w:spacing w:after="40" w:before="40"/>
      </w:pPr>
      <w:r>
        <w:rPr>
          <w:rFonts w:ascii="Arial" w:cs="Arial" w:eastAsia="Arial" w:hAnsi="Arial"/>
          <w:sz w:val="22"/>
          <w:szCs w:val="22"/>
        </w:rPr>
        <w:t xml:space="preserve">Role-based action restrictions prevent patients from submitting prescriptions and prevent doctors from processing payments.</w:t>
      </w:r>
    </w:p>
    <w:p>
      <w:pPr>
        <w:pStyle w:val="ListParagraph"/>
        <w:numPr>
          <w:ilvl w:val="0"/>
          <w:numId w:val="3"/>
        </w:numPr>
        <w:spacing w:after="40" w:before="40"/>
      </w:pPr>
      <w:r>
        <w:rPr>
          <w:rFonts w:ascii="Arial" w:cs="Arial" w:eastAsia="Arial" w:hAnsi="Arial"/>
          <w:sz w:val="22"/>
          <w:szCs w:val="22"/>
        </w:rPr>
        <w:t xml:space="preserve">Input validation is applied at the request level for all payment and prescription payloads.</w:t>
      </w:r>
    </w:p>
    <w:p>
      <w:pPr>
        <w:pStyle w:val="ListParagraph"/>
        <w:numPr>
          <w:ilvl w:val="0"/>
          <w:numId w:val="3"/>
        </w:numPr>
        <w:spacing w:after="40" w:before="40"/>
      </w:pPr>
      <w:r>
        <w:rPr>
          <w:rFonts w:ascii="Arial" w:cs="Arial" w:eastAsia="Arial" w:hAnsi="Arial"/>
          <w:sz w:val="22"/>
          <w:szCs w:val="22"/>
        </w:rPr>
        <w:t xml:space="preserve">Sequence validation at the API layer prevents state bypassing — no prescription can be created without a confirmed payment, regardless of frontend state.</w:t>
      </w:r>
    </w:p>
    <w:p>
      <w:pPr>
        <w:spacing w:after="40" w:before="40"/>
      </w:pPr>
      <w:r>
        <w:t xml:space="preserve"/>
      </w:r>
    </w:p>
    <w:p>
      <w:pPr>
        <w:pStyle w:val="Heading1"/>
        <w:pBdr>
          <w:bottom w:val="single" w:color="1F3864" w:sz="6" w:space="1"/>
        </w:pBdr>
        <w:spacing w:after="120" w:before="240"/>
      </w:pPr>
      <w:r>
        <w:rPr>
          <w:rFonts w:ascii="Arial" w:cs="Arial" w:eastAsia="Arial" w:hAnsi="Arial"/>
          <w:b/>
          <w:bCs/>
          <w:color w:val="1F3864"/>
          <w:sz w:val="32"/>
          <w:szCs w:val="32"/>
        </w:rPr>
        <w:t xml:space="preserve">11. Business and Academic Value</w:t>
      </w:r>
    </w:p>
    <w:p>
      <w:pPr>
        <w:pStyle w:val="Heading2"/>
        <w:spacing w:after="80" w:before="160"/>
      </w:pPr>
      <w:r>
        <w:rPr>
          <w:rFonts w:ascii="Arial" w:cs="Arial" w:eastAsia="Arial" w:hAnsi="Arial"/>
          <w:b/>
          <w:bCs/>
          <w:color w:val="2E4D8A"/>
          <w:sz w:val="26"/>
          <w:szCs w:val="26"/>
        </w:rPr>
        <w:t xml:space="preserve">11.1 Practical Value</w:t>
      </w:r>
    </w:p>
    <w:p>
      <w:pPr>
        <w:spacing w:after="60" w:before="60"/>
        <w:jc w:val="both"/>
      </w:pPr>
      <w:r>
        <w:rPr>
          <w:rFonts w:ascii="Arial" w:cs="Arial" w:eastAsia="Arial" w:hAnsi="Arial"/>
          <w:sz w:val="22"/>
          <w:szCs w:val="22"/>
        </w:rPr>
        <w:t xml:space="preserve">MediTalk improves consultation transparency and builds operational trust between patients and healthcare providers. By clearly defining payment and prescription responsibility through technical enforcement rather than policy alone, the system reduces ambiguity and provides a realistic, trustworthy telehealth experience. The platform also demonstrates how structured workflow design can eliminate common pain points in digital healthcare delivery.</w:t>
      </w:r>
    </w:p>
    <w:p>
      <w:pPr>
        <w:spacing w:after="40" w:before="40"/>
      </w:pPr>
      <w:r>
        <w:t xml:space="preserve"/>
      </w:r>
    </w:p>
    <w:p>
      <w:pPr>
        <w:pStyle w:val="Heading2"/>
        <w:spacing w:after="80" w:before="160"/>
      </w:pPr>
      <w:r>
        <w:rPr>
          <w:rFonts w:ascii="Arial" w:cs="Arial" w:eastAsia="Arial" w:hAnsi="Arial"/>
          <w:b/>
          <w:bCs/>
          <w:color w:val="2E4D8A"/>
          <w:sz w:val="26"/>
          <w:szCs w:val="26"/>
        </w:rPr>
        <w:t xml:space="preserve">11.2 Academic Value</w:t>
      </w:r>
    </w:p>
    <w:p>
      <w:pPr>
        <w:spacing w:after="60" w:before="60"/>
        <w:jc w:val="both"/>
      </w:pPr>
      <w:r>
        <w:rPr>
          <w:rFonts w:ascii="Arial" w:cs="Arial" w:eastAsia="Arial" w:hAnsi="Arial"/>
          <w:sz w:val="22"/>
          <w:szCs w:val="22"/>
        </w:rPr>
        <w:t xml:space="preserve">The project demonstrates full-stack software engineering practices across frontend, backend, and data layers. It shows domain-driven workflow implementation through a controlled state machine model and highlights the effective integration of a synchronous REST API architecture with an asynchronous real-time event system — a combination that mirrors the design patterns used in production healthcare platforms.</w:t>
      </w:r>
    </w:p>
    <w:p>
      <w:r>
        <w:br w:type="page"/>
      </w:r>
    </w:p>
    <w:p>
      <w:pPr>
        <w:pStyle w:val="Heading1"/>
        <w:pBdr>
          <w:bottom w:val="single" w:color="1F3864" w:sz="6" w:space="1"/>
        </w:pBdr>
        <w:spacing w:after="120" w:before="240"/>
      </w:pPr>
      <w:r>
        <w:rPr>
          <w:rFonts w:ascii="Arial" w:cs="Arial" w:eastAsia="Arial" w:hAnsi="Arial"/>
          <w:b/>
          <w:bCs/>
          <w:color w:val="1F3864"/>
          <w:sz w:val="32"/>
          <w:szCs w:val="32"/>
        </w:rPr>
        <w:t xml:space="preserve">12. Future Enhancements</w:t>
      </w:r>
    </w:p>
    <w:p>
      <w:pPr>
        <w:spacing w:after="60" w:before="60"/>
        <w:jc w:val="both"/>
      </w:pPr>
      <w:r>
        <w:rPr>
          <w:rFonts w:ascii="Arial" w:cs="Arial" w:eastAsia="Arial" w:hAnsi="Arial"/>
          <w:sz w:val="22"/>
          <w:szCs w:val="22"/>
        </w:rPr>
        <w:t xml:space="preserve">The following enhancements are planned for future iterations of MediTalk to extend its capabilities toward a production-ready healthcare solution:</w:t>
      </w:r>
    </w:p>
    <w:p>
      <w:pPr>
        <w:spacing w:after="40" w:before="40"/>
      </w:pPr>
      <w:r>
        <w:t xml:space="preserve"/>
      </w:r>
    </w:p>
    <w:p>
      <w:pPr>
        <w:pStyle w:val="ListParagraph"/>
        <w:numPr>
          <w:ilvl w:val="0"/>
          <w:numId w:val="3"/>
        </w:numPr>
        <w:spacing w:after="40" w:before="40"/>
      </w:pPr>
      <w:r>
        <w:rPr>
          <w:rFonts w:ascii="Arial" w:cs="Arial" w:eastAsia="Arial" w:hAnsi="Arial"/>
          <w:sz w:val="22"/>
          <w:szCs w:val="22"/>
        </w:rPr>
        <w:t xml:space="preserve">Integrate a production-grade payment gateway such as Stripe or Razorpay for real transaction settlement, replacing the current mock card flow.</w:t>
      </w:r>
    </w:p>
    <w:p>
      <w:pPr>
        <w:pStyle w:val="ListParagraph"/>
        <w:numPr>
          <w:ilvl w:val="0"/>
          <w:numId w:val="3"/>
        </w:numPr>
        <w:spacing w:after="40" w:before="40"/>
      </w:pPr>
      <w:r>
        <w:rPr>
          <w:rFonts w:ascii="Arial" w:cs="Arial" w:eastAsia="Arial" w:hAnsi="Arial"/>
          <w:sz w:val="22"/>
          <w:szCs w:val="22"/>
        </w:rPr>
        <w:t xml:space="preserve">Generate downloadable, digitally signed prescription PDFs to provide clinically valid documentation for patients.</w:t>
      </w:r>
    </w:p>
    <w:p>
      <w:pPr>
        <w:pStyle w:val="ListParagraph"/>
        <w:numPr>
          <w:ilvl w:val="0"/>
          <w:numId w:val="3"/>
        </w:numPr>
        <w:spacing w:after="40" w:before="40"/>
      </w:pPr>
      <w:r>
        <w:rPr>
          <w:rFonts w:ascii="Arial" w:cs="Arial" w:eastAsia="Arial" w:hAnsi="Arial"/>
          <w:sz w:val="22"/>
          <w:szCs w:val="22"/>
        </w:rPr>
        <w:t xml:space="preserve">Support E-prescription generation with structured clinical formatting suitable for pharmacy and insurance use.</w:t>
      </w:r>
    </w:p>
    <w:p>
      <w:pPr>
        <w:pStyle w:val="ListParagraph"/>
        <w:numPr>
          <w:ilvl w:val="0"/>
          <w:numId w:val="3"/>
        </w:numPr>
        <w:spacing w:after="40" w:before="40"/>
      </w:pPr>
      <w:r>
        <w:rPr>
          <w:rFonts w:ascii="Arial" w:cs="Arial" w:eastAsia="Arial" w:hAnsi="Arial"/>
          <w:sz w:val="22"/>
          <w:szCs w:val="22"/>
        </w:rPr>
        <w:t xml:space="preserve">Integrate insurance provider systems to allow automated claim initiation post-consultation.</w:t>
      </w:r>
    </w:p>
    <w:p>
      <w:pPr>
        <w:pStyle w:val="ListParagraph"/>
        <w:numPr>
          <w:ilvl w:val="0"/>
          <w:numId w:val="3"/>
        </w:numPr>
        <w:spacing w:after="40" w:before="40"/>
      </w:pPr>
      <w:r>
        <w:rPr>
          <w:rFonts w:ascii="Arial" w:cs="Arial" w:eastAsia="Arial" w:hAnsi="Arial"/>
          <w:sz w:val="22"/>
          <w:szCs w:val="22"/>
        </w:rPr>
        <w:t xml:space="preserve">Implement interoperability with Hospital EHR (Electronic Health Records) systems for seamless patient data exchange.</w:t>
      </w:r>
    </w:p>
    <w:p>
      <w:pPr>
        <w:pStyle w:val="ListParagraph"/>
        <w:numPr>
          <w:ilvl w:val="0"/>
          <w:numId w:val="3"/>
        </w:numPr>
        <w:spacing w:after="40" w:before="40"/>
      </w:pPr>
      <w:r>
        <w:rPr>
          <w:rFonts w:ascii="Arial" w:cs="Arial" w:eastAsia="Arial" w:hAnsi="Arial"/>
          <w:sz w:val="22"/>
          <w:szCs w:val="22"/>
        </w:rPr>
        <w:t xml:space="preserve">Add analytics dashboards for doctors to track consultation history, revenue, and patient outcomes over time.</w:t>
      </w:r>
    </w:p>
    <w:p>
      <w:pPr>
        <w:pStyle w:val="ListParagraph"/>
        <w:numPr>
          <w:ilvl w:val="0"/>
          <w:numId w:val="3"/>
        </w:numPr>
        <w:spacing w:after="40" w:before="40"/>
      </w:pPr>
      <w:r>
        <w:rPr>
          <w:rFonts w:ascii="Arial" w:cs="Arial" w:eastAsia="Arial" w:hAnsi="Arial"/>
          <w:sz w:val="22"/>
          <w:szCs w:val="22"/>
        </w:rPr>
        <w:t xml:space="preserve">Implement audit logs for all sensitive actions — payment processing, prescription submission, and appointment state changes.</w:t>
      </w:r>
    </w:p>
    <w:p>
      <w:pPr>
        <w:pStyle w:val="ListParagraph"/>
        <w:numPr>
          <w:ilvl w:val="0"/>
          <w:numId w:val="3"/>
        </w:numPr>
        <w:spacing w:after="40" w:before="40"/>
      </w:pPr>
      <w:r>
        <w:rPr>
          <w:rFonts w:ascii="Arial" w:cs="Arial" w:eastAsia="Arial" w:hAnsi="Arial"/>
          <w:sz w:val="22"/>
          <w:szCs w:val="22"/>
        </w:rPr>
        <w:t xml:space="preserve">Add medication reminder systems and patient adherence tracking features to improve post-consultation care.</w:t>
      </w:r>
    </w:p>
    <w:p>
      <w:pPr>
        <w:pStyle w:val="ListParagraph"/>
        <w:numPr>
          <w:ilvl w:val="0"/>
          <w:numId w:val="3"/>
        </w:numPr>
        <w:spacing w:after="40" w:before="40"/>
      </w:pPr>
      <w:r>
        <w:rPr>
          <w:rFonts w:ascii="Arial" w:cs="Arial" w:eastAsia="Arial" w:hAnsi="Arial"/>
          <w:sz w:val="22"/>
          <w:szCs w:val="22"/>
        </w:rPr>
        <w:t xml:space="preserve">Expand the platform with multilingual support and accessibility-first UI design to broaden reach across diverse user groups.</w:t>
      </w:r>
    </w:p>
    <w:p>
      <w:pPr>
        <w:spacing w:after="40" w:before="40"/>
      </w:pPr>
      <w:r>
        <w:t xml:space="preserve"/>
      </w:r>
    </w:p>
    <w:p>
      <w:pPr>
        <w:pStyle w:val="Heading1"/>
        <w:pBdr>
          <w:bottom w:val="single" w:color="1F3864" w:sz="6" w:space="1"/>
        </w:pBdr>
        <w:spacing w:after="120" w:before="240"/>
      </w:pPr>
      <w:r>
        <w:rPr>
          <w:rFonts w:ascii="Arial" w:cs="Arial" w:eastAsia="Arial" w:hAnsi="Arial"/>
          <w:b/>
          <w:bCs/>
          <w:color w:val="1F3864"/>
          <w:sz w:val="32"/>
          <w:szCs w:val="32"/>
        </w:rPr>
        <w:t xml:space="preserve">13. Conclusion</w:t>
      </w:r>
    </w:p>
    <w:p>
      <w:pPr>
        <w:spacing w:after="60" w:before="60"/>
        <w:jc w:val="both"/>
      </w:pPr>
      <w:r>
        <w:rPr>
          <w:rFonts w:ascii="Arial" w:cs="Arial" w:eastAsia="Arial" w:hAnsi="Arial"/>
          <w:sz w:val="22"/>
          <w:szCs w:val="22"/>
        </w:rPr>
        <w:t xml:space="preserve">MediTalk delivers a robust, professionally structured telehealth platform with strong workflow governance, real-time responsiveness, and precise role-based control. The implemented payment-to-prescription pipeline significantly improves operational clarity and end-user trust by making every stage of the consultation journey transparent, sequential, and verifiable.</w:t>
      </w:r>
    </w:p>
    <w:p>
      <w:pPr>
        <w:spacing w:after="40" w:before="40"/>
      </w:pPr>
      <w:r>
        <w:t xml:space="preserve"/>
      </w:r>
    </w:p>
    <w:p>
      <w:pPr>
        <w:spacing w:after="60" w:before="60"/>
        <w:jc w:val="both"/>
      </w:pPr>
      <w:r>
        <w:rPr>
          <w:rFonts w:ascii="Arial" w:cs="Arial" w:eastAsia="Arial" w:hAnsi="Arial"/>
          <w:sz w:val="22"/>
          <w:szCs w:val="22"/>
        </w:rPr>
        <w:t xml:space="preserve">The modular architecture, clean API design, and real-time event integration make MediTalk a strong foundation for evolution into a production-ready healthcare software solution. The project successfully demonstrates how thoughtful engineering decisions — enforcing business rules at every layer, maintaining synchronized state across roles, and building a controlled workflow pipeline — can directly translate into a more trustworthy and effective digital healthcare experience.</w:t>
      </w:r>
    </w:p>
    <w:p>
      <w:pPr>
        <w:spacing w:after="40" w:before="40"/>
      </w:pPr>
      <w:r>
        <w:t xml:space="preserve"/>
      </w:r>
    </w:p>
    <w:p>
      <w:pPr>
        <w:pBdr>
          <w:top w:val="single" w:color="1F3864" w:sz="6" w:space="4"/>
        </w:pBdr>
        <w:spacing w:after="200" w:before="200"/>
      </w:pPr>
      <w:r>
        <w:t xml:space="preserve"/>
      </w:r>
    </w:p>
    <w:p>
      <w:pPr>
        <w:spacing w:after="80" w:before="80"/>
        <w:jc w:val="center"/>
      </w:pPr>
      <w:r>
        <w:rPr>
          <w:rFonts w:ascii="Arial" w:cs="Arial" w:eastAsia="Arial" w:hAnsi="Arial"/>
          <w:i/>
          <w:iCs/>
          <w:color w:val="888888"/>
          <w:sz w:val="20"/>
          <w:szCs w:val="20"/>
        </w:rPr>
        <w:t xml:space="preserve">Submitted by</w:t>
      </w:r>
    </w:p>
    <w:p>
      <w:pPr>
        <w:spacing w:after="60" w:before="80"/>
        <w:jc w:val="center"/>
      </w:pPr>
      <w:r>
        <w:rPr>
          <w:rFonts w:ascii="Arial" w:cs="Arial" w:eastAsia="Arial" w:hAnsi="Arial"/>
          <w:b/>
          <w:bCs/>
          <w:color w:val="1F3864"/>
          <w:sz w:val="28"/>
          <w:szCs w:val="28"/>
        </w:rPr>
        <w:t xml:space="preserve">BHAVISHYA C</w:t>
      </w:r>
    </w:p>
    <w:p>
      <w:pPr>
        <w:spacing w:after="40" w:before="40"/>
        <w:jc w:val="center"/>
      </w:pPr>
      <w:r>
        <w:rPr>
          <w:rFonts w:ascii="Arial" w:cs="Arial" w:eastAsia="Arial" w:hAnsi="Arial"/>
          <w:color w:val="333333"/>
          <w:sz w:val="22"/>
          <w:szCs w:val="22"/>
        </w:rPr>
        <w:t xml:space="preserve">Roll No: S20230010052</w:t>
      </w:r>
    </w:p>
    <w:p>
      <w:pPr>
        <w:spacing w:after="40" w:before="40"/>
        <w:jc w:val="center"/>
      </w:pPr>
      <w:r>
        <w:rPr>
          <w:rFonts w:ascii="Arial" w:cs="Arial" w:eastAsia="Arial" w:hAnsi="Arial"/>
          <w:color w:val="333333"/>
          <w:sz w:val="22"/>
          <w:szCs w:val="22"/>
        </w:rPr>
        <w:t xml:space="preserve">UG3  |  Computer Science and Engineering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MediTalk Project Report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2026-04-16T06:22:52.621Z</dcterms:created>
  <dcterms:modified xsi:type="dcterms:W3CDTF">2026-04-16T06:22:52.621Z</dcterms:modified>
</cp:coreProperties>
</file>

<file path=docProps/custom.xml><?xml version="1.0" encoding="utf-8"?>
<Properties xmlns="http://schemas.openxmlformats.org/officeDocument/2006/custom-properties" xmlns:vt="http://schemas.openxmlformats.org/officeDocument/2006/docPropsVTypes"/>
</file>