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440" w:firstLine="720"/>
        <w:jc w:val="left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ind w:left="2160" w:firstLine="720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6"/>
          <w:szCs w:val="26"/>
          <w:rtl w:val="0"/>
        </w:rPr>
        <w:t xml:space="preserve">Bhawna Goyal Sql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