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right"/>
      </w:pPr>
      <w:r>
        <w:rPr>
          <w:rFonts w:ascii="Times New Roman" w:hAnsi="Times New Roman"/>
          <w:b/>
          <w:i w:val="0"/>
          <w:color w:val="64748B"/>
          <w:sz w:val="22"/>
        </w:rPr>
        <w:t>Bhawna Vashisht Internship Report</w:t>
        <w:br/>
        <w:t>35114702024</w:t>
      </w:r>
    </w:p>
    <w:p>
      <w:pPr>
        <w:spacing w:after="520"/>
        <w:jc w:val="center"/>
      </w:pPr>
      <w:r>
        <w:rPr>
          <w:rFonts w:ascii="Times New Roman" w:hAnsi="Times New Roman"/>
          <w:b/>
          <w:i w:val="0"/>
          <w:color w:val="002147"/>
          <w:sz w:val="32"/>
        </w:rPr>
        <w:t>INTERNSHIP REPORT</w:t>
        <w:br/>
        <w:t>ON</w:t>
        <w:br/>
      </w:r>
      <w:r>
        <w:rPr>
          <w:rFonts w:ascii="Times New Roman" w:hAnsi="Times New Roman"/>
          <w:b/>
          <w:i w:val="0"/>
          <w:color w:val="C4122F"/>
          <w:sz w:val="34"/>
        </w:rPr>
        <w:t>CYBER CRIME INVESTIGATION: A DATA ANALYTICS AND CORRELATION-BASED APPROACH</w:t>
        <w:br/>
        <w:br/>
      </w:r>
      <w:r>
        <w:rPr>
          <w:rFonts w:ascii="Times New Roman" w:hAnsi="Times New Roman"/>
          <w:b/>
          <w:i w:val="0"/>
          <w:color w:val="002147"/>
          <w:sz w:val="27"/>
        </w:rPr>
        <w:t>PROJECT: FIN-SURAKSHA — AI-ASSISTED FINANCIAL CRIME ATTRIBUTION CONSOLE</w:t>
        <w:br/>
      </w:r>
    </w:p>
    <w:p>
      <w:pPr>
        <w:jc w:val="center"/>
      </w:pPr>
      <w:r>
        <w:rPr>
          <w:rFonts w:ascii="Times New Roman" w:hAnsi="Times New Roman"/>
          <w:b w:val="0"/>
          <w:i/>
          <w:sz w:val="22"/>
        </w:rPr>
        <w:t>Submitted in partial fulfillment of the requirements for the award of the degree of</w:t>
        <w:br/>
      </w:r>
      <w:r>
        <w:rPr>
          <w:rFonts w:ascii="Times New Roman" w:hAnsi="Times New Roman"/>
          <w:b/>
          <w:i w:val="0"/>
          <w:color w:val="002147"/>
          <w:sz w:val="26"/>
        </w:rPr>
        <w:t>BACHELOR OF COMPUTER APPLICATIONS (BCA)</w:t>
        <w:br/>
        <w:br/>
      </w:r>
      <w:r>
        <w:rPr>
          <w:rFonts w:ascii="Times New Roman" w:hAnsi="Times New Roman"/>
          <w:b/>
          <w:i w:val="0"/>
          <w:sz w:val="23"/>
        </w:rPr>
        <w:t>Submitted By:</w:t>
        <w:br/>
      </w:r>
      <w:r>
        <w:rPr>
          <w:rFonts w:ascii="Times New Roman" w:hAnsi="Times New Roman"/>
          <w:b/>
          <w:i w:val="0"/>
          <w:color w:val="002147"/>
          <w:sz w:val="24"/>
        </w:rPr>
        <w:t>BHAWNA VASHISHT</w:t>
        <w:br/>
        <w:t>Enrolment No.: 35114702024</w:t>
        <w:br/>
        <w:t>BCA, 5th Semester</w:t>
        <w:br/>
        <w:br/>
      </w:r>
    </w:p>
    <w:p>
      <w:pPr>
        <w:jc w:val="center"/>
      </w:pPr>
      <w:r>
        <w:rPr>
          <w:rFonts w:ascii="Times New Roman" w:hAnsi="Times New Roman"/>
          <w:b w:val="0"/>
          <w:i/>
          <w:sz w:val="22"/>
        </w:rPr>
        <w:t>Under the Guidance of:</w:t>
        <w:br/>
      </w:r>
      <w:r>
        <w:rPr>
          <w:rFonts w:ascii="Times New Roman" w:hAnsi="Times New Roman"/>
          <w:b/>
          <w:i w:val="0"/>
          <w:sz w:val="22"/>
        </w:rPr>
        <w:t>Academic Supervisor: Dr. Sarita Bansal Garg (HOD, BCA Department, MAIMS)</w:t>
        <w:br/>
        <w:t>Organizational Mentor: ASI Jaswinder Joon (Investigating Officer, Delhi Police)</w:t>
        <w:br/>
        <w:t>Station House Officer: Inspector Parveen Chauhan (SHO, Cyber PS Rohini)</w:t>
        <w:br/>
        <w:br/>
      </w:r>
      <w:r>
        <w:rPr>
          <w:rFonts w:ascii="Times New Roman" w:hAnsi="Times New Roman"/>
          <w:b w:val="0"/>
          <w:i w:val="0"/>
          <w:sz w:val="22"/>
        </w:rPr>
        <w:t>Host Organization: Cyber Police Station, Sector-17, Rohini, Delhi Police - 110089</w:t>
        <w:br/>
        <w:t>Internship Duration: 24 June 2026 – 24 July 2026</w:t>
        <w:br/>
        <w:t>Academic Institution: Maharaja Agrasen Institute of Management Studies (MAIMS)</w:t>
        <w:br/>
        <w:t>Affiliated to Guru Gobind Singh Indraprastha University (GGSIPU), Delhi</w:t>
        <w:br/>
      </w:r>
    </w:p>
    <w:p>
      <w:r>
        <w:br w:type="page"/>
      </w:r>
    </w:p>
    <w:p>
      <w:pPr>
        <w:keepNext/>
        <w:spacing w:before="360" w:after="160"/>
      </w:pPr>
      <w:r>
        <w:rPr>
          <w:rFonts w:ascii="Times New Roman" w:hAnsi="Times New Roman"/>
          <w:b/>
          <w:i w:val="0"/>
          <w:color w:val="002147"/>
          <w:sz w:val="32"/>
        </w:rPr>
        <w:t>CERTIFICATE OF THE INSTITUTE</w:t>
      </w:r>
    </w:p>
    <w:p>
      <w:pPr>
        <w:spacing w:before="0" w:after="120" w:line="360" w:lineRule="auto"/>
        <w:jc w:val="left"/>
      </w:pPr>
      <w:r>
        <w:rPr>
          <w:rFonts w:ascii="Times New Roman" w:hAnsi="Times New Roman"/>
          <w:b w:val="0"/>
          <w:i w:val="0"/>
          <w:color w:val="1E293B"/>
          <w:sz w:val="24"/>
        </w:rPr>
        <w:t>This is to certify that Ms. Bhawna Vashisht, Enrolment No. 35114702024, a student of Bachelor of Computer Applications (BCA) at Maharaja Agrasen Institute of Management Studies (MAIMS), Rohini, Delhi, has successfully completed her compulsory summer training project under my supervision.</w:t>
      </w:r>
    </w:p>
    <w:p>
      <w:pPr>
        <w:spacing w:before="0" w:after="120" w:line="360" w:lineRule="auto"/>
        <w:jc w:val="left"/>
      </w:pPr>
      <w:r>
        <w:rPr>
          <w:rFonts w:ascii="Times New Roman" w:hAnsi="Times New Roman"/>
          <w:b w:val="0"/>
          <w:i w:val="0"/>
          <w:color w:val="1E293B"/>
          <w:sz w:val="24"/>
        </w:rPr>
        <w:t>Her project report entitled 'Cyber Crime Investigation: A Data Analytics and Correlation-Based Approach (Fin-Suraksha: AI-Assisted Financial Crime Attribution Console)' embodies an authentic record of original project work. The design documents, system architectures, database schemas, and analytical models presented in this report have been reviewed and verified in accordance with the curriculum prescribed by Guru Gobind Singh Indraprastha University.</w:t>
      </w:r>
    </w:p>
    <w:p>
      <w:pPr>
        <w:spacing w:before="0" w:after="120" w:line="360" w:lineRule="auto"/>
        <w:jc w:val="left"/>
      </w:pPr>
      <w:r>
        <w:rPr>
          <w:rFonts w:ascii="Times New Roman" w:hAnsi="Times New Roman"/>
          <w:b w:val="0"/>
          <w:i w:val="0"/>
          <w:color w:val="1E293B"/>
          <w:sz w:val="24"/>
        </w:rPr>
        <w:br/>
        <w:br/>
        <w:t>___________________________________</w:t>
        <w:br/>
        <w:t>Dr. Sarita Bansal Garg</w:t>
        <w:br/>
        <w:t>Head of Department (HOD), BCA Department</w:t>
        <w:br/>
        <w:t>Maharaja Agrasen Institute of Management Studies (MAIMS)</w:t>
      </w:r>
    </w:p>
    <w:p>
      <w:r>
        <w:br w:type="page"/>
      </w:r>
    </w:p>
    <w:p>
      <w:pPr>
        <w:keepNext/>
        <w:spacing w:before="360" w:after="160"/>
      </w:pPr>
      <w:r>
        <w:rPr>
          <w:rFonts w:ascii="Times New Roman" w:hAnsi="Times New Roman"/>
          <w:b/>
          <w:i w:val="0"/>
          <w:color w:val="002147"/>
          <w:sz w:val="32"/>
        </w:rPr>
        <w:t>CERTIFICATE OF THE HOST ORGANIZATION</w:t>
      </w:r>
    </w:p>
    <w:p>
      <w:pPr>
        <w:spacing w:before="0" w:after="120" w:line="360" w:lineRule="auto"/>
        <w:jc w:val="left"/>
      </w:pPr>
      <w:r>
        <w:rPr>
          <w:rFonts w:ascii="Times New Roman" w:hAnsi="Times New Roman"/>
          <w:b w:val="0"/>
          <w:i w:val="0"/>
          <w:color w:val="1E293B"/>
          <w:sz w:val="24"/>
        </w:rPr>
        <w:t>This is to certify that Ms. Bhawna Vashisht, student of BCA from MAIMS, has successfully completed her internship training at the Cyber Police Station, Sector-17, Rohini, Delhi Police, from 24 June 2026 to 24 July 2026.</w:t>
      </w:r>
    </w:p>
    <w:p>
      <w:pPr>
        <w:spacing w:before="0" w:after="120" w:line="360" w:lineRule="auto"/>
        <w:jc w:val="left"/>
      </w:pPr>
      <w:r>
        <w:rPr>
          <w:rFonts w:ascii="Times New Roman" w:hAnsi="Times New Roman"/>
          <w:b w:val="0"/>
          <w:i w:val="0"/>
          <w:color w:val="1E293B"/>
          <w:sz w:val="24"/>
        </w:rPr>
        <w:t>During her tenure, she actively observed cybercrime investigation workflows, complaint handling under NCRP/1930, statutory notice drafting under Section 94 and Section 106 of the Bharatiya Nagarik Suraksha Sanhita (BNSS), 2023, and technical evidence correlation across Call Detail Records (CDRs), IPDR logs, and banking transaction trails.</w:t>
      </w:r>
    </w:p>
    <w:p>
      <w:pPr>
        <w:spacing w:before="0" w:after="120" w:line="360" w:lineRule="auto"/>
        <w:jc w:val="left"/>
      </w:pPr>
      <w:r>
        <w:rPr>
          <w:rFonts w:ascii="Times New Roman" w:hAnsi="Times New Roman"/>
          <w:b w:val="0"/>
          <w:i w:val="0"/>
          <w:color w:val="1E293B"/>
          <w:sz w:val="24"/>
        </w:rPr>
        <w:t>She designed and implemented an academic research prototype entitled 'Fin-Suraksha: AI-Assisted Financial Crime Attribution Console', modeling multi-hop money trails, digital footprint bridges, heuristic risk scoring, and machine learning models for financial crime investigation.</w:t>
      </w:r>
    </w:p>
    <w:p>
      <w:pPr>
        <w:spacing w:before="0" w:after="120" w:line="360" w:lineRule="auto"/>
        <w:jc w:val="left"/>
      </w:pPr>
      <w:r>
        <w:rPr>
          <w:rFonts w:ascii="Times New Roman" w:hAnsi="Times New Roman"/>
          <w:b w:val="0"/>
          <w:i w:val="0"/>
          <w:color w:val="1E293B"/>
          <w:sz w:val="24"/>
        </w:rPr>
        <w:t>Her conduct and performance during the internship were found to be Outstanding.</w:t>
        <w:br/>
        <w:br/>
      </w:r>
    </w:p>
    <w:p>
      <w:pPr>
        <w:spacing w:before="0" w:after="120" w:line="360" w:lineRule="auto"/>
        <w:jc w:val="left"/>
      </w:pPr>
      <w:r>
        <w:rPr>
          <w:rFonts w:ascii="Times New Roman" w:hAnsi="Times New Roman"/>
          <w:b w:val="0"/>
          <w:i w:val="0"/>
          <w:color w:val="1E293B"/>
          <w:sz w:val="24"/>
        </w:rPr>
        <w:t>___________________________________</w:t>
        <w:br/>
        <w:t>ASI Jaswinder Joon (I.O.)</w:t>
        <w:br/>
        <w:t>Investigating Officer &amp; Organizational Mentor</w:t>
        <w:br/>
        <w:t>Cyber Police Station, Sector-17, Rohini, Delhi Police</w:t>
        <w:br/>
        <w:br/>
        <w:t>Countersigned by:</w:t>
        <w:br/>
        <w:t>___________________________________</w:t>
        <w:br/>
        <w:t>Inspector Parveen Chauhan</w:t>
        <w:br/>
        <w:t>Station House Officer (SHO)</w:t>
        <w:br/>
        <w:t>Cyber Police Station, Sector-17, Rohini, Delhi Police</w:t>
      </w:r>
    </w:p>
    <w:p>
      <w:r>
        <w:br w:type="page"/>
      </w:r>
    </w:p>
    <w:p>
      <w:pPr>
        <w:keepNext/>
        <w:spacing w:before="360" w:after="160"/>
      </w:pPr>
      <w:r>
        <w:rPr>
          <w:rFonts w:ascii="Times New Roman" w:hAnsi="Times New Roman"/>
          <w:b/>
          <w:i w:val="0"/>
          <w:color w:val="002147"/>
          <w:sz w:val="32"/>
        </w:rPr>
        <w:t>CANDIDATE DECLARATION OF ORIGINALITY</w:t>
      </w:r>
    </w:p>
    <w:p>
      <w:pPr>
        <w:spacing w:before="0" w:after="120" w:line="360" w:lineRule="auto"/>
        <w:jc w:val="left"/>
      </w:pPr>
      <w:r>
        <w:rPr>
          <w:rFonts w:ascii="Times New Roman" w:hAnsi="Times New Roman"/>
          <w:b w:val="0"/>
          <w:i w:val="0"/>
          <w:color w:val="1E293B"/>
          <w:sz w:val="24"/>
        </w:rPr>
        <w:t>I, Bhawna Vashisht, Enrolment No. 35114702024, hereby declare that the summer training project report entitled 'Cyber Crime Investigation: A Data Analytics and Correlation-Based Approach (Fin-Suraksha: AI-Assisted Financial Crime Attribution Console)' is an original record of work carried out by me at the Cyber Police Station, Sector-17, Rohini, Delhi Police, from 24 June 2026 to 24 July 2026.</w:t>
      </w:r>
    </w:p>
    <w:p>
      <w:pPr>
        <w:spacing w:before="0" w:after="120" w:line="360" w:lineRule="auto"/>
        <w:jc w:val="left"/>
      </w:pPr>
      <w:r>
        <w:rPr>
          <w:rFonts w:ascii="Times New Roman" w:hAnsi="Times New Roman"/>
          <w:b w:val="0"/>
          <w:i w:val="0"/>
          <w:color w:val="1E293B"/>
          <w:sz w:val="24"/>
        </w:rPr>
        <w:t>The software architectures, database schemas, machine learning benchmarks, and verification suites documented in this report represent my own work under the guidance of my organizational mentor ASI Jaswinder Joon and academic supervisor Dr. Sarita Bansal Garg. All data used is synthetic to protect ongoing judicial proceedings. This report has not been submitted previously to any institution for any degree or diploma.</w:t>
      </w:r>
    </w:p>
    <w:p>
      <w:pPr>
        <w:spacing w:before="0" w:after="120" w:line="360" w:lineRule="auto"/>
        <w:jc w:val="left"/>
      </w:pPr>
      <w:r>
        <w:rPr>
          <w:rFonts w:ascii="Times New Roman" w:hAnsi="Times New Roman"/>
          <w:b w:val="0"/>
          <w:i w:val="0"/>
          <w:color w:val="1E293B"/>
          <w:sz w:val="24"/>
        </w:rPr>
        <w:br/>
        <w:t>Date: 24th July, 2026</w:t>
        <w:br/>
        <w:t>Place: Delhi</w:t>
        <w:br/>
        <w:br/>
        <w:t>___________________________________</w:t>
        <w:br/>
        <w:t>Bhawna Vashisht</w:t>
        <w:br/>
        <w:t>Enrolment No.: 35114702024</w:t>
      </w:r>
    </w:p>
    <w:p>
      <w:r>
        <w:br w:type="page"/>
      </w:r>
    </w:p>
    <w:p>
      <w:pPr>
        <w:keepNext/>
        <w:spacing w:before="360" w:after="160"/>
      </w:pPr>
      <w:r>
        <w:rPr>
          <w:rFonts w:ascii="Times New Roman" w:hAnsi="Times New Roman"/>
          <w:b/>
          <w:i w:val="0"/>
          <w:color w:val="002147"/>
          <w:sz w:val="32"/>
        </w:rPr>
        <w:t>ACKNOWLEDGEMENT</w:t>
      </w:r>
    </w:p>
    <w:p>
      <w:pPr>
        <w:spacing w:before="0" w:after="120" w:line="360" w:lineRule="auto"/>
        <w:jc w:val="left"/>
      </w:pPr>
      <w:r>
        <w:rPr>
          <w:rFonts w:ascii="Times New Roman" w:hAnsi="Times New Roman"/>
          <w:b w:val="0"/>
          <w:i w:val="0"/>
          <w:color w:val="1E293B"/>
          <w:sz w:val="24"/>
        </w:rPr>
        <w:t>I express my sincere gratitude to Maharaja Agrasen Institute of Management Studies (MAIMS) for providing me with the opportunity to undertake this practical internship at the Cyber Police Station, Sector-17, Rohini, Delhi Police.</w:t>
      </w:r>
    </w:p>
    <w:p>
      <w:pPr>
        <w:spacing w:before="0" w:after="120" w:line="360" w:lineRule="auto"/>
        <w:jc w:val="left"/>
      </w:pPr>
      <w:r>
        <w:rPr>
          <w:rFonts w:ascii="Times New Roman" w:hAnsi="Times New Roman"/>
          <w:b w:val="0"/>
          <w:i w:val="0"/>
          <w:color w:val="1E293B"/>
          <w:sz w:val="24"/>
        </w:rPr>
        <w:t>I am profoundly grateful to my academic supervisor, Dr. Sarita Bansal Garg (Head of Department, BCA, MAIMS), for her invaluable academic counsel, constant encouragement, and thorough review of this project report.</w:t>
      </w:r>
    </w:p>
    <w:p>
      <w:pPr>
        <w:spacing w:before="0" w:after="120" w:line="360" w:lineRule="auto"/>
        <w:jc w:val="left"/>
      </w:pPr>
      <w:r>
        <w:rPr>
          <w:rFonts w:ascii="Times New Roman" w:hAnsi="Times New Roman"/>
          <w:b w:val="0"/>
          <w:i w:val="0"/>
          <w:color w:val="1E293B"/>
          <w:sz w:val="24"/>
        </w:rPr>
        <w:t>I extend my deepest gratitude to ASI Jaswinder Joon, my organizational mentor and Investigating Officer, whose practical mentorship in digital evidence correlation, Call Detail Record (CDR) analysis, and statutory banking freeze notices formed the foundation of Fin-Suraksha. I also thank Station House Officer (SHO) Inspector Parveen Chauhan and the entire staff of the Cyber Police Station for their guidance.</w:t>
      </w:r>
    </w:p>
    <w:p>
      <w:pPr>
        <w:spacing w:before="0" w:after="120" w:line="360" w:lineRule="auto"/>
        <w:jc w:val="left"/>
      </w:pPr>
      <w:r>
        <w:rPr>
          <w:rFonts w:ascii="Times New Roman" w:hAnsi="Times New Roman"/>
          <w:b w:val="0"/>
          <w:i w:val="0"/>
          <w:color w:val="1E293B"/>
          <w:sz w:val="24"/>
        </w:rPr>
        <w:t>Finally, I thank my parents and peers for their continuous support throughout this internship.</w:t>
      </w:r>
    </w:p>
    <w:p>
      <w:r>
        <w:br w:type="page"/>
      </w:r>
    </w:p>
    <w:p>
      <w:pPr>
        <w:keepNext/>
        <w:spacing w:before="360" w:after="160"/>
      </w:pPr>
      <w:r>
        <w:rPr>
          <w:rFonts w:ascii="Times New Roman" w:hAnsi="Times New Roman"/>
          <w:b/>
          <w:i w:val="0"/>
          <w:color w:val="002147"/>
          <w:sz w:val="32"/>
        </w:rPr>
        <w:t>ABSTRACT</w:t>
      </w:r>
    </w:p>
    <w:p>
      <w:pPr>
        <w:spacing w:before="0" w:after="120" w:line="360" w:lineRule="auto"/>
        <w:jc w:val="left"/>
      </w:pPr>
      <w:r>
        <w:rPr>
          <w:rFonts w:ascii="Times New Roman" w:hAnsi="Times New Roman"/>
          <w:b w:val="0"/>
          <w:i w:val="0"/>
          <w:color w:val="1E293B"/>
          <w:sz w:val="24"/>
        </w:rPr>
        <w:t>Digital financial crime in India has surged with the widespread adoption of Unified Payments Interface (UPI) systems, mobile banking apps, and decentralized digital communications. Investigating modern cyber fraud syndicates—such as digital arrest scams, mule laundering chains, and reverse-QR smurfing—presents severe operational hurdles due to the distributed, multi-jurisdictional nature of digital evidence. Manually cross-referencing bank statements, Call Detail Records (CDRs), IPDR logs, and device hardware fingerprints across independent financial institutions is laborious, leading to critical investigative delays.</w:t>
      </w:r>
    </w:p>
    <w:p>
      <w:pPr>
        <w:spacing w:before="0" w:after="120" w:line="360" w:lineRule="auto"/>
        <w:jc w:val="left"/>
      </w:pPr>
      <w:r>
        <w:rPr>
          <w:rFonts w:ascii="Times New Roman" w:hAnsi="Times New Roman"/>
          <w:b w:val="0"/>
          <w:i w:val="0"/>
          <w:color w:val="1E293B"/>
          <w:sz w:val="24"/>
        </w:rPr>
        <w:t>This report presents the research, design, and development of 'Fin-Suraksha: AI-Assisted Financial Crime Attribution Console', engineered during an internship at the Cyber Police Station, Sector-17, Rohini, Delhi Police. Fin-Suraksha is an intelligence and forensic decision-support platform that transforms manual investigative workflows into an automated analytical pipeline. The system implements a 4-layer decoupled architecture: (1) an Indian banking ecosystem data generator modeling 8,973 transactions across 1,584 active accounts; (2) a NetworkX forensic graph engine reconstructing directed multigraphs, concentric radial ego networks, and Louvain modularity clusters; (3) an ensemble heuristic risk engine synthesizing digital footprint overlaps, haversine physical travel velocity anomalies (&gt;500 km/h), nocturnal timing patterns (1–4 AM), and mastermind betweenness centrality; and (4) an authentic machine learning classification pipeline benchmarking Random Forest, XGBoost, Logistic Regression, and Graph Neural Networks (GCN, GraphSAGE, GAT in PyTorch Geometric) across a 4-class taxonomy (Normal, Suspicious, Mule, Fraudster).</w:t>
      </w:r>
    </w:p>
    <w:p>
      <w:pPr>
        <w:spacing w:before="0" w:after="120" w:line="360" w:lineRule="auto"/>
        <w:jc w:val="left"/>
      </w:pPr>
      <w:r>
        <w:rPr>
          <w:rFonts w:ascii="Times New Roman" w:hAnsi="Times New Roman"/>
          <w:b w:val="0"/>
          <w:i w:val="0"/>
          <w:color w:val="1E293B"/>
          <w:sz w:val="24"/>
        </w:rPr>
        <w:t>All predictive evaluations are conducted on a genuine 80/20 held-out split (N=317 test accounts) free of target label leakage, complemented by TreeExplainer SHAP explainability, an All-India GIS Radar with geodesic distance computations, and automated statutory notice generators aligned with Sections 94, 106, and 79 of the Bharatiya Nagarik Suraksha Sanhita (BNSS), 2023. The prototype provides law enforcement with an actionable, court-admissible decision support terminal.</w:t>
      </w:r>
    </w:p>
    <w:p>
      <w:r>
        <w:br w:type="page"/>
      </w:r>
    </w:p>
    <w:p>
      <w:pPr>
        <w:keepNext/>
        <w:spacing w:before="360" w:after="160"/>
      </w:pPr>
      <w:r>
        <w:rPr>
          <w:rFonts w:ascii="Times New Roman" w:hAnsi="Times New Roman"/>
          <w:b/>
          <w:i w:val="0"/>
          <w:color w:val="002147"/>
          <w:sz w:val="32"/>
        </w:rPr>
        <w:t>LIST OF ABBREVIATIONS</w:t>
      </w:r>
    </w:p>
    <w:tbl>
      <w:tblPr>
        <w:tblW w:type="auto" w:w="0"/>
        <w:jc w:val="center"/>
        <w:tblLook w:firstColumn="1" w:firstRow="1" w:lastColumn="0" w:lastRow="0" w:noHBand="0" w:noVBand="1" w:val="04A0"/>
      </w:tblPr>
      <w:tblGrid>
        <w:gridCol w:w="4320"/>
        <w:gridCol w:w="4320"/>
      </w:tblGrid>
      <w:tr>
        <w:tc>
          <w:tcPr>
            <w:tcW w:type="dxa" w:w="2592"/>
            <w:shd w:fill="002147"/>
            <w:tcMar>
              <w:top w:w="120" w:type="dxa"/>
              <w:bottom w:w="120" w:type="dxa"/>
              <w:left w:w="140" w:type="dxa"/>
              <w:right w:w="140" w:type="dxa"/>
            </w:tcMar>
          </w:tcPr>
          <w:p>
            <w:pPr>
              <w:jc w:val="center"/>
            </w:pPr>
            <w:r>
              <w:rPr>
                <w:rFonts w:ascii="Times New Roman" w:hAnsi="Times New Roman"/>
                <w:b/>
                <w:i w:val="0"/>
                <w:color w:val="FFFFFF"/>
                <w:sz w:val="21"/>
              </w:rPr>
              <w:t>Abbreviation</w:t>
            </w:r>
          </w:p>
        </w:tc>
        <w:tc>
          <w:tcPr>
            <w:tcW w:type="dxa" w:w="5760"/>
            <w:shd w:fill="002147"/>
            <w:tcMar>
              <w:top w:w="120" w:type="dxa"/>
              <w:bottom w:w="120" w:type="dxa"/>
              <w:left w:w="140" w:type="dxa"/>
              <w:right w:w="140" w:type="dxa"/>
            </w:tcMar>
          </w:tcPr>
          <w:p>
            <w:pPr>
              <w:jc w:val="center"/>
            </w:pPr>
            <w:r>
              <w:rPr>
                <w:rFonts w:ascii="Times New Roman" w:hAnsi="Times New Roman"/>
                <w:b/>
                <w:i w:val="0"/>
                <w:color w:val="FFFFFF"/>
                <w:sz w:val="21"/>
              </w:rPr>
              <w:t>Full Expansion</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API</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Application Programming Interface</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ATM</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Automated Teller Machine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BCA</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Bachelor of Computer Applications</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BNS</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Bharatiya Nyaya Sanhita, 2023</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BNSS</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Bharatiya Nagarik Suraksha Sanhita, 2023</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CAF</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Customer Application Form</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CCTV</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Closed-Circuit Television</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CD</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Case Diary</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CDR</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Call Detail Record</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DFD</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Data Flow Diagram</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ERD</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Entity Relationship Diagram</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FIR</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First Information Report</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GAT</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Graph Attention Network</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GCN</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Graph Convolutional Network</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GD</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General Diary</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GIS</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Geographic Information System</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GNN</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Graph Neural Network</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GPS</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Global Positioning System</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GUI</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Graphical User Interface</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I4C</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Indian Cyber Crime Coordination Centre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ICCID</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Integrated Circuit Card Identification (SIM Serial)</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IMEI</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International Mobile Equipment Identity</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IMPS</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Immediate Payment Service</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IPDR</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Internet Protocol Detail Record</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KYC</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Know Your Customer</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MAIMS</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Maharaja Agrasen Institute of Management Studies</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MCC</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Matthews Correlation Coefficient</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NCRP</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National Cyber Crime Reporting Portal</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NEFT</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National Electronic Funds Transfer</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POS</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Point of Sale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PR</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Precision-Recall</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ROC-AUC</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Receiver Operating Characteristic - Area Under Curve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RTGS</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Real-Time Gross Settlement</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SDLC</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Software Development Life Cycle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SHAP</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SHapley Additive exPlanations</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SIM</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Subscriber Identity Module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SRS</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Software Requirements Specification</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TAFCOP</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Telecom Analytics for Fraud management and Consumer Protection</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UI / UX</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User Interface / User Experience</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UPI</w:t>
            </w:r>
          </w:p>
        </w:tc>
        <w:tc>
          <w:tcPr>
            <w:tcW w:type="dxa" w:w="5760"/>
            <w:shd w:fill="F8FAFC"/>
            <w:tcMar>
              <w:top w:w="80" w:type="dxa"/>
              <w:bottom w:w="80" w:type="dxa"/>
              <w:left w:w="120" w:type="dxa"/>
              <w:right w:w="120" w:type="dxa"/>
            </w:tcMar>
          </w:tcPr>
          <w:p>
            <w:pPr>
              <w:jc w:val="left"/>
            </w:pPr>
            <w:r>
              <w:rPr>
                <w:rFonts w:ascii="Times New Roman" w:hAnsi="Times New Roman"/>
                <w:b w:val="0"/>
                <w:i w:val="0"/>
                <w:color w:val="1E293B"/>
                <w:sz w:val="20"/>
              </w:rPr>
              <w:t>Unified Payments Interface</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UTR</w:t>
            </w:r>
          </w:p>
        </w:tc>
        <w:tc>
          <w:tcPr>
            <w:tcW w:type="dxa" w:w="5760"/>
            <w:shd w:fill="FFFFFF"/>
            <w:tcMar>
              <w:top w:w="80" w:type="dxa"/>
              <w:bottom w:w="80" w:type="dxa"/>
              <w:left w:w="120" w:type="dxa"/>
              <w:right w:w="120" w:type="dxa"/>
            </w:tcMar>
          </w:tcPr>
          <w:p>
            <w:pPr>
              <w:jc w:val="left"/>
            </w:pPr>
            <w:r>
              <w:rPr>
                <w:rFonts w:ascii="Times New Roman" w:hAnsi="Times New Roman"/>
                <w:b w:val="0"/>
                <w:i w:val="0"/>
                <w:color w:val="1E293B"/>
                <w:sz w:val="20"/>
              </w:rPr>
              <w:t>Unique Transaction Reference</w:t>
            </w:r>
          </w:p>
        </w:tc>
      </w:tr>
    </w:tbl>
    <w:p>
      <w:pPr>
        <w:spacing w:after="120"/>
      </w:pPr>
    </w:p>
    <w:p>
      <w:r>
        <w:br w:type="page"/>
      </w:r>
    </w:p>
    <w:p>
      <w:pPr>
        <w:keepNext/>
        <w:spacing w:before="360" w:after="160"/>
      </w:pPr>
      <w:r>
        <w:rPr>
          <w:rFonts w:ascii="Times New Roman" w:hAnsi="Times New Roman"/>
          <w:b/>
          <w:i w:val="0"/>
          <w:color w:val="002147"/>
          <w:sz w:val="32"/>
        </w:rPr>
        <w:t>TABLE OF CONTENTS</w:t>
      </w:r>
    </w:p>
    <w:tbl>
      <w:tblPr>
        <w:tblW w:type="auto" w:w="0"/>
        <w:jc w:val="center"/>
        <w:tblLook w:firstColumn="1" w:firstRow="1" w:lastColumn="0" w:lastRow="0" w:noHBand="0" w:noVBand="1" w:val="04A0"/>
      </w:tblPr>
      <w:tblGrid>
        <w:gridCol w:w="2880"/>
        <w:gridCol w:w="2880"/>
        <w:gridCol w:w="2880"/>
      </w:tblGrid>
      <w:tr>
        <w:tc>
          <w:tcPr>
            <w:tcW w:type="dxa" w:w="1440"/>
            <w:shd w:fill="002147"/>
            <w:tcMar>
              <w:top w:w="120" w:type="dxa"/>
              <w:bottom w:w="120" w:type="dxa"/>
              <w:left w:w="140" w:type="dxa"/>
              <w:right w:w="140" w:type="dxa"/>
            </w:tcMar>
          </w:tcPr>
          <w:p>
            <w:pPr>
              <w:jc w:val="center"/>
            </w:pPr>
            <w:r>
              <w:rPr>
                <w:rFonts w:ascii="Times New Roman" w:hAnsi="Times New Roman"/>
                <w:b/>
                <w:i w:val="0"/>
                <w:color w:val="FFFFFF"/>
                <w:sz w:val="21"/>
              </w:rPr>
              <w:t>Index</w:t>
            </w:r>
          </w:p>
        </w:tc>
        <w:tc>
          <w:tcPr>
            <w:tcW w:type="dxa" w:w="6048"/>
            <w:shd w:fill="002147"/>
            <w:tcMar>
              <w:top w:w="120" w:type="dxa"/>
              <w:bottom w:w="120" w:type="dxa"/>
              <w:left w:w="140" w:type="dxa"/>
              <w:right w:w="140" w:type="dxa"/>
            </w:tcMar>
          </w:tcPr>
          <w:p>
            <w:pPr>
              <w:jc w:val="center"/>
            </w:pPr>
            <w:r>
              <w:rPr>
                <w:rFonts w:ascii="Times New Roman" w:hAnsi="Times New Roman"/>
                <w:b/>
                <w:i w:val="0"/>
                <w:color w:val="FFFFFF"/>
                <w:sz w:val="21"/>
              </w:rPr>
              <w:t>Topic / Chapter Section</w:t>
            </w:r>
          </w:p>
        </w:tc>
        <w:tc>
          <w:tcPr>
            <w:tcW w:type="dxa" w:w="864"/>
            <w:shd w:fill="002147"/>
            <w:tcMar>
              <w:top w:w="120" w:type="dxa"/>
              <w:bottom w:w="120" w:type="dxa"/>
              <w:left w:w="140" w:type="dxa"/>
              <w:right w:w="140" w:type="dxa"/>
            </w:tcMar>
          </w:tcPr>
          <w:p>
            <w:pPr>
              <w:jc w:val="center"/>
            </w:pPr>
            <w:r>
              <w:rPr>
                <w:rFonts w:ascii="Times New Roman" w:hAnsi="Times New Roman"/>
                <w:b/>
                <w:i w:val="0"/>
                <w:color w:val="FFFFFF"/>
                <w:sz w:val="21"/>
              </w:rPr>
              <w:t>Page</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Chapter 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Problem Formulation &amp; Domain Context</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1</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1.1</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Introduction about Host Organization (Cyber Police Station Rohini)</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1</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1.2</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Introduction about the Problem (Financial Cybercrime in India)</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3</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1.3</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Present State of the Art (NCRP, I4C, Manual Correlation Bottlenecks)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5</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1.4</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Need for Computerization &amp; Computational Graph Forensics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8</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1.5</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Proposed Software: Fin-Suraksha Attribution Console</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10</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1.6</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Importance and Practical Value of the Work</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13</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Chapter 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System Analysis &amp; Methodology</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15</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2.1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Feasibility Study (Technical, Operational, Economic, Legal BNSS)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15</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2.2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Analysis Methodology (CRISP-DM &amp; Graph Mining Life Cycle)</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19</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2.3</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Choice of Platforms &amp; Technologies (Python, Streamlit, PyG, SQLite)</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22</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Chapter 3</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System Design &amp; Architectural Modeling</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26</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3.1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Design Methodology &amp; 4-Layer Decoupled Architecture</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26</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3.2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Database Design &amp; Relational Schema</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29</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3.2.1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Entity Relationship Diagram (ERD)</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31</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3.2.2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Data Flow Diagrams (DFD Context Level 0, Level 1, Level 2)</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34</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3.3</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Input Design (CSV Ingestion, SQL Console, Parameter Sliders)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38</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3.4</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Output Design (Forensic Topology, GIS Radar, Court Reports)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41</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3.5</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Code Design &amp; Algorithmic Modules (model.py, intelligence.py, app.py)</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44</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Chapter 4</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Testing, Validation &amp; System Implementation</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50</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4.1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Testing Methodology (Unit, Integration, Integrity Suite)</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50</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4.2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Test Data, Cases &amp; Execution Logs (7 System Integrity Tests)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53</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4.3</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Live Machine Learning Model Evaluation &amp; Non-Hardcoded Results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57</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4.4</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Implementation &amp; Deployment Manual</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61</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4.5</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User Training &amp; Officer SOP Guidelines under BNSS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64</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Chapter 5</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Conclusion, Limitations &amp; Future Enhancements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67</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5.1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Project Summary &amp; Key Analytical Findings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67</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5.2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Hardware &amp; Software Specifications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69</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5.3</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Identified System Limitations &amp; Academic Scope Constraints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71</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5.4</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Future Scope (Automated NCRP API, Graph Transformers, Biometrics)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73</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5.5</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References &amp; Statutory Bibliography</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75</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Chapter 6</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Annexures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78</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A-1</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Menu Flow &amp; Functional Navigation Hierarchy</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78</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A-2</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System Structure Chart</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80</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A-3</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Investigative Decision Trees &amp; Statutory BNSS Protocols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82</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A-4</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Comprehensive Data Dictionary (10 Database Tables)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84</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A-5</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System Integrity Test Logs &amp; Verification Reports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88</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A-6</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Sample Inputs &amp; Synthetic Fraud Scenario Injection Profiles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91</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A-7</w:t>
            </w:r>
          </w:p>
        </w:tc>
        <w:tc>
          <w:tcPr>
            <w:tcW w:type="dxa" w:w="6048"/>
            <w:shd w:fill="FFFFFF"/>
            <w:tcMar>
              <w:top w:w="80" w:type="dxa"/>
              <w:bottom w:w="80" w:type="dxa"/>
              <w:left w:w="120" w:type="dxa"/>
              <w:right w:w="120" w:type="dxa"/>
            </w:tcMar>
          </w:tcPr>
          <w:p>
            <w:pPr>
              <w:jc w:val="left"/>
            </w:pPr>
            <w:r>
              <w:rPr>
                <w:rFonts w:ascii="Times New Roman" w:hAnsi="Times New Roman"/>
                <w:b w:val="0"/>
                <w:i w:val="0"/>
                <w:color w:val="1E293B"/>
                <w:sz w:val="20"/>
              </w:rPr>
              <w:t>Sample Outputs (13 Streamlit Console Modules with Visual Placeholders)</w:t>
            </w:r>
          </w:p>
        </w:tc>
        <w:tc>
          <w:tcPr>
            <w:tcW w:type="dxa" w:w="864"/>
            <w:shd w:fill="FFFFFF"/>
            <w:tcMar>
              <w:top w:w="80" w:type="dxa"/>
              <w:bottom w:w="80" w:type="dxa"/>
              <w:left w:w="120" w:type="dxa"/>
              <w:right w:w="120" w:type="dxa"/>
            </w:tcMar>
          </w:tcPr>
          <w:p>
            <w:pPr>
              <w:jc w:val="left"/>
            </w:pPr>
            <w:r>
              <w:rPr>
                <w:rFonts w:ascii="Times New Roman" w:hAnsi="Times New Roman"/>
                <w:b w:val="0"/>
                <w:i w:val="0"/>
                <w:color w:val="1E293B"/>
                <w:sz w:val="20"/>
              </w:rPr>
              <w:t>94</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A-8</w:t>
            </w:r>
          </w:p>
        </w:tc>
        <w:tc>
          <w:tcPr>
            <w:tcW w:type="dxa" w:w="6048"/>
            <w:shd w:fill="F8FAFC"/>
            <w:tcMar>
              <w:top w:w="80" w:type="dxa"/>
              <w:bottom w:w="80" w:type="dxa"/>
              <w:left w:w="120" w:type="dxa"/>
              <w:right w:w="120" w:type="dxa"/>
            </w:tcMar>
          </w:tcPr>
          <w:p>
            <w:pPr>
              <w:jc w:val="left"/>
            </w:pPr>
            <w:r>
              <w:rPr>
                <w:rFonts w:ascii="Times New Roman" w:hAnsi="Times New Roman"/>
                <w:b w:val="0"/>
                <w:i w:val="0"/>
                <w:color w:val="1E293B"/>
                <w:sz w:val="20"/>
              </w:rPr>
              <w:t>Core Source Code Snippets &amp; Algorithmic Implementations</w:t>
            </w:r>
          </w:p>
        </w:tc>
        <w:tc>
          <w:tcPr>
            <w:tcW w:type="dxa" w:w="864"/>
            <w:shd w:fill="F8FAFC"/>
            <w:tcMar>
              <w:top w:w="80" w:type="dxa"/>
              <w:bottom w:w="80" w:type="dxa"/>
              <w:left w:w="120" w:type="dxa"/>
              <w:right w:w="120" w:type="dxa"/>
            </w:tcMar>
          </w:tcPr>
          <w:p>
            <w:pPr>
              <w:jc w:val="left"/>
            </w:pPr>
            <w:r>
              <w:rPr>
                <w:rFonts w:ascii="Times New Roman" w:hAnsi="Times New Roman"/>
                <w:b w:val="0"/>
                <w:i w:val="0"/>
                <w:color w:val="1E293B"/>
                <w:sz w:val="20"/>
              </w:rPr>
              <w:t>102</w:t>
            </w:r>
          </w:p>
        </w:tc>
      </w:tr>
    </w:tbl>
    <w:p>
      <w:pPr>
        <w:spacing w:after="120"/>
      </w:pPr>
    </w:p>
    <w:p>
      <w:pPr>
        <w:sectPr>
          <w:pgSz w:w="12240" w:h="15840"/>
          <w:pgMar w:top="1440" w:right="1440" w:bottom="1440" w:left="2160" w:header="720" w:footer="720" w:gutter="0"/>
          <w:cols w:space="720"/>
          <w:docGrid w:linePitch="360"/>
        </w:sectPr>
      </w:pPr>
    </w:p>
    <w:p>
      <w:pPr>
        <w:keepNext/>
        <w:spacing w:before="360" w:after="160"/>
      </w:pPr>
      <w:r>
        <w:rPr>
          <w:rFonts w:ascii="Times New Roman" w:hAnsi="Times New Roman"/>
          <w:b/>
          <w:i w:val="0"/>
          <w:color w:val="002147"/>
          <w:sz w:val="32"/>
        </w:rPr>
        <w:t>CHAPTER 1: PROBLEM FORMULATION &amp; DOMAIN CONTEXT</w:t>
      </w:r>
    </w:p>
    <w:p>
      <w:pPr>
        <w:keepNext/>
        <w:spacing w:before="280" w:after="120"/>
      </w:pPr>
      <w:r>
        <w:rPr>
          <w:rFonts w:ascii="Times New Roman" w:hAnsi="Times New Roman"/>
          <w:b/>
          <w:i w:val="0"/>
          <w:color w:val="002147"/>
          <w:sz w:val="27"/>
        </w:rPr>
        <w:t>1.1 Introduction about the Host Organization</w:t>
      </w:r>
    </w:p>
    <w:p>
      <w:pPr>
        <w:keepNext/>
        <w:spacing w:before="200" w:after="80"/>
      </w:pPr>
      <w:r>
        <w:rPr>
          <w:rFonts w:ascii="Times New Roman" w:hAnsi="Times New Roman"/>
          <w:b/>
          <w:i/>
          <w:color w:val="002147"/>
          <w:sz w:val="24"/>
        </w:rPr>
        <w:t>1.1.1 Overview of the Cyber Police Station</w:t>
      </w:r>
    </w:p>
    <w:p>
      <w:pPr>
        <w:spacing w:before="0" w:after="120" w:line="360" w:lineRule="auto"/>
        <w:jc w:val="left"/>
      </w:pPr>
      <w:r>
        <w:rPr>
          <w:rFonts w:ascii="Times New Roman" w:hAnsi="Times New Roman"/>
          <w:b w:val="0"/>
          <w:i w:val="0"/>
          <w:color w:val="1E293B"/>
          <w:sz w:val="24"/>
        </w:rPr>
        <w:t>The Cyber Police Station, Sector-17, Rohini, Delhi, is a specialized law enforcement unit established to investigate cyber offences and uphold public order across digital channels. The rapid proliferation of digital payment interfaces, online banking platforms, smartphone applications, and social networking services has given rise to sophisticated cyber syndicates. A dedicated investigative unit is essential for handling complex evidence encompassing digital ledgers, internet protocols, and cross-border cyber threats.</w:t>
      </w:r>
    </w:p>
    <w:p>
      <w:pPr>
        <w:spacing w:before="0" w:after="120" w:line="360" w:lineRule="auto"/>
        <w:jc w:val="left"/>
      </w:pPr>
      <w:r>
        <w:rPr>
          <w:rFonts w:ascii="Times New Roman" w:hAnsi="Times New Roman"/>
          <w:b w:val="0"/>
          <w:i w:val="0"/>
          <w:color w:val="1E293B"/>
          <w:sz w:val="24"/>
        </w:rPr>
        <w:t>The station investigates a broad spectrum of digital crimes including online banking fraud, digital arrest extortion schemes, fake loan apps, social media impersonation, identity theft, cyber harassment, and large-scale phishing syndicates. Investigating such cases requires examining fragmented evidence across multiple digital and financial service providers rather than relying on conventional eyewitness or localized records.</w:t>
      </w:r>
    </w:p>
    <w:p>
      <w:pPr>
        <w:keepNext/>
        <w:spacing w:before="200" w:after="80"/>
      </w:pPr>
      <w:r>
        <w:rPr>
          <w:rFonts w:ascii="Times New Roman" w:hAnsi="Times New Roman"/>
          <w:b/>
          <w:i/>
          <w:color w:val="002147"/>
          <w:sz w:val="24"/>
        </w:rPr>
        <w:t>1.1.2 Role and Functions of the Organization</w:t>
      </w:r>
    </w:p>
    <w:p>
      <w:pPr>
        <w:spacing w:before="0" w:after="120" w:line="360" w:lineRule="auto"/>
        <w:jc w:val="left"/>
      </w:pPr>
      <w:r>
        <w:rPr>
          <w:rFonts w:ascii="Times New Roman" w:hAnsi="Times New Roman"/>
          <w:b w:val="0"/>
          <w:i w:val="0"/>
          <w:color w:val="1E293B"/>
          <w:sz w:val="24"/>
        </w:rPr>
        <w:t>The Cyber Police Station performs critical statutory and forensic duties: (1) receiving and registering complaints filed through the National Cyber Crime Reporting Portal (NCRP) or Citizen Helpline 1930; (2) preserving and securing digital evidence; (3) issuing statutory notices under Section 94 and Section 106 of the Bharatiya Nagarik Suraksha Sanhita (BNSS), 2023, to banks, payment aggregators, telecom operators, and ISPs; (4) conducting technical correlation across Call Detail Records (CDRs) and banking statements; and (5) executing interstate raids and freezing compromised accounts.</w:t>
      </w:r>
    </w:p>
    <w:p>
      <w:pPr>
        <w:keepNext/>
        <w:spacing w:before="200" w:after="80"/>
      </w:pPr>
      <w:r>
        <w:rPr>
          <w:rFonts w:ascii="Times New Roman" w:hAnsi="Times New Roman"/>
          <w:b/>
          <w:i/>
          <w:color w:val="002147"/>
          <w:sz w:val="24"/>
        </w:rPr>
        <w:t>1.1.3 Organizational Structure of Cyber Police in a District</w:t>
      </w:r>
    </w:p>
    <w:p>
      <w:pPr>
        <w:spacing w:before="0" w:after="120" w:line="360" w:lineRule="auto"/>
        <w:jc w:val="left"/>
      </w:pPr>
      <w:r>
        <w:rPr>
          <w:rFonts w:ascii="Times New Roman" w:hAnsi="Times New Roman"/>
          <w:b w:val="0"/>
          <w:i w:val="0"/>
          <w:color w:val="1E293B"/>
          <w:sz w:val="24"/>
        </w:rPr>
        <w:t>The hierarchical command chain of the district cyber police environment is structured as follows: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1.1 ]</w:t>
              <w:br/>
            </w:r>
            <w:r>
              <w:rPr>
                <w:rFonts w:ascii="Times New Roman" w:hAnsi="Times New Roman"/>
                <w:b/>
                <w:i w:val="0"/>
                <w:color w:val="C4122F"/>
                <w:sz w:val="24"/>
              </w:rPr>
              <w:t>Organizational Structure of the Cyber Police Station</w:t>
              <w:br/>
              <w:br/>
            </w:r>
            <w:r>
              <w:rPr>
                <w:rFonts w:ascii="Times New Roman" w:hAnsi="Times New Roman"/>
                <w:b w:val="0"/>
                <w:i/>
                <w:color w:val="475569"/>
                <w:sz w:val="20"/>
              </w:rPr>
              <w:t>Instructions for Image Insertion:</w:t>
              <w:br/>
              <w:t>Insert the Command Hierarchy Chart:</w:t>
              <w:br/>
              <w:t>Deputy Commissioner of Police (DCP) → Additional DCP → Assistant Commissioner of Police (ACP) → Station House Officer (SHO: Insp. Parveen Chauhan) → Investigating Officers (ASI Jaswinder Joon) → Head Constables → Constables.</w:t>
              <w:br/>
            </w:r>
          </w:p>
        </w:tc>
      </w:tr>
    </w:tbl>
    <w:p>
      <w:pPr>
        <w:spacing w:before="80" w:after="240"/>
        <w:jc w:val="center"/>
      </w:pPr>
      <w:r>
        <w:rPr>
          <w:rFonts w:ascii="Times New Roman" w:hAnsi="Times New Roman"/>
          <w:b/>
          <w:i/>
          <w:color w:val="002147"/>
          <w:sz w:val="21"/>
        </w:rPr>
        <w:t>Figure 1.1: Organizational Structure of the Cyber Police Station</w:t>
      </w:r>
    </w:p>
    <w:p>
      <w:pPr>
        <w:keepNext/>
        <w:spacing w:before="280" w:after="120"/>
      </w:pPr>
      <w:r>
        <w:rPr>
          <w:rFonts w:ascii="Times New Roman" w:hAnsi="Times New Roman"/>
          <w:b/>
          <w:i w:val="0"/>
          <w:color w:val="002147"/>
          <w:sz w:val="27"/>
        </w:rPr>
        <w:t>1.2 Introduction about the Problem: Financial Cybercrime in India</w:t>
      </w:r>
    </w:p>
    <w:p>
      <w:pPr>
        <w:keepNext/>
        <w:spacing w:before="200" w:after="80"/>
      </w:pPr>
      <w:r>
        <w:rPr>
          <w:rFonts w:ascii="Times New Roman" w:hAnsi="Times New Roman"/>
          <w:b/>
          <w:i/>
          <w:color w:val="002147"/>
          <w:sz w:val="24"/>
        </w:rPr>
        <w:t>1.2.1 Background &amp; Emerging Fraud Typologies</w:t>
      </w:r>
    </w:p>
    <w:p>
      <w:pPr>
        <w:spacing w:before="0" w:after="120" w:line="360" w:lineRule="auto"/>
        <w:jc w:val="left"/>
      </w:pPr>
      <w:r>
        <w:rPr>
          <w:rFonts w:ascii="Times New Roman" w:hAnsi="Times New Roman"/>
          <w:b w:val="0"/>
          <w:i w:val="0"/>
          <w:color w:val="1E293B"/>
          <w:sz w:val="24"/>
        </w:rPr>
        <w:t>Digital payments in India, led by UPI, IMPS, and AePS, process billions of transactions monthly. However, this velocity is systematically exploited by cyber syndicates. Fraudsters establish multi-layered money-routing chains to obscure the money trail before victims realize their funds have been stolen.</w:t>
      </w:r>
    </w:p>
    <w:tbl>
      <w:tblPr>
        <w:tblW w:type="auto" w:w="0"/>
        <w:jc w:val="center"/>
        <w:tblLook w:firstColumn="1" w:firstRow="1" w:lastColumn="0" w:lastRow="0" w:noHBand="0" w:noVBand="1" w:val="04A0"/>
      </w:tblPr>
      <w:tblGrid>
        <w:gridCol w:w="2880"/>
        <w:gridCol w:w="2880"/>
        <w:gridCol w:w="2880"/>
      </w:tblGrid>
      <w:tr>
        <w:tc>
          <w:tcPr>
            <w:tcW w:type="dxa" w:w="2592"/>
            <w:shd w:fill="002147"/>
            <w:tcMar>
              <w:top w:w="120" w:type="dxa"/>
              <w:bottom w:w="120" w:type="dxa"/>
              <w:left w:w="140" w:type="dxa"/>
              <w:right w:w="140" w:type="dxa"/>
            </w:tcMar>
          </w:tcPr>
          <w:p>
            <w:pPr>
              <w:jc w:val="center"/>
            </w:pPr>
            <w:r>
              <w:rPr>
                <w:rFonts w:ascii="Times New Roman" w:hAnsi="Times New Roman"/>
                <w:b/>
                <w:i w:val="0"/>
                <w:color w:val="FFFFFF"/>
                <w:sz w:val="21"/>
              </w:rPr>
              <w:t>Fraud Category</w:t>
            </w:r>
          </w:p>
        </w:tc>
        <w:tc>
          <w:tcPr>
            <w:tcW w:type="dxa" w:w="3168"/>
            <w:shd w:fill="002147"/>
            <w:tcMar>
              <w:top w:w="120" w:type="dxa"/>
              <w:bottom w:w="120" w:type="dxa"/>
              <w:left w:w="140" w:type="dxa"/>
              <w:right w:w="140" w:type="dxa"/>
            </w:tcMar>
          </w:tcPr>
          <w:p>
            <w:pPr>
              <w:jc w:val="center"/>
            </w:pPr>
            <w:r>
              <w:rPr>
                <w:rFonts w:ascii="Times New Roman" w:hAnsi="Times New Roman"/>
                <w:b/>
                <w:i w:val="0"/>
                <w:color w:val="FFFFFF"/>
                <w:sz w:val="21"/>
              </w:rPr>
              <w:t>General Investigation Pattern</w:t>
            </w:r>
          </w:p>
        </w:tc>
        <w:tc>
          <w:tcPr>
            <w:tcW w:type="dxa" w:w="2592"/>
            <w:shd w:fill="002147"/>
            <w:tcMar>
              <w:top w:w="120" w:type="dxa"/>
              <w:bottom w:w="120" w:type="dxa"/>
              <w:left w:w="140" w:type="dxa"/>
              <w:right w:w="140" w:type="dxa"/>
            </w:tcMar>
          </w:tcPr>
          <w:p>
            <w:pPr>
              <w:jc w:val="center"/>
            </w:pPr>
            <w:r>
              <w:rPr>
                <w:rFonts w:ascii="Times New Roman" w:hAnsi="Times New Roman"/>
                <w:b/>
                <w:i w:val="0"/>
                <w:color w:val="FFFFFF"/>
                <w:sz w:val="21"/>
              </w:rPr>
              <w:t>Associated Data Trails</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Digital Arrest Scam</w:t>
            </w:r>
          </w:p>
        </w:tc>
        <w:tc>
          <w:tcPr>
            <w:tcW w:type="dxa" w:w="3168"/>
            <w:shd w:fill="FFFFFF"/>
            <w:tcMar>
              <w:top w:w="80" w:type="dxa"/>
              <w:bottom w:w="80" w:type="dxa"/>
              <w:left w:w="120" w:type="dxa"/>
              <w:right w:w="120" w:type="dxa"/>
            </w:tcMar>
          </w:tcPr>
          <w:p>
            <w:pPr>
              <w:jc w:val="left"/>
            </w:pPr>
            <w:r>
              <w:rPr>
                <w:rFonts w:ascii="Times New Roman" w:hAnsi="Times New Roman"/>
                <w:b w:val="0"/>
                <w:i w:val="0"/>
                <w:color w:val="1E293B"/>
                <w:sz w:val="20"/>
              </w:rPr>
              <w:t>Victim is coerced into transferring funds via fake law enforcement video calls</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Bank account, transaction UTR, timestamp, IP</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Malicious APK Fraud</w:t>
            </w:r>
          </w:p>
        </w:tc>
        <w:tc>
          <w:tcPr>
            <w:tcW w:type="dxa" w:w="3168"/>
            <w:shd w:fill="F8FAFC"/>
            <w:tcMar>
              <w:top w:w="80" w:type="dxa"/>
              <w:bottom w:w="80" w:type="dxa"/>
              <w:left w:w="120" w:type="dxa"/>
              <w:right w:w="120" w:type="dxa"/>
            </w:tcMar>
          </w:tcPr>
          <w:p>
            <w:pPr>
              <w:jc w:val="left"/>
            </w:pPr>
            <w:r>
              <w:rPr>
                <w:rFonts w:ascii="Times New Roman" w:hAnsi="Times New Roman"/>
                <w:b w:val="0"/>
                <w:i w:val="0"/>
                <w:color w:val="1E293B"/>
                <w:sz w:val="20"/>
              </w:rPr>
              <w:t>Unauthorized transactions after installing a predatory application</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Device IMEI, MAC, IP, UPI handle, SMS token</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UPI Mule Network</w:t>
            </w:r>
          </w:p>
        </w:tc>
        <w:tc>
          <w:tcPr>
            <w:tcW w:type="dxa" w:w="3168"/>
            <w:shd w:fill="FFFFFF"/>
            <w:tcMar>
              <w:top w:w="80" w:type="dxa"/>
              <w:bottom w:w="80" w:type="dxa"/>
              <w:left w:w="120" w:type="dxa"/>
              <w:right w:w="120" w:type="dxa"/>
            </w:tcMar>
          </w:tcPr>
          <w:p>
            <w:pPr>
              <w:jc w:val="left"/>
            </w:pPr>
            <w:r>
              <w:rPr>
                <w:rFonts w:ascii="Times New Roman" w:hAnsi="Times New Roman"/>
                <w:b w:val="0"/>
                <w:i w:val="0"/>
                <w:color w:val="1E293B"/>
                <w:sz w:val="20"/>
              </w:rPr>
              <w:t>Funds are layered rapidly across multiple intermediate mule accounts</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Accounts, transaction graph, counterparty velocity</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Reverse-QR Fraud</w:t>
            </w:r>
          </w:p>
        </w:tc>
        <w:tc>
          <w:tcPr>
            <w:tcW w:type="dxa" w:w="3168"/>
            <w:shd w:fill="F8FAFC"/>
            <w:tcMar>
              <w:top w:w="80" w:type="dxa"/>
              <w:bottom w:w="80" w:type="dxa"/>
              <w:left w:w="120" w:type="dxa"/>
              <w:right w:w="120" w:type="dxa"/>
            </w:tcMar>
          </w:tcPr>
          <w:p>
            <w:pPr>
              <w:jc w:val="left"/>
            </w:pPr>
            <w:r>
              <w:rPr>
                <w:rFonts w:ascii="Times New Roman" w:hAnsi="Times New Roman"/>
                <w:b w:val="0"/>
                <w:i w:val="0"/>
                <w:color w:val="1E293B"/>
                <w:sz w:val="20"/>
              </w:rPr>
              <w:t>Victim scans deceptive QR code authorizing outgoing debit</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UPI VPA, merchant gateway, transaction ID</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Loan App Blackmail</w:t>
            </w:r>
          </w:p>
        </w:tc>
        <w:tc>
          <w:tcPr>
            <w:tcW w:type="dxa" w:w="3168"/>
            <w:shd w:fill="FFFFFF"/>
            <w:tcMar>
              <w:top w:w="80" w:type="dxa"/>
              <w:bottom w:w="80" w:type="dxa"/>
              <w:left w:w="120" w:type="dxa"/>
              <w:right w:w="120" w:type="dxa"/>
            </w:tcMar>
          </w:tcPr>
          <w:p>
            <w:pPr>
              <w:jc w:val="left"/>
            </w:pPr>
            <w:r>
              <w:rPr>
                <w:rFonts w:ascii="Times New Roman" w:hAnsi="Times New Roman"/>
                <w:b w:val="0"/>
                <w:i w:val="0"/>
                <w:color w:val="1E293B"/>
                <w:sz w:val="20"/>
              </w:rPr>
              <w:t>Extortion and unauthorized transfers following contacts harvesting</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Device permissions, APK signature, bank accounts</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Investment / Job Fraud</w:t>
            </w:r>
          </w:p>
        </w:tc>
        <w:tc>
          <w:tcPr>
            <w:tcW w:type="dxa" w:w="3168"/>
            <w:shd w:fill="F8FAFC"/>
            <w:tcMar>
              <w:top w:w="80" w:type="dxa"/>
              <w:bottom w:w="80" w:type="dxa"/>
              <w:left w:w="120" w:type="dxa"/>
              <w:right w:w="120" w:type="dxa"/>
            </w:tcMar>
          </w:tcPr>
          <w:p>
            <w:pPr>
              <w:jc w:val="left"/>
            </w:pPr>
            <w:r>
              <w:rPr>
                <w:rFonts w:ascii="Times New Roman" w:hAnsi="Times New Roman"/>
                <w:b w:val="0"/>
                <w:i w:val="0"/>
                <w:color w:val="1E293B"/>
                <w:sz w:val="20"/>
              </w:rPr>
              <w:t>Fake high-yield return schemes funneling deposits to shell accounts</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Account chains, telecom numbers, gateway settlements</w:t>
            </w:r>
          </w:p>
        </w:tc>
      </w:tr>
    </w:tbl>
    <w:p>
      <w:pPr>
        <w:spacing w:after="120"/>
      </w:pPr>
    </w:p>
    <w:p>
      <w:pPr>
        <w:keepNext/>
        <w:spacing w:before="200" w:after="80"/>
      </w:pPr>
      <w:r>
        <w:rPr>
          <w:rFonts w:ascii="Times New Roman" w:hAnsi="Times New Roman"/>
          <w:b/>
          <w:i/>
          <w:color w:val="002147"/>
          <w:sz w:val="24"/>
        </w:rPr>
        <w:t>1.2.2 The Multi-Hop Laundering Problem</w:t>
      </w:r>
    </w:p>
    <w:p>
      <w:pPr>
        <w:spacing w:before="0" w:after="120" w:line="360" w:lineRule="auto"/>
        <w:jc w:val="left"/>
      </w:pPr>
      <w:r>
        <w:rPr>
          <w:rFonts w:ascii="Times New Roman" w:hAnsi="Times New Roman"/>
          <w:b w:val="0"/>
          <w:i w:val="0"/>
          <w:color w:val="1E293B"/>
          <w:sz w:val="24"/>
        </w:rPr>
        <w:t>Financial cybercrime cases rarely involve a direct transfer from victim to perpetrator. Instead, funds are layered through a multi-tier chain:</w:t>
      </w:r>
    </w:p>
    <w:p>
      <w:pPr>
        <w:spacing w:before="0" w:after="120" w:line="360" w:lineRule="auto"/>
        <w:jc w:val="left"/>
      </w:pPr>
      <w:r>
        <w:rPr>
          <w:rFonts w:ascii="Times New Roman" w:hAnsi="Times New Roman"/>
          <w:b w:val="0"/>
          <w:i w:val="0"/>
          <w:color w:val="1E293B"/>
          <w:sz w:val="24"/>
        </w:rPr>
        <w:t>Victim Account → Primary Receiving Account → Tier-1 Mule Account → Tier-2 Layering Relay → Cash-Out ATM / Merchant Sink.</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1.2 ]</w:t>
              <w:br/>
            </w:r>
            <w:r>
              <w:rPr>
                <w:rFonts w:ascii="Times New Roman" w:hAnsi="Times New Roman"/>
                <w:b/>
                <w:i w:val="0"/>
                <w:color w:val="C4122F"/>
                <w:sz w:val="24"/>
              </w:rPr>
              <w:t>Conventional Financial Cybercrime Investigation Workflow &amp; Challenges</w:t>
              <w:br/>
              <w:br/>
            </w:r>
            <w:r>
              <w:rPr>
                <w:rFonts w:ascii="Times New Roman" w:hAnsi="Times New Roman"/>
                <w:b w:val="0"/>
                <w:i/>
                <w:color w:val="475569"/>
                <w:sz w:val="20"/>
              </w:rPr>
              <w:t>Instructions for Image Insertion:</w:t>
              <w:br/>
              <w:t>Insert the Workflow Flowchart illustrating:</w:t>
              <w:br/>
              <w:t>Complaint Received → Collect Txn Details → Obtain Bank Records → Obtain CDR/IPDR → Manual Cross-Referencing → Trace Movement → Identify Network.</w:t>
              <w:br/>
              <w:t>Highlight Challenges: Manual Correlation, Multiple Data Sources, Large Data Volume, Hidden Links, Time Consumption.</w:t>
              <w:br/>
            </w:r>
          </w:p>
        </w:tc>
      </w:tr>
    </w:tbl>
    <w:p>
      <w:pPr>
        <w:spacing w:before="80" w:after="240"/>
        <w:jc w:val="center"/>
      </w:pPr>
      <w:r>
        <w:rPr>
          <w:rFonts w:ascii="Times New Roman" w:hAnsi="Times New Roman"/>
          <w:b/>
          <w:i/>
          <w:color w:val="002147"/>
          <w:sz w:val="21"/>
        </w:rPr>
        <w:t>Figure 1.2: Conventional Financial Cybercrime Investigation Workflow &amp; Challenges</w:t>
      </w:r>
    </w:p>
    <w:p>
      <w:pPr>
        <w:keepNext/>
        <w:spacing w:before="280" w:after="120"/>
      </w:pPr>
      <w:r>
        <w:rPr>
          <w:rFonts w:ascii="Times New Roman" w:hAnsi="Times New Roman"/>
          <w:b/>
          <w:i w:val="0"/>
          <w:color w:val="002147"/>
          <w:sz w:val="27"/>
        </w:rPr>
        <w:t>1.3 Present State of the Art &amp; Identified Analytical Gap</w:t>
      </w:r>
    </w:p>
    <w:p>
      <w:pPr>
        <w:spacing w:before="0" w:after="120" w:line="360" w:lineRule="auto"/>
        <w:jc w:val="left"/>
      </w:pPr>
      <w:r>
        <w:rPr>
          <w:rFonts w:ascii="Times New Roman" w:hAnsi="Times New Roman"/>
          <w:b w:val="0"/>
          <w:i w:val="0"/>
          <w:color w:val="1E293B"/>
          <w:sz w:val="24"/>
        </w:rPr>
        <w:t>Under existing workflows, investigators manually analyze disparate Excel sheets and PDF notices. This leads to critical investigative bottlenecks: manual cross-referencing takes weeks, during which stolen funds are withdrawn at ATMs across other states.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1.3 ]</w:t>
              <w:br/>
            </w:r>
            <w:r>
              <w:rPr>
                <w:rFonts w:ascii="Times New Roman" w:hAnsi="Times New Roman"/>
                <w:b/>
                <w:i w:val="0"/>
                <w:color w:val="C4122F"/>
                <w:sz w:val="24"/>
              </w:rPr>
              <w:t>Existing Investigation Approach vs. Required Analytical Decision Support</w:t>
              <w:br/>
              <w:br/>
            </w:r>
            <w:r>
              <w:rPr>
                <w:rFonts w:ascii="Times New Roman" w:hAnsi="Times New Roman"/>
                <w:b w:val="0"/>
                <w:i/>
                <w:color w:val="475569"/>
                <w:sz w:val="20"/>
              </w:rPr>
              <w:t>Instructions for Image Insertion:</w:t>
              <w:br/>
              <w:t>Insert Comparative Diagram illustrating:</w:t>
              <w:br/>
              <w:t>Left: Existing Fragmented Approach (Separate Examination → Manual Correlation → Delayed Action).</w:t>
              <w:br/>
              <w:t>Right: Integrated Fin-Suraksha Pipeline (Automated Ingestion → Graph Analysis → Risk Prioritization → Instant Actionable Dossier).</w:t>
              <w:br/>
            </w:r>
          </w:p>
        </w:tc>
      </w:tr>
    </w:tbl>
    <w:p>
      <w:pPr>
        <w:spacing w:before="80" w:after="240"/>
        <w:jc w:val="center"/>
      </w:pPr>
      <w:r>
        <w:rPr>
          <w:rFonts w:ascii="Times New Roman" w:hAnsi="Times New Roman"/>
          <w:b/>
          <w:i/>
          <w:color w:val="002147"/>
          <w:sz w:val="21"/>
        </w:rPr>
        <w:t>Figure 1.3: Existing Investigation Approach vs. Required Analytical Decision Support</w:t>
      </w:r>
    </w:p>
    <w:p>
      <w:pPr>
        <w:keepNext/>
        <w:spacing w:before="280" w:after="120"/>
      </w:pPr>
      <w:r>
        <w:rPr>
          <w:rFonts w:ascii="Times New Roman" w:hAnsi="Times New Roman"/>
          <w:b/>
          <w:i w:val="0"/>
          <w:color w:val="002147"/>
          <w:sz w:val="27"/>
        </w:rPr>
        <w:t>1.4 Need for Computerization &amp; Computational Graph Forensics</w:t>
      </w:r>
    </w:p>
    <w:p>
      <w:pPr>
        <w:spacing w:before="0" w:after="120" w:line="360" w:lineRule="auto"/>
        <w:jc w:val="left"/>
      </w:pPr>
      <w:r>
        <w:rPr>
          <w:rFonts w:ascii="Times New Roman" w:hAnsi="Times New Roman"/>
          <w:b w:val="0"/>
          <w:i w:val="0"/>
          <w:color w:val="1E293B"/>
          <w:sz w:val="24"/>
        </w:rPr>
        <w:t>Computerization provides an automated environment to process complex data relationships. Fin-Suraksha addresses this through:</w:t>
      </w:r>
    </w:p>
    <w:p>
      <w:pPr>
        <w:spacing w:before="0" w:after="120" w:line="360" w:lineRule="auto"/>
        <w:jc w:val="left"/>
      </w:pPr>
      <w:r>
        <w:rPr>
          <w:rFonts w:ascii="Times New Roman" w:hAnsi="Times New Roman"/>
          <w:b w:val="0"/>
          <w:i w:val="0"/>
          <w:color w:val="1E293B"/>
          <w:sz w:val="24"/>
        </w:rPr>
        <w:t>1. Automated Correlation across accounts, devices, IP addresses, and physical locations.</w:t>
        <w:br/>
        <w:t>2. Network-Level Representation modeling transactions as directed graph edges.</w:t>
        <w:br/>
        <w:t>3. Risk Prioritization categorizing accounts into Normal, Suspicious, Mule, and Fraudster.</w:t>
        <w:br/>
        <w:t>4. Explainable AI generating human-readable narrative justifications alongside SHAP values.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1.4 ]</w:t>
              <w:br/>
            </w:r>
            <w:r>
              <w:rPr>
                <w:rFonts w:ascii="Times New Roman" w:hAnsi="Times New Roman"/>
                <w:b/>
                <w:i w:val="0"/>
                <w:color w:val="C4122F"/>
                <w:sz w:val="24"/>
              </w:rPr>
              <w:t>Illustrative Example of a Multi-Hop Financial Transaction Trail</w:t>
              <w:br/>
              <w:br/>
            </w:r>
            <w:r>
              <w:rPr>
                <w:rFonts w:ascii="Times New Roman" w:hAnsi="Times New Roman"/>
                <w:b w:val="0"/>
                <w:i/>
                <w:color w:val="475569"/>
                <w:sz w:val="20"/>
              </w:rPr>
              <w:t>Instructions for Image Insertion:</w:t>
              <w:br/>
              <w:t>Insert the Multi-Hop Laundering Diagram:</w:t>
              <w:br/>
              <w:t>Victim (A001) → Layer 1 Receiving (A101) → Layer 2 Mules (A102, A103) → Layer 3 Mules (A104, A105) → ATM Cashout / International Exit.</w:t>
              <w:br/>
              <w:t>Annotate with transfer amounts, IP addresses, and device fingerprints.</w:t>
              <w:br/>
            </w:r>
          </w:p>
        </w:tc>
      </w:tr>
    </w:tbl>
    <w:p>
      <w:pPr>
        <w:spacing w:before="80" w:after="240"/>
        <w:jc w:val="center"/>
      </w:pPr>
      <w:r>
        <w:rPr>
          <w:rFonts w:ascii="Times New Roman" w:hAnsi="Times New Roman"/>
          <w:b/>
          <w:i/>
          <w:color w:val="002147"/>
          <w:sz w:val="21"/>
        </w:rPr>
        <w:t>Figure 1.4: Illustrative Example of a Multi-Hop Financial Transaction Trail</w:t>
      </w:r>
    </w:p>
    <w:p>
      <w:pPr>
        <w:keepNext/>
        <w:spacing w:before="280" w:after="120"/>
      </w:pPr>
      <w:r>
        <w:rPr>
          <w:rFonts w:ascii="Times New Roman" w:hAnsi="Times New Roman"/>
          <w:b/>
          <w:i w:val="0"/>
          <w:color w:val="002147"/>
          <w:sz w:val="27"/>
        </w:rPr>
        <w:t>1.5 Proposed Software: Fin-Suraksha Attribution Console</w:t>
      </w:r>
    </w:p>
    <w:p>
      <w:pPr>
        <w:spacing w:before="0" w:after="120" w:line="360" w:lineRule="auto"/>
        <w:jc w:val="left"/>
      </w:pPr>
      <w:r>
        <w:rPr>
          <w:rFonts w:ascii="Times New Roman" w:hAnsi="Times New Roman"/>
          <w:b w:val="0"/>
          <w:i w:val="0"/>
          <w:color w:val="1E293B"/>
          <w:sz w:val="24"/>
        </w:rPr>
        <w:t>Fin-Suraksha is an AI-assisted attribution console engineered to support law enforcement by synthesizing banking data, reconstructing forensic transaction graphs, and automating statutory reporting.</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1.5 ]</w:t>
              <w:br/>
            </w:r>
            <w:r>
              <w:rPr>
                <w:rFonts w:ascii="Times New Roman" w:hAnsi="Times New Roman"/>
                <w:b/>
                <w:i w:val="0"/>
                <w:color w:val="C4122F"/>
                <w:sz w:val="24"/>
              </w:rPr>
              <w:t>High-Level Architecture of Fin-Suraksha Attribution Console</w:t>
              <w:br/>
              <w:br/>
            </w:r>
            <w:r>
              <w:rPr>
                <w:rFonts w:ascii="Times New Roman" w:hAnsi="Times New Roman"/>
                <w:b w:val="0"/>
                <w:i/>
                <w:color w:val="475569"/>
                <w:sz w:val="20"/>
              </w:rPr>
              <w:t>Instructions for Image Insertion:</w:t>
              <w:br/>
              <w:t>Insert High-Level System Architecture Diagram showing the 4 cooperating layers:</w:t>
              <w:br/>
              <w:t>1. Data Layer (model.py &amp; SQLite)</w:t>
              <w:br/>
              <w:t>2. Graph &amp; Feature Layer (model.py)</w:t>
              <w:br/>
              <w:t>3. Correlation &amp; Intelligence Layer (intelligence.py)</w:t>
              <w:br/>
              <w:t>4. Presentation Layer (app.py: 13 Streamlit Modules)</w:t>
              <w:br/>
            </w:r>
          </w:p>
        </w:tc>
      </w:tr>
    </w:tbl>
    <w:p>
      <w:pPr>
        <w:spacing w:before="80" w:after="240"/>
        <w:jc w:val="center"/>
      </w:pPr>
      <w:r>
        <w:rPr>
          <w:rFonts w:ascii="Times New Roman" w:hAnsi="Times New Roman"/>
          <w:b/>
          <w:i/>
          <w:color w:val="002147"/>
          <w:sz w:val="21"/>
        </w:rPr>
        <w:t>Figure 1.5: High-Level Architecture of Fin-Suraksha Attribution Console</w:t>
      </w:r>
    </w:p>
    <w:p>
      <w:pPr>
        <w:keepNext/>
        <w:spacing w:before="280" w:after="120"/>
      </w:pPr>
      <w:r>
        <w:rPr>
          <w:rFonts w:ascii="Times New Roman" w:hAnsi="Times New Roman"/>
          <w:b/>
          <w:i w:val="0"/>
          <w:color w:val="002147"/>
          <w:sz w:val="27"/>
        </w:rPr>
        <w:t>1.6 Importance and Value of the Work</w:t>
      </w:r>
    </w:p>
    <w:p>
      <w:pPr>
        <w:spacing w:before="0" w:after="120" w:line="360" w:lineRule="auto"/>
        <w:jc w:val="left"/>
      </w:pPr>
      <w:r>
        <w:rPr>
          <w:rFonts w:ascii="Times New Roman" w:hAnsi="Times New Roman"/>
          <w:b w:val="0"/>
          <w:i w:val="0"/>
          <w:color w:val="1E293B"/>
          <w:sz w:val="24"/>
        </w:rPr>
        <w:t>Fin-Suraksha empowers investigators with instant decision support, ensuring court admissibility under the Bharatiya Nagarik Suraksha Sanhita (BNSS), 2023, while keeping the human investigator firmly in the loop.</w:t>
      </w:r>
    </w:p>
    <w:p>
      <w:r>
        <w:br w:type="page"/>
      </w:r>
    </w:p>
    <w:p>
      <w:pPr>
        <w:keepNext/>
        <w:spacing w:before="360" w:after="160"/>
      </w:pPr>
      <w:r>
        <w:rPr>
          <w:rFonts w:ascii="Times New Roman" w:hAnsi="Times New Roman"/>
          <w:b/>
          <w:i w:val="0"/>
          <w:color w:val="002147"/>
          <w:sz w:val="32"/>
        </w:rPr>
        <w:t>CHAPTER 2: SYSTEM ANALYSIS &amp; METHODOLOGY</w:t>
      </w:r>
    </w:p>
    <w:p>
      <w:pPr>
        <w:keepNext/>
        <w:spacing w:before="280" w:after="120"/>
      </w:pPr>
      <w:r>
        <w:rPr>
          <w:rFonts w:ascii="Times New Roman" w:hAnsi="Times New Roman"/>
          <w:b/>
          <w:i w:val="0"/>
          <w:color w:val="002147"/>
          <w:sz w:val="27"/>
        </w:rPr>
        <w:t>2.1 Feasibility Study</w:t>
      </w:r>
    </w:p>
    <w:p>
      <w:pPr>
        <w:spacing w:before="0" w:after="120" w:line="360" w:lineRule="auto"/>
        <w:jc w:val="left"/>
      </w:pPr>
      <w:r>
        <w:rPr>
          <w:rFonts w:ascii="Times New Roman" w:hAnsi="Times New Roman"/>
          <w:b w:val="0"/>
          <w:i w:val="0"/>
          <w:color w:val="1E293B"/>
          <w:sz w:val="24"/>
        </w:rPr>
        <w:t>The feasibility of Fin-Suraksha was analyzed across five key dimensions: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2.1 ]</w:t>
              <w:br/>
            </w:r>
            <w:r>
              <w:rPr>
                <w:rFonts w:ascii="Times New Roman" w:hAnsi="Times New Roman"/>
                <w:b/>
                <w:i w:val="0"/>
                <w:color w:val="C4122F"/>
                <w:sz w:val="24"/>
              </w:rPr>
              <w:t>Feasibility Study Framework Applied to Fin-Suraksha</w:t>
              <w:br/>
              <w:br/>
            </w:r>
            <w:r>
              <w:rPr>
                <w:rFonts w:ascii="Times New Roman" w:hAnsi="Times New Roman"/>
                <w:b w:val="0"/>
                <w:i/>
                <w:color w:val="475569"/>
                <w:sz w:val="20"/>
              </w:rPr>
              <w:t>Instructions for Image Insertion:</w:t>
              <w:br/>
              <w:t>Insert Feasibility Framework Diagram showing Technical, Economic, Operational, Legal/Ethical, and Schedule feasibility converging on project viability.</w:t>
              <w:br/>
            </w:r>
          </w:p>
        </w:tc>
      </w:tr>
    </w:tbl>
    <w:p>
      <w:pPr>
        <w:spacing w:before="80" w:after="240"/>
        <w:jc w:val="center"/>
      </w:pPr>
      <w:r>
        <w:rPr>
          <w:rFonts w:ascii="Times New Roman" w:hAnsi="Times New Roman"/>
          <w:b/>
          <w:i/>
          <w:color w:val="002147"/>
          <w:sz w:val="21"/>
        </w:rPr>
        <w:t>Figure 2.1: Feasibility Study Framework Applied to Fin-Suraksha</w:t>
      </w:r>
    </w:p>
    <w:tbl>
      <w:tblPr>
        <w:tblW w:type="auto" w:w="0"/>
        <w:jc w:val="center"/>
        <w:tblLook w:firstColumn="1" w:firstRow="1" w:lastColumn="0" w:lastRow="0" w:noHBand="0" w:noVBand="1" w:val="04A0"/>
      </w:tblPr>
      <w:tblGrid>
        <w:gridCol w:w="2880"/>
        <w:gridCol w:w="2880"/>
        <w:gridCol w:w="2880"/>
      </w:tblGrid>
      <w:tr>
        <w:tc>
          <w:tcPr>
            <w:tcW w:type="dxa" w:w="2160"/>
            <w:shd w:fill="002147"/>
            <w:tcMar>
              <w:top w:w="120" w:type="dxa"/>
              <w:bottom w:w="120" w:type="dxa"/>
              <w:left w:w="140" w:type="dxa"/>
              <w:right w:w="140" w:type="dxa"/>
            </w:tcMar>
          </w:tcPr>
          <w:p>
            <w:pPr>
              <w:jc w:val="center"/>
            </w:pPr>
            <w:r>
              <w:rPr>
                <w:rFonts w:ascii="Times New Roman" w:hAnsi="Times New Roman"/>
                <w:b/>
                <w:i w:val="0"/>
                <w:color w:val="FFFFFF"/>
                <w:sz w:val="21"/>
              </w:rPr>
              <w:t>Dimension</w:t>
            </w:r>
          </w:p>
        </w:tc>
        <w:tc>
          <w:tcPr>
            <w:tcW w:type="dxa" w:w="1584"/>
            <w:shd w:fill="002147"/>
            <w:tcMar>
              <w:top w:w="120" w:type="dxa"/>
              <w:bottom w:w="120" w:type="dxa"/>
              <w:left w:w="140" w:type="dxa"/>
              <w:right w:w="140" w:type="dxa"/>
            </w:tcMar>
          </w:tcPr>
          <w:p>
            <w:pPr>
              <w:jc w:val="center"/>
            </w:pPr>
            <w:r>
              <w:rPr>
                <w:rFonts w:ascii="Times New Roman" w:hAnsi="Times New Roman"/>
                <w:b/>
                <w:i w:val="0"/>
                <w:color w:val="FFFFFF"/>
                <w:sz w:val="21"/>
              </w:rPr>
              <w:t>Verdict</w:t>
            </w:r>
          </w:p>
        </w:tc>
        <w:tc>
          <w:tcPr>
            <w:tcW w:type="dxa" w:w="4608"/>
            <w:shd w:fill="002147"/>
            <w:tcMar>
              <w:top w:w="120" w:type="dxa"/>
              <w:bottom w:w="120" w:type="dxa"/>
              <w:left w:w="140" w:type="dxa"/>
              <w:right w:w="140" w:type="dxa"/>
            </w:tcMar>
          </w:tcPr>
          <w:p>
            <w:pPr>
              <w:jc w:val="center"/>
            </w:pPr>
            <w:r>
              <w:rPr>
                <w:rFonts w:ascii="Times New Roman" w:hAnsi="Times New Roman"/>
                <w:b/>
                <w:i w:val="0"/>
                <w:color w:val="FFFFFF"/>
                <w:sz w:val="21"/>
              </w:rPr>
              <w:t>Technical Basis &amp; Evidence</w:t>
            </w:r>
          </w:p>
        </w:tc>
      </w:tr>
      <w:tr>
        <w:tc>
          <w:tcPr>
            <w:tcW w:type="dxa" w:w="2160"/>
            <w:shd w:fill="FFFFFF"/>
            <w:tcMar>
              <w:top w:w="80" w:type="dxa"/>
              <w:bottom w:w="80" w:type="dxa"/>
              <w:left w:w="120" w:type="dxa"/>
              <w:right w:w="120" w:type="dxa"/>
            </w:tcMar>
          </w:tcPr>
          <w:p>
            <w:pPr>
              <w:jc w:val="left"/>
            </w:pPr>
            <w:r>
              <w:rPr>
                <w:rFonts w:ascii="Times New Roman" w:hAnsi="Times New Roman"/>
                <w:b w:val="0"/>
                <w:i w:val="0"/>
                <w:color w:val="1E293B"/>
                <w:sz w:val="20"/>
              </w:rPr>
              <w:t>Technical</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Feasible</w:t>
            </w:r>
          </w:p>
        </w:tc>
        <w:tc>
          <w:tcPr>
            <w:tcW w:type="dxa" w:w="4608"/>
            <w:shd w:fill="FFFFFF"/>
            <w:tcMar>
              <w:top w:w="80" w:type="dxa"/>
              <w:bottom w:w="80" w:type="dxa"/>
              <w:left w:w="120" w:type="dxa"/>
              <w:right w:w="120" w:type="dxa"/>
            </w:tcMar>
          </w:tcPr>
          <w:p>
            <w:pPr>
              <w:jc w:val="left"/>
            </w:pPr>
            <w:r>
              <w:rPr>
                <w:rFonts w:ascii="Times New Roman" w:hAnsi="Times New Roman"/>
                <w:b w:val="0"/>
                <w:i w:val="0"/>
                <w:color w:val="1E293B"/>
                <w:sz w:val="20"/>
              </w:rPr>
              <w:t>Implemented using mature Python libraries (NetworkX, Scikit-Learn, PyTorch Geometric, Streamlit) running efficiently on commodity hardware.</w:t>
            </w:r>
          </w:p>
        </w:tc>
      </w:tr>
      <w:tr>
        <w:tc>
          <w:tcPr>
            <w:tcW w:type="dxa" w:w="2160"/>
            <w:shd w:fill="F8FAFC"/>
            <w:tcMar>
              <w:top w:w="80" w:type="dxa"/>
              <w:bottom w:w="80" w:type="dxa"/>
              <w:left w:w="120" w:type="dxa"/>
              <w:right w:w="120" w:type="dxa"/>
            </w:tcMar>
          </w:tcPr>
          <w:p>
            <w:pPr>
              <w:jc w:val="left"/>
            </w:pPr>
            <w:r>
              <w:rPr>
                <w:rFonts w:ascii="Times New Roman" w:hAnsi="Times New Roman"/>
                <w:b w:val="0"/>
                <w:i w:val="0"/>
                <w:color w:val="1E293B"/>
                <w:sz w:val="20"/>
              </w:rPr>
              <w:t>Economic</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Feasible</w:t>
            </w:r>
          </w:p>
        </w:tc>
        <w:tc>
          <w:tcPr>
            <w:tcW w:type="dxa" w:w="4608"/>
            <w:shd w:fill="F8FAFC"/>
            <w:tcMar>
              <w:top w:w="80" w:type="dxa"/>
              <w:bottom w:w="80" w:type="dxa"/>
              <w:left w:w="120" w:type="dxa"/>
              <w:right w:w="120" w:type="dxa"/>
            </w:tcMar>
          </w:tcPr>
          <w:p>
            <w:pPr>
              <w:jc w:val="left"/>
            </w:pPr>
            <w:r>
              <w:rPr>
                <w:rFonts w:ascii="Times New Roman" w:hAnsi="Times New Roman"/>
                <w:b w:val="0"/>
                <w:i w:val="0"/>
                <w:color w:val="1E293B"/>
                <w:sz w:val="20"/>
              </w:rPr>
              <w:t>Zero licensing cost; 100% open-source software stack operating on local police workstation with no expensive cloud dependencies.</w:t>
            </w:r>
          </w:p>
        </w:tc>
      </w:tr>
      <w:tr>
        <w:tc>
          <w:tcPr>
            <w:tcW w:type="dxa" w:w="2160"/>
            <w:shd w:fill="FFFFFF"/>
            <w:tcMar>
              <w:top w:w="80" w:type="dxa"/>
              <w:bottom w:w="80" w:type="dxa"/>
              <w:left w:w="120" w:type="dxa"/>
              <w:right w:w="120" w:type="dxa"/>
            </w:tcMar>
          </w:tcPr>
          <w:p>
            <w:pPr>
              <w:jc w:val="left"/>
            </w:pPr>
            <w:r>
              <w:rPr>
                <w:rFonts w:ascii="Times New Roman" w:hAnsi="Times New Roman"/>
                <w:b w:val="0"/>
                <w:i w:val="0"/>
                <w:color w:val="1E293B"/>
                <w:sz w:val="20"/>
              </w:rPr>
              <w:t>Operational</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Feasible</w:t>
            </w:r>
          </w:p>
        </w:tc>
        <w:tc>
          <w:tcPr>
            <w:tcW w:type="dxa" w:w="4608"/>
            <w:shd w:fill="FFFFFF"/>
            <w:tcMar>
              <w:top w:w="80" w:type="dxa"/>
              <w:bottom w:w="80" w:type="dxa"/>
              <w:left w:w="120" w:type="dxa"/>
              <w:right w:w="120" w:type="dxa"/>
            </w:tcMar>
          </w:tcPr>
          <w:p>
            <w:pPr>
              <w:jc w:val="left"/>
            </w:pPr>
            <w:r>
              <w:rPr>
                <w:rFonts w:ascii="Times New Roman" w:hAnsi="Times New Roman"/>
                <w:b w:val="0"/>
                <w:i w:val="0"/>
                <w:color w:val="1E293B"/>
                <w:sz w:val="20"/>
              </w:rPr>
              <w:t>13-page task-oriented console designed for non-technical officers; provides dual numeric/narrative modes and plain-English case notes.</w:t>
            </w:r>
          </w:p>
        </w:tc>
      </w:tr>
      <w:tr>
        <w:tc>
          <w:tcPr>
            <w:tcW w:type="dxa" w:w="2160"/>
            <w:shd w:fill="F8FAFC"/>
            <w:tcMar>
              <w:top w:w="80" w:type="dxa"/>
              <w:bottom w:w="80" w:type="dxa"/>
              <w:left w:w="120" w:type="dxa"/>
              <w:right w:w="120" w:type="dxa"/>
            </w:tcMar>
          </w:tcPr>
          <w:p>
            <w:pPr>
              <w:jc w:val="left"/>
            </w:pPr>
            <w:r>
              <w:rPr>
                <w:rFonts w:ascii="Times New Roman" w:hAnsi="Times New Roman"/>
                <w:b w:val="0"/>
                <w:i w:val="0"/>
                <w:color w:val="1E293B"/>
                <w:sz w:val="20"/>
              </w:rPr>
              <w:t>Legal / Ethical</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Feasible</w:t>
            </w:r>
          </w:p>
        </w:tc>
        <w:tc>
          <w:tcPr>
            <w:tcW w:type="dxa" w:w="4608"/>
            <w:shd w:fill="F8FAFC"/>
            <w:tcMar>
              <w:top w:w="80" w:type="dxa"/>
              <w:bottom w:w="80" w:type="dxa"/>
              <w:left w:w="120" w:type="dxa"/>
              <w:right w:w="120" w:type="dxa"/>
            </w:tcMar>
          </w:tcPr>
          <w:p>
            <w:pPr>
              <w:jc w:val="left"/>
            </w:pPr>
            <w:r>
              <w:rPr>
                <w:rFonts w:ascii="Times New Roman" w:hAnsi="Times New Roman"/>
                <w:b w:val="0"/>
                <w:i w:val="0"/>
                <w:color w:val="1E293B"/>
                <w:sz w:val="20"/>
              </w:rPr>
              <w:t>100% synthetic dataset protects live case confidentiality; provides court-admissible outputs aligned with BNSS 2023.</w:t>
            </w:r>
          </w:p>
        </w:tc>
      </w:tr>
      <w:tr>
        <w:tc>
          <w:tcPr>
            <w:tcW w:type="dxa" w:w="2160"/>
            <w:shd w:fill="FFFFFF"/>
            <w:tcMar>
              <w:top w:w="80" w:type="dxa"/>
              <w:bottom w:w="80" w:type="dxa"/>
              <w:left w:w="120" w:type="dxa"/>
              <w:right w:w="120" w:type="dxa"/>
            </w:tcMar>
          </w:tcPr>
          <w:p>
            <w:pPr>
              <w:jc w:val="left"/>
            </w:pPr>
            <w:r>
              <w:rPr>
                <w:rFonts w:ascii="Times New Roman" w:hAnsi="Times New Roman"/>
                <w:b w:val="0"/>
                <w:i w:val="0"/>
                <w:color w:val="1E293B"/>
                <w:sz w:val="20"/>
              </w:rPr>
              <w:t>Schedule</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Feasible</w:t>
            </w:r>
          </w:p>
        </w:tc>
        <w:tc>
          <w:tcPr>
            <w:tcW w:type="dxa" w:w="4608"/>
            <w:shd w:fill="FFFFFF"/>
            <w:tcMar>
              <w:top w:w="80" w:type="dxa"/>
              <w:bottom w:w="80" w:type="dxa"/>
              <w:left w:w="120" w:type="dxa"/>
              <w:right w:w="120" w:type="dxa"/>
            </w:tcMar>
          </w:tcPr>
          <w:p>
            <w:pPr>
              <w:jc w:val="left"/>
            </w:pPr>
            <w:r>
              <w:rPr>
                <w:rFonts w:ascii="Times New Roman" w:hAnsi="Times New Roman"/>
                <w:b w:val="0"/>
                <w:i w:val="0"/>
                <w:color w:val="1E293B"/>
                <w:sz w:val="20"/>
              </w:rPr>
              <w:t>Structured across 7 development phases completed within the 6-week internship period.</w:t>
            </w:r>
          </w:p>
        </w:tc>
      </w:tr>
    </w:tbl>
    <w:p>
      <w:pPr>
        <w:spacing w:after="120"/>
      </w:pPr>
    </w:p>
    <w:p>
      <w:pPr>
        <w:keepNext/>
        <w:spacing w:before="280" w:after="120"/>
      </w:pPr>
      <w:r>
        <w:rPr>
          <w:rFonts w:ascii="Times New Roman" w:hAnsi="Times New Roman"/>
          <w:b/>
          <w:i w:val="0"/>
          <w:color w:val="002147"/>
          <w:sz w:val="27"/>
        </w:rPr>
        <w:t>2.2 Analysis Methodology: CRISP-DM &amp; Iterative Prototyping</w:t>
      </w:r>
    </w:p>
    <w:p>
      <w:pPr>
        <w:spacing w:before="0" w:after="120" w:line="360" w:lineRule="auto"/>
        <w:jc w:val="left"/>
      </w:pPr>
      <w:r>
        <w:rPr>
          <w:rFonts w:ascii="Times New Roman" w:hAnsi="Times New Roman"/>
          <w:b w:val="0"/>
          <w:i w:val="0"/>
          <w:color w:val="1E293B"/>
          <w:sz w:val="24"/>
        </w:rPr>
        <w:t>The system was engineered using the CRISP-DM lifecycle combined with iterative prototyping, allowing continuous validation of graph algorithms against investigative requirements.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2.2 ]</w:t>
              <w:br/>
            </w:r>
            <w:r>
              <w:rPr>
                <w:rFonts w:ascii="Times New Roman" w:hAnsi="Times New Roman"/>
                <w:b/>
                <w:i w:val="0"/>
                <w:color w:val="C4122F"/>
                <w:sz w:val="24"/>
              </w:rPr>
              <w:t>Iterative-Incremental Analysis &amp; Development Methodology</w:t>
              <w:br/>
              <w:br/>
            </w:r>
            <w:r>
              <w:rPr>
                <w:rFonts w:ascii="Times New Roman" w:hAnsi="Times New Roman"/>
                <w:b w:val="0"/>
                <w:i/>
                <w:color w:val="475569"/>
                <w:sz w:val="20"/>
              </w:rPr>
              <w:t>Instructions for Image Insertion:</w:t>
              <w:br/>
              <w:t>Insert Iterative Prototyping Diagram showing Requirement Analysis → Design → Develop Increment → Test &amp; Evaluate → Review &amp; Refine feedback loop.</w:t>
              <w:br/>
            </w:r>
          </w:p>
        </w:tc>
      </w:tr>
    </w:tbl>
    <w:p>
      <w:pPr>
        <w:spacing w:before="80" w:after="240"/>
        <w:jc w:val="center"/>
      </w:pPr>
      <w:r>
        <w:rPr>
          <w:rFonts w:ascii="Times New Roman" w:hAnsi="Times New Roman"/>
          <w:b/>
          <w:i/>
          <w:color w:val="002147"/>
          <w:sz w:val="21"/>
        </w:rPr>
        <w:t>Figure 2.2: Iterative-Incremental Analysis &amp; Development Methodology</w:t>
      </w:r>
    </w:p>
    <w:p>
      <w:pPr>
        <w:keepNext/>
        <w:spacing w:before="280" w:after="120"/>
      </w:pPr>
      <w:r>
        <w:rPr>
          <w:rFonts w:ascii="Times New Roman" w:hAnsi="Times New Roman"/>
          <w:b/>
          <w:i w:val="0"/>
          <w:color w:val="002147"/>
          <w:sz w:val="27"/>
        </w:rPr>
        <w:t>2.3 Functional &amp; Non-Functional Requirements</w:t>
      </w:r>
    </w:p>
    <w:tbl>
      <w:tblPr>
        <w:tblW w:type="auto" w:w="0"/>
        <w:jc w:val="center"/>
        <w:tblLook w:firstColumn="1" w:firstRow="1" w:lastColumn="0" w:lastRow="0" w:noHBand="0" w:noVBand="1" w:val="04A0"/>
      </w:tblPr>
      <w:tblGrid>
        <w:gridCol w:w="2880"/>
        <w:gridCol w:w="2880"/>
        <w:gridCol w:w="2880"/>
      </w:tblGrid>
      <w:tr>
        <w:tc>
          <w:tcPr>
            <w:tcW w:type="dxa" w:w="1440"/>
            <w:shd w:fill="002147"/>
            <w:tcMar>
              <w:top w:w="120" w:type="dxa"/>
              <w:bottom w:w="120" w:type="dxa"/>
              <w:left w:w="140" w:type="dxa"/>
              <w:right w:w="140" w:type="dxa"/>
            </w:tcMar>
          </w:tcPr>
          <w:p>
            <w:pPr>
              <w:jc w:val="center"/>
            </w:pPr>
            <w:r>
              <w:rPr>
                <w:rFonts w:ascii="Times New Roman" w:hAnsi="Times New Roman"/>
                <w:b/>
                <w:i w:val="0"/>
                <w:color w:val="FFFFFF"/>
                <w:sz w:val="21"/>
              </w:rPr>
              <w:t>Req ID</w:t>
            </w:r>
          </w:p>
        </w:tc>
        <w:tc>
          <w:tcPr>
            <w:tcW w:type="dxa" w:w="5184"/>
            <w:shd w:fill="002147"/>
            <w:tcMar>
              <w:top w:w="120" w:type="dxa"/>
              <w:bottom w:w="120" w:type="dxa"/>
              <w:left w:w="140" w:type="dxa"/>
              <w:right w:w="140" w:type="dxa"/>
            </w:tcMar>
          </w:tcPr>
          <w:p>
            <w:pPr>
              <w:jc w:val="center"/>
            </w:pPr>
            <w:r>
              <w:rPr>
                <w:rFonts w:ascii="Times New Roman" w:hAnsi="Times New Roman"/>
                <w:b/>
                <w:i w:val="0"/>
                <w:color w:val="FFFFFF"/>
                <w:sz w:val="21"/>
              </w:rPr>
              <w:t>Functional Requirement Description</w:t>
            </w:r>
          </w:p>
        </w:tc>
        <w:tc>
          <w:tcPr>
            <w:tcW w:type="dxa" w:w="1728"/>
            <w:shd w:fill="002147"/>
            <w:tcMar>
              <w:top w:w="120" w:type="dxa"/>
              <w:bottom w:w="120" w:type="dxa"/>
              <w:left w:w="140" w:type="dxa"/>
              <w:right w:w="140" w:type="dxa"/>
            </w:tcMar>
          </w:tcPr>
          <w:p>
            <w:pPr>
              <w:jc w:val="center"/>
            </w:pPr>
            <w:r>
              <w:rPr>
                <w:rFonts w:ascii="Times New Roman" w:hAnsi="Times New Roman"/>
                <w:b/>
                <w:i w:val="0"/>
                <w:color w:val="FFFFFF"/>
                <w:sz w:val="21"/>
              </w:rPr>
              <w:t>Implementing Module</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R1</w:t>
            </w:r>
          </w:p>
        </w:tc>
        <w:tc>
          <w:tcPr>
            <w:tcW w:type="dxa" w:w="5184"/>
            <w:shd w:fill="FFFFFF"/>
            <w:tcMar>
              <w:top w:w="80" w:type="dxa"/>
              <w:bottom w:w="80" w:type="dxa"/>
              <w:left w:w="120" w:type="dxa"/>
              <w:right w:w="120" w:type="dxa"/>
            </w:tcMar>
          </w:tcPr>
          <w:p>
            <w:pPr>
              <w:jc w:val="left"/>
            </w:pPr>
            <w:r>
              <w:rPr>
                <w:rFonts w:ascii="Times New Roman" w:hAnsi="Times New Roman"/>
                <w:b w:val="0"/>
                <w:i w:val="0"/>
                <w:color w:val="1E293B"/>
                <w:sz w:val="20"/>
              </w:rPr>
              <w:t>Organize multi-source investigation data into structured schema</w:t>
            </w:r>
          </w:p>
        </w:tc>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model.py, SQLite</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R2</w:t>
            </w:r>
          </w:p>
        </w:tc>
        <w:tc>
          <w:tcPr>
            <w:tcW w:type="dxa" w:w="5184"/>
            <w:shd w:fill="F8FAFC"/>
            <w:tcMar>
              <w:top w:w="80" w:type="dxa"/>
              <w:bottom w:w="80" w:type="dxa"/>
              <w:left w:w="120" w:type="dxa"/>
              <w:right w:w="120" w:type="dxa"/>
            </w:tcMar>
          </w:tcPr>
          <w:p>
            <w:pPr>
              <w:jc w:val="left"/>
            </w:pPr>
            <w:r>
              <w:rPr>
                <w:rFonts w:ascii="Times New Roman" w:hAnsi="Times New Roman"/>
                <w:b w:val="0"/>
                <w:i w:val="0"/>
                <w:color w:val="1E293B"/>
                <w:sz w:val="20"/>
              </w:rPr>
              <w:t>Correlate transactions with digital (device, IP) and physical footprints</w:t>
            </w:r>
          </w:p>
        </w:tc>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intelligence.py</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R3</w:t>
            </w:r>
          </w:p>
        </w:tc>
        <w:tc>
          <w:tcPr>
            <w:tcW w:type="dxa" w:w="5184"/>
            <w:shd w:fill="FFFFFF"/>
            <w:tcMar>
              <w:top w:w="80" w:type="dxa"/>
              <w:bottom w:w="80" w:type="dxa"/>
              <w:left w:w="120" w:type="dxa"/>
              <w:right w:w="120" w:type="dxa"/>
            </w:tcMar>
          </w:tcPr>
          <w:p>
            <w:pPr>
              <w:jc w:val="left"/>
            </w:pPr>
            <w:r>
              <w:rPr>
                <w:rFonts w:ascii="Times New Roman" w:hAnsi="Times New Roman"/>
                <w:b w:val="0"/>
                <w:i w:val="0"/>
                <w:color w:val="1E293B"/>
                <w:sz w:val="20"/>
              </w:rPr>
              <w:t>Reconstruct multi-hop transaction trails from victim to exit</w:t>
            </w:r>
          </w:p>
        </w:tc>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intelligence.py, app.py</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R4</w:t>
            </w:r>
          </w:p>
        </w:tc>
        <w:tc>
          <w:tcPr>
            <w:tcW w:type="dxa" w:w="5184"/>
            <w:shd w:fill="F8FAFC"/>
            <w:tcMar>
              <w:top w:w="80" w:type="dxa"/>
              <w:bottom w:w="80" w:type="dxa"/>
              <w:left w:w="120" w:type="dxa"/>
              <w:right w:w="120" w:type="dxa"/>
            </w:tcMar>
          </w:tcPr>
          <w:p>
            <w:pPr>
              <w:jc w:val="left"/>
            </w:pPr>
            <w:r>
              <w:rPr>
                <w:rFonts w:ascii="Times New Roman" w:hAnsi="Times New Roman"/>
                <w:b w:val="0"/>
                <w:i w:val="0"/>
                <w:color w:val="1E293B"/>
                <w:sz w:val="20"/>
              </w:rPr>
              <w:t>Detect mule communities, rings, and mastermind coordinator nodes</w:t>
            </w:r>
          </w:p>
        </w:tc>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model.py, intelligence.py</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R5</w:t>
            </w:r>
          </w:p>
        </w:tc>
        <w:tc>
          <w:tcPr>
            <w:tcW w:type="dxa" w:w="5184"/>
            <w:shd w:fill="FFFFFF"/>
            <w:tcMar>
              <w:top w:w="80" w:type="dxa"/>
              <w:bottom w:w="80" w:type="dxa"/>
              <w:left w:w="120" w:type="dxa"/>
              <w:right w:w="120" w:type="dxa"/>
            </w:tcMar>
          </w:tcPr>
          <w:p>
            <w:pPr>
              <w:jc w:val="left"/>
            </w:pPr>
            <w:r>
              <w:rPr>
                <w:rFonts w:ascii="Times New Roman" w:hAnsi="Times New Roman"/>
                <w:b w:val="0"/>
                <w:i w:val="0"/>
                <w:color w:val="1E293B"/>
                <w:sz w:val="20"/>
              </w:rPr>
              <w:t>Classify accounts into 4-tier taxonomy (Normal, Suspicious, Mule, Fraudster)</w:t>
            </w:r>
          </w:p>
        </w:tc>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model.py (RF, XGBoost, GNN)</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R6</w:t>
            </w:r>
          </w:p>
        </w:tc>
        <w:tc>
          <w:tcPr>
            <w:tcW w:type="dxa" w:w="5184"/>
            <w:shd w:fill="F8FAFC"/>
            <w:tcMar>
              <w:top w:w="80" w:type="dxa"/>
              <w:bottom w:w="80" w:type="dxa"/>
              <w:left w:w="120" w:type="dxa"/>
              <w:right w:w="120" w:type="dxa"/>
            </w:tcMar>
          </w:tcPr>
          <w:p>
            <w:pPr>
              <w:jc w:val="left"/>
            </w:pPr>
            <w:r>
              <w:rPr>
                <w:rFonts w:ascii="Times New Roman" w:hAnsi="Times New Roman"/>
                <w:b w:val="0"/>
                <w:i w:val="0"/>
                <w:color w:val="1E293B"/>
                <w:sz w:val="20"/>
              </w:rPr>
              <w:t>Provide explainability via SHAP values and narrative text</w:t>
            </w:r>
          </w:p>
        </w:tc>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model.py, intelligence.py</w:t>
            </w:r>
          </w:p>
        </w:tc>
      </w:tr>
      <w:tr>
        <w:tc>
          <w:tcPr>
            <w:tcW w:type="dxa" w:w="1440"/>
            <w:shd w:fill="FFFFFF"/>
            <w:tcMar>
              <w:top w:w="80" w:type="dxa"/>
              <w:bottom w:w="80" w:type="dxa"/>
              <w:left w:w="120" w:type="dxa"/>
              <w:right w:w="120" w:type="dxa"/>
            </w:tcMar>
          </w:tcPr>
          <w:p>
            <w:pPr>
              <w:jc w:val="left"/>
            </w:pPr>
            <w:r>
              <w:rPr>
                <w:rFonts w:ascii="Times New Roman" w:hAnsi="Times New Roman"/>
                <w:b w:val="0"/>
                <w:i w:val="0"/>
                <w:color w:val="1E293B"/>
                <w:sz w:val="20"/>
              </w:rPr>
              <w:t>R7</w:t>
            </w:r>
          </w:p>
        </w:tc>
        <w:tc>
          <w:tcPr>
            <w:tcW w:type="dxa" w:w="5184"/>
            <w:shd w:fill="FFFFFF"/>
            <w:tcMar>
              <w:top w:w="80" w:type="dxa"/>
              <w:bottom w:w="80" w:type="dxa"/>
              <w:left w:w="120" w:type="dxa"/>
              <w:right w:w="120" w:type="dxa"/>
            </w:tcMar>
          </w:tcPr>
          <w:p>
            <w:pPr>
              <w:jc w:val="left"/>
            </w:pPr>
            <w:r>
              <w:rPr>
                <w:rFonts w:ascii="Times New Roman" w:hAnsi="Times New Roman"/>
                <w:b w:val="0"/>
                <w:i w:val="0"/>
                <w:color w:val="1E293B"/>
                <w:sz w:val="20"/>
              </w:rPr>
              <w:t>Render interactive network topology, GIS radar, and timelines</w:t>
            </w:r>
          </w:p>
        </w:tc>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app.py (Plotly, Leaflet)</w:t>
            </w:r>
          </w:p>
        </w:tc>
      </w:tr>
      <w:tr>
        <w:tc>
          <w:tcPr>
            <w:tcW w:type="dxa" w:w="1440"/>
            <w:shd w:fill="F8FAFC"/>
            <w:tcMar>
              <w:top w:w="80" w:type="dxa"/>
              <w:bottom w:w="80" w:type="dxa"/>
              <w:left w:w="120" w:type="dxa"/>
              <w:right w:w="120" w:type="dxa"/>
            </w:tcMar>
          </w:tcPr>
          <w:p>
            <w:pPr>
              <w:jc w:val="left"/>
            </w:pPr>
            <w:r>
              <w:rPr>
                <w:rFonts w:ascii="Times New Roman" w:hAnsi="Times New Roman"/>
                <w:b w:val="0"/>
                <w:i w:val="0"/>
                <w:color w:val="1E293B"/>
                <w:sz w:val="20"/>
              </w:rPr>
              <w:t>R8</w:t>
            </w:r>
          </w:p>
        </w:tc>
        <w:tc>
          <w:tcPr>
            <w:tcW w:type="dxa" w:w="5184"/>
            <w:shd w:fill="F8FAFC"/>
            <w:tcMar>
              <w:top w:w="80" w:type="dxa"/>
              <w:bottom w:w="80" w:type="dxa"/>
              <w:left w:w="120" w:type="dxa"/>
              <w:right w:w="120" w:type="dxa"/>
            </w:tcMar>
          </w:tcPr>
          <w:p>
            <w:pPr>
              <w:jc w:val="left"/>
            </w:pPr>
            <w:r>
              <w:rPr>
                <w:rFonts w:ascii="Times New Roman" w:hAnsi="Times New Roman"/>
                <w:b w:val="0"/>
                <w:i w:val="0"/>
                <w:color w:val="1E293B"/>
                <w:sz w:val="20"/>
              </w:rPr>
              <w:t>Generate statutory legal notices (Sec 106/94 BNSS) and PDF dossiers</w:t>
            </w:r>
          </w:p>
        </w:tc>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intelligence.py, app.py (ReportLab)</w:t>
            </w:r>
          </w:p>
        </w:tc>
      </w:tr>
    </w:tbl>
    <w:p>
      <w:pPr>
        <w:spacing w:after="120"/>
      </w:pPr>
    </w:p>
    <w:p>
      <w:pPr>
        <w:keepNext/>
        <w:spacing w:before="280" w:after="120"/>
      </w:pPr>
      <w:r>
        <w:rPr>
          <w:rFonts w:ascii="Times New Roman" w:hAnsi="Times New Roman"/>
          <w:b/>
          <w:i w:val="0"/>
          <w:color w:val="002147"/>
          <w:sz w:val="27"/>
        </w:rPr>
        <w:t>2.4 Choice of Platforms &amp; Hardware Specifications</w:t>
      </w:r>
    </w:p>
    <w:p>
      <w:pPr>
        <w:spacing w:before="0" w:after="120" w:line="360" w:lineRule="auto"/>
        <w:jc w:val="left"/>
      </w:pPr>
      <w:r>
        <w:rPr>
          <w:rFonts w:ascii="Times New Roman" w:hAnsi="Times New Roman"/>
          <w:b w:val="0"/>
          <w:i w:val="0"/>
          <w:color w:val="1E293B"/>
          <w:sz w:val="24"/>
        </w:rPr>
        <w:t>The system runs on standard Windows workstations using Python 3.10+ (Anaconda distribution). Hardware demands remain modest: dual/quad-core CPU, 8-16 GB RAM, and 5 GB storage, with no mandatory GPU requirement.</w:t>
      </w:r>
    </w:p>
    <w:p>
      <w:r>
        <w:br w:type="page"/>
      </w:r>
    </w:p>
    <w:p>
      <w:pPr>
        <w:keepNext/>
        <w:spacing w:before="360" w:after="160"/>
      </w:pPr>
      <w:r>
        <w:rPr>
          <w:rFonts w:ascii="Times New Roman" w:hAnsi="Times New Roman"/>
          <w:b/>
          <w:i w:val="0"/>
          <w:color w:val="002147"/>
          <w:sz w:val="32"/>
        </w:rPr>
        <w:t>CHAPTER 3: SYSTEM DESIGN &amp; ARCHITECTURAL MODELING</w:t>
      </w:r>
    </w:p>
    <w:p>
      <w:pPr>
        <w:keepNext/>
        <w:spacing w:before="280" w:after="120"/>
      </w:pPr>
      <w:r>
        <w:rPr>
          <w:rFonts w:ascii="Times New Roman" w:hAnsi="Times New Roman"/>
          <w:b/>
          <w:i w:val="0"/>
          <w:color w:val="002147"/>
          <w:sz w:val="27"/>
        </w:rPr>
        <w:t>3.1 Design Methodology &amp; System Architecture</w:t>
      </w:r>
    </w:p>
    <w:p>
      <w:pPr>
        <w:spacing w:before="0" w:after="120" w:line="360" w:lineRule="auto"/>
        <w:jc w:val="left"/>
      </w:pPr>
      <w:r>
        <w:rPr>
          <w:rFonts w:ascii="Times New Roman" w:hAnsi="Times New Roman"/>
          <w:b w:val="0"/>
          <w:i w:val="0"/>
          <w:color w:val="1E293B"/>
          <w:sz w:val="24"/>
        </w:rPr>
        <w:t>Fin-Suraksha's architecture decouples data ingestion, graph processing, machine learning, and UI rendering. This modularity ensures independent testability and maintainability.</w:t>
      </w:r>
    </w:p>
    <w:p>
      <w:pPr>
        <w:keepNext/>
        <w:spacing w:before="280" w:after="120"/>
      </w:pPr>
      <w:r>
        <w:rPr>
          <w:rFonts w:ascii="Times New Roman" w:hAnsi="Times New Roman"/>
          <w:b/>
          <w:i w:val="0"/>
          <w:color w:val="002147"/>
          <w:sz w:val="27"/>
        </w:rPr>
        <w:t>3.2 Database Design &amp; Relational Schema</w:t>
      </w:r>
    </w:p>
    <w:p>
      <w:pPr>
        <w:spacing w:before="0" w:after="120" w:line="360" w:lineRule="auto"/>
        <w:jc w:val="left"/>
      </w:pPr>
      <w:r>
        <w:rPr>
          <w:rFonts w:ascii="Times New Roman" w:hAnsi="Times New Roman"/>
          <w:b w:val="0"/>
          <w:i w:val="0"/>
          <w:color w:val="1E293B"/>
          <w:sz w:val="24"/>
        </w:rPr>
        <w:t>The persistent SQLite database ('fin_suraksha.db') contains 10 normalized tables. Referential integrity is strictly maintained across 1,800 registered accounts and 8,973 transactions.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3.1 ]</w:t>
              <w:br/>
            </w:r>
            <w:r>
              <w:rPr>
                <w:rFonts w:ascii="Times New Roman" w:hAnsi="Times New Roman"/>
                <w:b/>
                <w:i w:val="0"/>
                <w:color w:val="C4122F"/>
                <w:sz w:val="24"/>
              </w:rPr>
              <w:t>Entity-Relationship Diagram (ERD) of Fin-Suraksha Database</w:t>
              <w:br/>
              <w:br/>
            </w:r>
            <w:r>
              <w:rPr>
                <w:rFonts w:ascii="Times New Roman" w:hAnsi="Times New Roman"/>
                <w:b w:val="0"/>
                <w:i/>
                <w:color w:val="475569"/>
                <w:sz w:val="20"/>
              </w:rPr>
              <w:t>Instructions for Image Insertion:</w:t>
              <w:br/>
              <w:t>Insert the Database ERD Diagram showing:</w:t>
              <w:br/>
              <w:t>• CUSTOMERS (customer_id PK) 1:N ACCOUNTS (account_id PK, customer_id FK, branch_id FK)</w:t>
              <w:br/>
              <w:t>• ACCOUNTS 1:N TRANSACTIONS (txn_id PK, src_account FK, dst_account FK)</w:t>
              <w:br/>
              <w:t>• CUSTOMERS 1:N DEVICES (device_id PK, customer_id FK)</w:t>
              <w:br/>
              <w:t>• BRANCHES (branch_id PK), ATMS (atm_id PK), MERCHANTS (merchant_id PK)</w:t>
              <w:br/>
              <w:t>• Derived Entity: RISK_INTELLIGENCE (account_id PK, scores, risk_tier).</w:t>
              <w:br/>
            </w:r>
          </w:p>
        </w:tc>
      </w:tr>
    </w:tbl>
    <w:p>
      <w:pPr>
        <w:spacing w:before="80" w:after="240"/>
        <w:jc w:val="center"/>
      </w:pPr>
      <w:r>
        <w:rPr>
          <w:rFonts w:ascii="Times New Roman" w:hAnsi="Times New Roman"/>
          <w:b/>
          <w:i/>
          <w:color w:val="002147"/>
          <w:sz w:val="21"/>
        </w:rPr>
        <w:t>Figure 3.1: Entity-Relationship Diagram (ERD) of Fin-Suraksha Database</w:t>
      </w:r>
    </w:p>
    <w:p>
      <w:pPr>
        <w:keepNext/>
        <w:spacing w:before="280" w:after="120"/>
      </w:pPr>
      <w:r>
        <w:rPr>
          <w:rFonts w:ascii="Times New Roman" w:hAnsi="Times New Roman"/>
          <w:b/>
          <w:i w:val="0"/>
          <w:color w:val="002147"/>
          <w:sz w:val="27"/>
        </w:rPr>
        <w:t>3.3 Comprehensive Data Flow Diagrams (DFDs)</w:t>
      </w:r>
    </w:p>
    <w:p>
      <w:pPr>
        <w:spacing w:before="0" w:after="120" w:line="360" w:lineRule="auto"/>
        <w:jc w:val="left"/>
      </w:pPr>
      <w:r>
        <w:rPr>
          <w:rFonts w:ascii="Times New Roman" w:hAnsi="Times New Roman"/>
          <w:b w:val="0"/>
          <w:i w:val="0"/>
          <w:color w:val="1E293B"/>
          <w:sz w:val="24"/>
        </w:rPr>
        <w:t>Data Flow Diagrams illustrate the flow of data through the system at three progressive levels of abstraction:</w:t>
      </w:r>
    </w:p>
    <w:p>
      <w:pPr>
        <w:keepNext/>
        <w:spacing w:before="200" w:after="80"/>
      </w:pPr>
      <w:r>
        <w:rPr>
          <w:rFonts w:ascii="Times New Roman" w:hAnsi="Times New Roman"/>
          <w:b/>
          <w:i/>
          <w:color w:val="002147"/>
          <w:sz w:val="24"/>
        </w:rPr>
        <w:t>3.3.1 DFD Level 0: Context Diagram</w:t>
      </w:r>
    </w:p>
    <w:p>
      <w:pPr>
        <w:spacing w:before="0" w:after="120" w:line="360" w:lineRule="auto"/>
        <w:jc w:val="left"/>
      </w:pPr>
      <w:r>
        <w:rPr>
          <w:rFonts w:ascii="Times New Roman" w:hAnsi="Times New Roman"/>
          <w:b w:val="0"/>
          <w:i w:val="0"/>
          <w:color w:val="1E293B"/>
          <w:sz w:val="24"/>
        </w:rPr>
        <w:t>The Context Diagram establishes the boundaries of Fin-Suraksha. It shows external entities—the Investigating Officer, the Cyber Crime Analyst, Bank/NPCI CSV feeds, and the Judicial Magistrate / Court—interacting with the central Fin-Suraksha Attribution Console.</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3.2 ]</w:t>
              <w:br/>
            </w:r>
            <w:r>
              <w:rPr>
                <w:rFonts w:ascii="Times New Roman" w:hAnsi="Times New Roman"/>
                <w:b/>
                <w:i w:val="0"/>
                <w:color w:val="C4122F"/>
                <w:sz w:val="24"/>
              </w:rPr>
              <w:t>Data Flow Diagram Level 0 (Context Diagram)</w:t>
              <w:br/>
              <w:br/>
            </w:r>
            <w:r>
              <w:rPr>
                <w:rFonts w:ascii="Times New Roman" w:hAnsi="Times New Roman"/>
                <w:b w:val="0"/>
                <w:i/>
                <w:color w:val="475569"/>
                <w:sz w:val="20"/>
              </w:rPr>
              <w:t>Instructions for Image Insertion:</w:t>
              <w:br/>
              <w:t>Insert DFD Level 0 (Context Diagram):</w:t>
              <w:br/>
              <w:t>• External Entities:</w:t>
              <w:br/>
              <w:t xml:space="preserve">  1. Investigating Officer (Inputs: Case queries, account lookup; Receives: Case dossiers, network maps, SHAP explanations)</w:t>
              <w:br/>
              <w:t xml:space="preserve">  2. Cyber Crime Analyst (Inputs: Dataset uploads, model training commands; Receives: Model performance metrics, confusion matrices)</w:t>
              <w:br/>
              <w:t xml:space="preserve">  3. Bank / NPCI Data Boundary (Inputs: Raw CSV transaction trails, KYC records, device logs)</w:t>
              <w:br/>
              <w:t xml:space="preserve">  4. Judicial Magistrate / FIR System (Receives: Court-admissible investigation reports, Section 106 BNSS freeze orders)</w:t>
              <w:br/>
              <w:t>• Central Process: Process 0 (Fin-Suraksha AI Attribution Console).</w:t>
              <w:br/>
            </w:r>
          </w:p>
        </w:tc>
      </w:tr>
    </w:tbl>
    <w:p>
      <w:pPr>
        <w:spacing w:before="80" w:after="240"/>
        <w:jc w:val="center"/>
      </w:pPr>
      <w:r>
        <w:rPr>
          <w:rFonts w:ascii="Times New Roman" w:hAnsi="Times New Roman"/>
          <w:b/>
          <w:i/>
          <w:color w:val="002147"/>
          <w:sz w:val="21"/>
        </w:rPr>
        <w:t>Figure 3.2: Data Flow Diagram Level 0 (Context Diagram)</w:t>
      </w:r>
    </w:p>
    <w:p>
      <w:pPr>
        <w:keepNext/>
        <w:spacing w:before="200" w:after="80"/>
      </w:pPr>
      <w:r>
        <w:rPr>
          <w:rFonts w:ascii="Times New Roman" w:hAnsi="Times New Roman"/>
          <w:b/>
          <w:i/>
          <w:color w:val="002147"/>
          <w:sz w:val="24"/>
        </w:rPr>
        <w:t>3.3.2 DFD Level 1: Major Sub-Process Decomposition</w:t>
      </w:r>
    </w:p>
    <w:p>
      <w:pPr>
        <w:spacing w:before="0" w:after="120" w:line="360" w:lineRule="auto"/>
        <w:jc w:val="left"/>
      </w:pPr>
      <w:r>
        <w:rPr>
          <w:rFonts w:ascii="Times New Roman" w:hAnsi="Times New Roman"/>
          <w:b w:val="0"/>
          <w:i w:val="0"/>
          <w:color w:val="1E293B"/>
          <w:sz w:val="24"/>
        </w:rPr>
        <w:t>DFD Level 1 decomposes the central console into seven primary operational processes corresponding to the system's functional tiers: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3.3 ]</w:t>
              <w:br/>
            </w:r>
            <w:r>
              <w:rPr>
                <w:rFonts w:ascii="Times New Roman" w:hAnsi="Times New Roman"/>
                <w:b/>
                <w:i w:val="0"/>
                <w:color w:val="C4122F"/>
                <w:sz w:val="24"/>
              </w:rPr>
              <w:t>Data Flow Diagram Level 1 (Major Process Decomposition)</w:t>
              <w:br/>
              <w:br/>
            </w:r>
            <w:r>
              <w:rPr>
                <w:rFonts w:ascii="Times New Roman" w:hAnsi="Times New Roman"/>
                <w:b w:val="0"/>
                <w:i/>
                <w:color w:val="475569"/>
                <w:sz w:val="20"/>
              </w:rPr>
              <w:t>Instructions for Image Insertion:</w:t>
              <w:br/>
              <w:t>Insert DFD Level 1 Diagram detailing:</w:t>
              <w:br/>
              <w:t>• Process 1.0: Data Ingestion &amp; Relational Storage (populates Data Store D1: Banking Ecosystem)</w:t>
              <w:br/>
              <w:t>• Process 2.0: Graph Construction &amp; Feature Engineering (populates Data Store D2: Feature Matrix &amp; Graph Tensors)</w:t>
              <w:br/>
              <w:t>• Process 3.0: Model Training &amp; Evaluation (populates Data Store D3: Trained Model Objects)</w:t>
              <w:br/>
              <w:t>• Process 4.0: Prediction &amp; SHAP Explainability (outputs predicted labels and Shapley contributions)</w:t>
              <w:br/>
              <w:t>• Process 5.0: Risk Intelligence &amp; Heuristic Correlation (populates Data Store D4: Risk Intelligence Bundle)</w:t>
              <w:br/>
              <w:t>• Process 6.0: Interactive Visualization &amp; Network Exploration (delivers interactive views to Investigating Officer)</w:t>
              <w:br/>
              <w:t>• Process 7.0: Statutory Reporting &amp; Case File Export (delivers formal PDF dossiers to Legal Authorities).</w:t>
              <w:br/>
            </w:r>
          </w:p>
        </w:tc>
      </w:tr>
    </w:tbl>
    <w:p>
      <w:pPr>
        <w:spacing w:before="80" w:after="240"/>
        <w:jc w:val="center"/>
      </w:pPr>
      <w:r>
        <w:rPr>
          <w:rFonts w:ascii="Times New Roman" w:hAnsi="Times New Roman"/>
          <w:b/>
          <w:i/>
          <w:color w:val="002147"/>
          <w:sz w:val="21"/>
        </w:rPr>
        <w:t>Figure 3.3: Data Flow Diagram Level 1 (Major Process Decomposition)</w:t>
      </w:r>
    </w:p>
    <w:p>
      <w:pPr>
        <w:keepNext/>
        <w:spacing w:before="200" w:after="80"/>
      </w:pPr>
      <w:r>
        <w:rPr>
          <w:rFonts w:ascii="Times New Roman" w:hAnsi="Times New Roman"/>
          <w:b/>
          <w:i/>
          <w:color w:val="002147"/>
          <w:sz w:val="24"/>
        </w:rPr>
        <w:t>3.3.3 DFD Level 2: Sub-Process Decompositions</w:t>
      </w:r>
    </w:p>
    <w:p>
      <w:pPr>
        <w:spacing w:before="0" w:after="120" w:line="360" w:lineRule="auto"/>
        <w:jc w:val="left"/>
      </w:pPr>
      <w:r>
        <w:rPr>
          <w:rFonts w:ascii="Times New Roman" w:hAnsi="Times New Roman"/>
          <w:b w:val="0"/>
          <w:i w:val="0"/>
          <w:color w:val="1E293B"/>
          <w:sz w:val="24"/>
        </w:rPr>
        <w:t>DFD Level 2 provides low-level structural breakdowns of critical complex processes: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3.4 ]</w:t>
              <w:br/>
            </w:r>
            <w:r>
              <w:rPr>
                <w:rFonts w:ascii="Times New Roman" w:hAnsi="Times New Roman"/>
                <w:b/>
                <w:i w:val="0"/>
                <w:color w:val="C4122F"/>
                <w:sz w:val="24"/>
              </w:rPr>
              <w:t>Data Flow Diagram Level 2 (Decomposition of Process 2.0: Graph &amp; Feature Engineering)</w:t>
              <w:br/>
              <w:br/>
            </w:r>
            <w:r>
              <w:rPr>
                <w:rFonts w:ascii="Times New Roman" w:hAnsi="Times New Roman"/>
                <w:b w:val="0"/>
                <w:i/>
                <w:color w:val="475569"/>
                <w:sz w:val="20"/>
              </w:rPr>
              <w:t>Instructions for Image Insertion:</w:t>
              <w:br/>
              <w:t>Insert DFD Level 2 (Process 2.0) Diagram detailing:</w:t>
              <w:br/>
              <w:t>• Sub-process 2.1: Transaction Multigraph Assembly (build_transaction_graph)</w:t>
              <w:br/>
              <w:t>• Sub-process 2.2: Shared Identifier Edge Overlay (add_shared_identifier_edges: IMEI, IP, SIM links)</w:t>
              <w:br/>
              <w:t>• Sub-process 2.3: Centrality &amp; Topology Computation (PageRank, clustering, degrees)</w:t>
              <w:br/>
              <w:t>• Sub-process 2.4: Feature Standardization &amp; Scaling (StandardScaler scaling).</w:t>
              <w:br/>
            </w:r>
          </w:p>
        </w:tc>
      </w:tr>
    </w:tbl>
    <w:p>
      <w:pPr>
        <w:spacing w:before="80" w:after="240"/>
        <w:jc w:val="center"/>
      </w:pPr>
      <w:r>
        <w:rPr>
          <w:rFonts w:ascii="Times New Roman" w:hAnsi="Times New Roman"/>
          <w:b/>
          <w:i/>
          <w:color w:val="002147"/>
          <w:sz w:val="21"/>
        </w:rPr>
        <w:t>Figure 3.4: Data Flow Diagram Level 2 (Decomposition of Process 2.0: Graph &amp; Feature Engineering)</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3.5 ]</w:t>
              <w:br/>
            </w:r>
            <w:r>
              <w:rPr>
                <w:rFonts w:ascii="Times New Roman" w:hAnsi="Times New Roman"/>
                <w:b/>
                <w:i w:val="0"/>
                <w:color w:val="C4122F"/>
                <w:sz w:val="24"/>
              </w:rPr>
              <w:t>Data Flow Diagram Level 2 (Decomposition of Process 5.0: Risk Intelligence &amp; Correlation Engine)</w:t>
              <w:br/>
              <w:br/>
            </w:r>
            <w:r>
              <w:rPr>
                <w:rFonts w:ascii="Times New Roman" w:hAnsi="Times New Roman"/>
                <w:b w:val="0"/>
                <w:i/>
                <w:color w:val="475569"/>
                <w:sz w:val="20"/>
              </w:rPr>
              <w:t>Instructions for Image Insertion:</w:t>
              <w:br/>
              <w:t>Insert DFD Level 2 (Process 5.0) Diagram detailing:</w:t>
              <w:br/>
              <w:t>• Sub-process 5.1: Digital Footprint Correlation (DigitalFootprintEngine: IMEI reuse, login bursts, VPN flags)</w:t>
              <w:br/>
              <w:t>• Sub-process 5.2: Physical Footprint Analysis (PhysicalFootprintEngine: Haversine speed &gt;500 km/h, ATM cash-outs, CCTV)</w:t>
              <w:br/>
              <w:t>• Sub-process 5.3: Network Analytics &amp; Syndicate Detection (NetworkAnalyticsEngine: Louvain modularity, Mastermind score)</w:t>
              <w:br/>
              <w:t>• Sub-process 5.4: Weighted Ensemble Synthesis &amp; Risk Tier Banding (HeuristicRiskEngine: 0-100 score to Critical/High/Med/Low)</w:t>
              <w:br/>
              <w:t>• Sub-process 5.5: Natural Language Narrative Generation (generate_investigation_narrative).</w:t>
              <w:br/>
            </w:r>
          </w:p>
        </w:tc>
      </w:tr>
    </w:tbl>
    <w:p>
      <w:pPr>
        <w:spacing w:before="80" w:after="240"/>
        <w:jc w:val="center"/>
      </w:pPr>
      <w:r>
        <w:rPr>
          <w:rFonts w:ascii="Times New Roman" w:hAnsi="Times New Roman"/>
          <w:b/>
          <w:i/>
          <w:color w:val="002147"/>
          <w:sz w:val="21"/>
        </w:rPr>
        <w:t>Figure 3.5: Data Flow Diagram Level 2 (Decomposition of Process 5.0: Risk Intelligence &amp; Correlation Engine)</w:t>
      </w:r>
    </w:p>
    <w:p>
      <w:pPr>
        <w:keepNext/>
        <w:spacing w:before="280" w:after="120"/>
      </w:pPr>
      <w:r>
        <w:rPr>
          <w:rFonts w:ascii="Times New Roman" w:hAnsi="Times New Roman"/>
          <w:b/>
          <w:i w:val="0"/>
          <w:color w:val="002147"/>
          <w:sz w:val="27"/>
        </w:rPr>
        <w:t>3.4 Input and Output Design</w:t>
      </w:r>
    </w:p>
    <w:p>
      <w:pPr>
        <w:spacing w:before="0" w:after="120" w:line="360" w:lineRule="auto"/>
        <w:jc w:val="left"/>
      </w:pPr>
      <w:r>
        <w:rPr>
          <w:rFonts w:ascii="Times New Roman" w:hAnsi="Times New Roman"/>
          <w:b w:val="0"/>
          <w:i w:val="0"/>
          <w:color w:val="1E293B"/>
          <w:sz w:val="24"/>
        </w:rPr>
        <w:t>The input subsystem validates all uploads (verifying CSV headers, integer slider bounds, and account ID existence) to prevent system faults. Output design focuses on officer interpretability: every metric is presented with a plain-English explanation, color-coded risk tier badges, and currency values formatted in Indian Rupees (₹).</w:t>
      </w:r>
    </w:p>
    <w:p>
      <w:pPr>
        <w:keepNext/>
        <w:spacing w:before="280" w:after="120"/>
      </w:pPr>
      <w:r>
        <w:rPr>
          <w:rFonts w:ascii="Times New Roman" w:hAnsi="Times New Roman"/>
          <w:b/>
          <w:i w:val="0"/>
          <w:color w:val="002147"/>
          <w:sz w:val="27"/>
        </w:rPr>
        <w:t>3.5 Code Design &amp; Class Architecture</w:t>
      </w:r>
    </w:p>
    <w:p>
      <w:pPr>
        <w:spacing w:before="0" w:after="120" w:line="360" w:lineRule="auto"/>
        <w:jc w:val="left"/>
      </w:pPr>
      <w:r>
        <w:rPr>
          <w:rFonts w:ascii="Times New Roman" w:hAnsi="Times New Roman"/>
          <w:b w:val="0"/>
          <w:i w:val="0"/>
          <w:color w:val="1E293B"/>
          <w:sz w:val="24"/>
        </w:rPr>
        <w:t>The project is structured across three core files: model.py (993 lines: data generator, graph builder, ML models), intelligence.py (587 lines: 4 heuristic engines, legal notice generators), and app.py (3,413 lines: 13 Streamlit console modules).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3.6 ]</w:t>
              <w:br/>
            </w:r>
            <w:r>
              <w:rPr>
                <w:rFonts w:ascii="Times New Roman" w:hAnsi="Times New Roman"/>
                <w:b/>
                <w:i w:val="0"/>
                <w:color w:val="C4122F"/>
                <w:sz w:val="24"/>
              </w:rPr>
              <w:t>Class &amp; Module Decomposition Diagram of Fin-Suraksha Codebase</w:t>
              <w:br/>
              <w:br/>
            </w:r>
            <w:r>
              <w:rPr>
                <w:rFonts w:ascii="Times New Roman" w:hAnsi="Times New Roman"/>
                <w:b w:val="0"/>
                <w:i/>
                <w:color w:val="475569"/>
                <w:sz w:val="20"/>
              </w:rPr>
              <w:t>Instructions for Image Insertion:</w:t>
              <w:br/>
              <w:t>Insert UML Class Diagram showing BankingEcosystemGenerator, GraphBuilder, FeatureEngineer, DigitalFootprintEngine, PhysicalFootprintEngine, NetworkAnalyticsEngine, and HeuristicRiskEngine.</w:t>
              <w:br/>
            </w:r>
          </w:p>
        </w:tc>
      </w:tr>
    </w:tbl>
    <w:p>
      <w:pPr>
        <w:spacing w:before="80" w:after="240"/>
        <w:jc w:val="center"/>
      </w:pPr>
      <w:r>
        <w:rPr>
          <w:rFonts w:ascii="Times New Roman" w:hAnsi="Times New Roman"/>
          <w:b/>
          <w:i/>
          <w:color w:val="002147"/>
          <w:sz w:val="21"/>
        </w:rPr>
        <w:t>Figure 3.6: Class &amp; Module Decomposition Diagram of Fin-Suraksha Codebase</w:t>
      </w:r>
    </w:p>
    <w:p>
      <w:r>
        <w:br w:type="page"/>
      </w:r>
    </w:p>
    <w:p>
      <w:pPr>
        <w:keepNext/>
        <w:spacing w:before="360" w:after="160"/>
      </w:pPr>
      <w:r>
        <w:rPr>
          <w:rFonts w:ascii="Times New Roman" w:hAnsi="Times New Roman"/>
          <w:b/>
          <w:i w:val="0"/>
          <w:color w:val="002147"/>
          <w:sz w:val="32"/>
        </w:rPr>
        <w:t>CHAPTER 4: TESTING, VALIDATION &amp; SYSTEM IMPLEMENTATION</w:t>
      </w:r>
    </w:p>
    <w:p>
      <w:pPr>
        <w:keepNext/>
        <w:spacing w:before="280" w:after="120"/>
      </w:pPr>
      <w:r>
        <w:rPr>
          <w:rFonts w:ascii="Times New Roman" w:hAnsi="Times New Roman"/>
          <w:b/>
          <w:i w:val="0"/>
          <w:color w:val="002147"/>
          <w:sz w:val="27"/>
        </w:rPr>
        <w:t>4.1 Testing Methodology</w:t>
      </w:r>
    </w:p>
    <w:p>
      <w:pPr>
        <w:spacing w:before="0" w:after="120" w:line="360" w:lineRule="auto"/>
        <w:jc w:val="left"/>
      </w:pPr>
      <w:r>
        <w:rPr>
          <w:rFonts w:ascii="Times New Roman" w:hAnsi="Times New Roman"/>
          <w:b w:val="0"/>
          <w:i w:val="0"/>
          <w:color w:val="1E293B"/>
          <w:sz w:val="24"/>
        </w:rPr>
        <w:t>Testing followed a 4-tier bottom-up hierarchy: Unit Testing of individual functions, Module Testing of pipeline stages, Integration Testing across the model-intelligence-app boundary, and System/Acceptance Testing of the complete Streamlit console.</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4.1 ]</w:t>
              <w:br/>
            </w:r>
            <w:r>
              <w:rPr>
                <w:rFonts w:ascii="Times New Roman" w:hAnsi="Times New Roman"/>
                <w:b/>
                <w:i w:val="0"/>
                <w:color w:val="C4122F"/>
                <w:sz w:val="24"/>
              </w:rPr>
              <w:t>Four-Level Testing Hierarchy Applied to Fin-Suraksha</w:t>
              <w:br/>
              <w:br/>
            </w:r>
            <w:r>
              <w:rPr>
                <w:rFonts w:ascii="Times New Roman" w:hAnsi="Times New Roman"/>
                <w:b w:val="0"/>
                <w:i/>
                <w:color w:val="475569"/>
                <w:sz w:val="20"/>
              </w:rPr>
              <w:t>Instructions for Image Insertion:</w:t>
              <w:br/>
              <w:t>Insert Testing Hierarchy Diagram showing Unit Testing → Module Testing → Integration Testing → System/Acceptance Testing.</w:t>
              <w:br/>
            </w:r>
          </w:p>
        </w:tc>
      </w:tr>
    </w:tbl>
    <w:p>
      <w:pPr>
        <w:spacing w:before="80" w:after="240"/>
        <w:jc w:val="center"/>
      </w:pPr>
      <w:r>
        <w:rPr>
          <w:rFonts w:ascii="Times New Roman" w:hAnsi="Times New Roman"/>
          <w:b/>
          <w:i/>
          <w:color w:val="002147"/>
          <w:sz w:val="21"/>
        </w:rPr>
        <w:t>Figure 4.1: Four-Level Testing Hierarchy Applied to Fin-Suraksha</w:t>
      </w:r>
    </w:p>
    <w:p>
      <w:pPr>
        <w:keepNext/>
        <w:spacing w:before="280" w:after="120"/>
      </w:pPr>
      <w:r>
        <w:rPr>
          <w:rFonts w:ascii="Times New Roman" w:hAnsi="Times New Roman"/>
          <w:b/>
          <w:i w:val="0"/>
          <w:color w:val="002147"/>
          <w:sz w:val="27"/>
        </w:rPr>
        <w:t>4.2 System Verification Suite Execution Results</w:t>
      </w:r>
    </w:p>
    <w:p>
      <w:pPr>
        <w:spacing w:before="0" w:after="120" w:line="360" w:lineRule="auto"/>
        <w:jc w:val="left"/>
      </w:pPr>
      <w:r>
        <w:rPr>
          <w:rFonts w:ascii="Times New Roman" w:hAnsi="Times New Roman"/>
          <w:b w:val="0"/>
          <w:i w:val="0"/>
          <w:color w:val="1E293B"/>
          <w:sz w:val="24"/>
        </w:rPr>
        <w:t>An automated test suite ('test_system_integrity.py') verified all functional constraints. All 7 test suites passed with 100% success:</w:t>
      </w:r>
    </w:p>
    <w:tbl>
      <w:tblPr>
        <w:tblW w:type="auto" w:w="0"/>
        <w:jc w:val="center"/>
        <w:tblLook w:firstColumn="1" w:firstRow="1" w:lastColumn="0" w:lastRow="0" w:noHBand="0" w:noVBand="1" w:val="04A0"/>
      </w:tblPr>
      <w:tblGrid>
        <w:gridCol w:w="2160"/>
        <w:gridCol w:w="2160"/>
        <w:gridCol w:w="2160"/>
        <w:gridCol w:w="2160"/>
      </w:tblGrid>
      <w:tr>
        <w:tc>
          <w:tcPr>
            <w:tcW w:type="dxa" w:w="2592"/>
            <w:shd w:fill="002147"/>
            <w:tcMar>
              <w:top w:w="120" w:type="dxa"/>
              <w:bottom w:w="120" w:type="dxa"/>
              <w:left w:w="140" w:type="dxa"/>
              <w:right w:w="140" w:type="dxa"/>
            </w:tcMar>
          </w:tcPr>
          <w:p>
            <w:pPr>
              <w:jc w:val="center"/>
            </w:pPr>
            <w:r>
              <w:rPr>
                <w:rFonts w:ascii="Times New Roman" w:hAnsi="Times New Roman"/>
                <w:b/>
                <w:i w:val="0"/>
                <w:color w:val="FFFFFF"/>
                <w:sz w:val="21"/>
              </w:rPr>
              <w:t>Verification Suite</w:t>
            </w:r>
          </w:p>
        </w:tc>
        <w:tc>
          <w:tcPr>
            <w:tcW w:type="dxa" w:w="2592"/>
            <w:shd w:fill="002147"/>
            <w:tcMar>
              <w:top w:w="120" w:type="dxa"/>
              <w:bottom w:w="120" w:type="dxa"/>
              <w:left w:w="140" w:type="dxa"/>
              <w:right w:w="140" w:type="dxa"/>
            </w:tcMar>
          </w:tcPr>
          <w:p>
            <w:pPr>
              <w:jc w:val="center"/>
            </w:pPr>
            <w:r>
              <w:rPr>
                <w:rFonts w:ascii="Times New Roman" w:hAnsi="Times New Roman"/>
                <w:b/>
                <w:i w:val="0"/>
                <w:color w:val="FFFFFF"/>
                <w:sz w:val="21"/>
              </w:rPr>
              <w:t>Scope / Inputs</w:t>
            </w:r>
          </w:p>
        </w:tc>
        <w:tc>
          <w:tcPr>
            <w:tcW w:type="dxa" w:w="2304"/>
            <w:shd w:fill="002147"/>
            <w:tcMar>
              <w:top w:w="120" w:type="dxa"/>
              <w:bottom w:w="120" w:type="dxa"/>
              <w:left w:w="140" w:type="dxa"/>
              <w:right w:w="140" w:type="dxa"/>
            </w:tcMar>
          </w:tcPr>
          <w:p>
            <w:pPr>
              <w:jc w:val="center"/>
            </w:pPr>
            <w:r>
              <w:rPr>
                <w:rFonts w:ascii="Times New Roman" w:hAnsi="Times New Roman"/>
                <w:b/>
                <w:i w:val="0"/>
                <w:color w:val="FFFFFF"/>
                <w:sz w:val="21"/>
              </w:rPr>
              <w:t>Observed Output</w:t>
            </w:r>
          </w:p>
        </w:tc>
        <w:tc>
          <w:tcPr>
            <w:tcW w:type="dxa" w:w="1152"/>
            <w:shd w:fill="002147"/>
            <w:tcMar>
              <w:top w:w="120" w:type="dxa"/>
              <w:bottom w:w="120" w:type="dxa"/>
              <w:left w:w="140" w:type="dxa"/>
              <w:right w:w="140" w:type="dxa"/>
            </w:tcMar>
          </w:tcPr>
          <w:p>
            <w:pPr>
              <w:jc w:val="center"/>
            </w:pPr>
            <w:r>
              <w:rPr>
                <w:rFonts w:ascii="Times New Roman" w:hAnsi="Times New Roman"/>
                <w:b/>
                <w:i w:val="0"/>
                <w:color w:val="FFFFFF"/>
                <w:sz w:val="21"/>
              </w:rPr>
              <w:t>Status</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Suite 1: Database Integrity</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10 Tables, Foreign Keys</w:t>
            </w:r>
          </w:p>
        </w:tc>
        <w:tc>
          <w:tcPr>
            <w:tcW w:type="dxa" w:w="2304"/>
            <w:shd w:fill="FFFFFF"/>
            <w:tcMar>
              <w:top w:w="80" w:type="dxa"/>
              <w:bottom w:w="80" w:type="dxa"/>
              <w:left w:w="120" w:type="dxa"/>
              <w:right w:w="120" w:type="dxa"/>
            </w:tcMar>
          </w:tcPr>
          <w:p>
            <w:pPr>
              <w:jc w:val="left"/>
            </w:pPr>
            <w:r>
              <w:rPr>
                <w:rFonts w:ascii="Times New Roman" w:hAnsi="Times New Roman"/>
                <w:b w:val="0"/>
                <w:i w:val="0"/>
                <w:color w:val="1E293B"/>
                <w:sz w:val="20"/>
              </w:rPr>
              <w:t>0 Orphaned Records, 8,973 txns verified</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PASSED</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Suite 2: Risk Engine Logic</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Multi-criteria scoring</w:t>
            </w:r>
          </w:p>
        </w:tc>
        <w:tc>
          <w:tcPr>
            <w:tcW w:type="dxa" w:w="2304"/>
            <w:shd w:fill="F8FAFC"/>
            <w:tcMar>
              <w:top w:w="80" w:type="dxa"/>
              <w:bottom w:w="80" w:type="dxa"/>
              <w:left w:w="120" w:type="dxa"/>
              <w:right w:w="120" w:type="dxa"/>
            </w:tcMar>
          </w:tcPr>
          <w:p>
            <w:pPr>
              <w:jc w:val="left"/>
            </w:pPr>
            <w:r>
              <w:rPr>
                <w:rFonts w:ascii="Times New Roman" w:hAnsi="Times New Roman"/>
                <w:b w:val="0"/>
                <w:i w:val="0"/>
                <w:color w:val="1E293B"/>
                <w:sz w:val="20"/>
              </w:rPr>
              <w:t>ACC00001 scored 15/100 (Normal)</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PASSED</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Suite 3: Network Topology</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Concentric radial shells</w:t>
            </w:r>
          </w:p>
        </w:tc>
        <w:tc>
          <w:tcPr>
            <w:tcW w:type="dxa" w:w="2304"/>
            <w:shd w:fill="FFFFFF"/>
            <w:tcMar>
              <w:top w:w="80" w:type="dxa"/>
              <w:bottom w:w="80" w:type="dxa"/>
              <w:left w:w="120" w:type="dxa"/>
              <w:right w:w="120" w:type="dxa"/>
            </w:tcMar>
          </w:tcPr>
          <w:p>
            <w:pPr>
              <w:jc w:val="left"/>
            </w:pPr>
            <w:r>
              <w:rPr>
                <w:rFonts w:ascii="Times New Roman" w:hAnsi="Times New Roman"/>
                <w:b w:val="0"/>
                <w:i w:val="0"/>
                <w:color w:val="1E293B"/>
                <w:sz w:val="20"/>
              </w:rPr>
              <w:t>258 nodes, 538 edges assembled for ACC00185</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PASSED</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Suite 4: Geodesic Calculation</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Haversine formula</w:t>
            </w:r>
          </w:p>
        </w:tc>
        <w:tc>
          <w:tcPr>
            <w:tcW w:type="dxa" w:w="2304"/>
            <w:shd w:fill="F8FAFC"/>
            <w:tcMar>
              <w:top w:w="80" w:type="dxa"/>
              <w:bottom w:w="80" w:type="dxa"/>
              <w:left w:w="120" w:type="dxa"/>
              <w:right w:w="120" w:type="dxa"/>
            </w:tcMar>
          </w:tcPr>
          <w:p>
            <w:pPr>
              <w:jc w:val="left"/>
            </w:pPr>
            <w:r>
              <w:rPr>
                <w:rFonts w:ascii="Times New Roman" w:hAnsi="Times New Roman"/>
                <w:b w:val="0"/>
                <w:i w:val="0"/>
                <w:color w:val="1E293B"/>
                <w:sz w:val="20"/>
              </w:rPr>
              <w:t>Rohini-Nuh: 68.6 km, Rohini-Jamtara: 1099.8 km</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PASSED</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Suite 5: UI Cleanliness</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Scan app.py citations</w:t>
            </w:r>
          </w:p>
        </w:tc>
        <w:tc>
          <w:tcPr>
            <w:tcW w:type="dxa" w:w="2304"/>
            <w:shd w:fill="FFFFFF"/>
            <w:tcMar>
              <w:top w:w="80" w:type="dxa"/>
              <w:bottom w:w="80" w:type="dxa"/>
              <w:left w:w="120" w:type="dxa"/>
              <w:right w:w="120" w:type="dxa"/>
            </w:tcMar>
          </w:tcPr>
          <w:p>
            <w:pPr>
              <w:jc w:val="left"/>
            </w:pPr>
            <w:r>
              <w:rPr>
                <w:rFonts w:ascii="Times New Roman" w:hAnsi="Times New Roman"/>
                <w:b w:val="0"/>
                <w:i w:val="0"/>
                <w:color w:val="1E293B"/>
                <w:sz w:val="20"/>
              </w:rPr>
              <w:t>Zero academic report citations found</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PASSED</w:t>
            </w:r>
          </w:p>
        </w:tc>
      </w:tr>
      <w:tr>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Suite 6: Live ML Evaluation</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80/20 Stratified Split</w:t>
            </w:r>
          </w:p>
        </w:tc>
        <w:tc>
          <w:tcPr>
            <w:tcW w:type="dxa" w:w="2304"/>
            <w:shd w:fill="F8FAFC"/>
            <w:tcMar>
              <w:top w:w="80" w:type="dxa"/>
              <w:bottom w:w="80" w:type="dxa"/>
              <w:left w:w="120" w:type="dxa"/>
              <w:right w:w="120" w:type="dxa"/>
            </w:tcMar>
          </w:tcPr>
          <w:p>
            <w:pPr>
              <w:jc w:val="left"/>
            </w:pPr>
            <w:r>
              <w:rPr>
                <w:rFonts w:ascii="Times New Roman" w:hAnsi="Times New Roman"/>
                <w:b w:val="0"/>
                <w:i w:val="0"/>
                <w:color w:val="1E293B"/>
                <w:sz w:val="20"/>
              </w:rPr>
              <w:t>N=317 test accounts, 0 label leakage</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PASSED</w:t>
            </w:r>
          </w:p>
        </w:tc>
      </w:tr>
      <w:tr>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Suite 7: System Integration</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Full 13 modules walk</w:t>
            </w:r>
          </w:p>
        </w:tc>
        <w:tc>
          <w:tcPr>
            <w:tcW w:type="dxa" w:w="2304"/>
            <w:shd w:fill="FFFFFF"/>
            <w:tcMar>
              <w:top w:w="80" w:type="dxa"/>
              <w:bottom w:w="80" w:type="dxa"/>
              <w:left w:w="120" w:type="dxa"/>
              <w:right w:w="120" w:type="dxa"/>
            </w:tcMar>
          </w:tcPr>
          <w:p>
            <w:pPr>
              <w:jc w:val="left"/>
            </w:pPr>
            <w:r>
              <w:rPr>
                <w:rFonts w:ascii="Times New Roman" w:hAnsi="Times New Roman"/>
                <w:b w:val="0"/>
                <w:i w:val="0"/>
                <w:color w:val="1E293B"/>
                <w:sz w:val="20"/>
              </w:rPr>
              <w:t>All 13 pages render with zero unhandled exceptions</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PASSED</w:t>
            </w:r>
          </w:p>
        </w:tc>
      </w:tr>
    </w:tbl>
    <w:p>
      <w:pPr>
        <w:spacing w:after="120"/>
      </w:pPr>
    </w:p>
    <w:p>
      <w:pPr>
        <w:keepNext/>
        <w:spacing w:before="280" w:after="120"/>
      </w:pPr>
      <w:r>
        <w:rPr>
          <w:rFonts w:ascii="Times New Roman" w:hAnsi="Times New Roman"/>
          <w:b/>
          <w:i w:val="0"/>
          <w:color w:val="002147"/>
          <w:sz w:val="27"/>
        </w:rPr>
        <w:t>4.3 Live Machine Learning Benchmark &amp; Non-Hardcoded Results</w:t>
      </w:r>
    </w:p>
    <w:p>
      <w:pPr>
        <w:spacing w:before="0" w:after="120" w:line="360" w:lineRule="auto"/>
        <w:jc w:val="left"/>
      </w:pPr>
      <w:r>
        <w:rPr>
          <w:rFonts w:ascii="Times New Roman" w:hAnsi="Times New Roman"/>
          <w:b w:val="0"/>
          <w:i w:val="0"/>
          <w:color w:val="1E293B"/>
          <w:sz w:val="24"/>
        </w:rPr>
        <w:t>Model performance was measured live on an 80/20 stratified test split (N=317 accounts). Metrics are genuinely computed and stored in 'eval_results.json':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880"/>
            <w:shd w:fill="002147"/>
            <w:tcMar>
              <w:top w:w="120" w:type="dxa"/>
              <w:bottom w:w="120" w:type="dxa"/>
              <w:left w:w="140" w:type="dxa"/>
              <w:right w:w="140" w:type="dxa"/>
            </w:tcMar>
          </w:tcPr>
          <w:p>
            <w:pPr>
              <w:jc w:val="center"/>
            </w:pPr>
            <w:r>
              <w:rPr>
                <w:rFonts w:ascii="Times New Roman" w:hAnsi="Times New Roman"/>
                <w:b/>
                <w:i w:val="0"/>
                <w:color w:val="FFFFFF"/>
                <w:sz w:val="21"/>
              </w:rPr>
              <w:t>Model Architecture</w:t>
            </w:r>
          </w:p>
        </w:tc>
        <w:tc>
          <w:tcPr>
            <w:tcW w:type="dxa" w:w="1152"/>
            <w:shd w:fill="002147"/>
            <w:tcMar>
              <w:top w:w="120" w:type="dxa"/>
              <w:bottom w:w="120" w:type="dxa"/>
              <w:left w:w="140" w:type="dxa"/>
              <w:right w:w="140" w:type="dxa"/>
            </w:tcMar>
          </w:tcPr>
          <w:p>
            <w:pPr>
              <w:jc w:val="center"/>
            </w:pPr>
            <w:r>
              <w:rPr>
                <w:rFonts w:ascii="Times New Roman" w:hAnsi="Times New Roman"/>
                <w:b/>
                <w:i w:val="0"/>
                <w:color w:val="FFFFFF"/>
                <w:sz w:val="21"/>
              </w:rPr>
              <w:t>Accuracy</w:t>
            </w:r>
          </w:p>
        </w:tc>
        <w:tc>
          <w:tcPr>
            <w:tcW w:type="dxa" w:w="1296"/>
            <w:shd w:fill="002147"/>
            <w:tcMar>
              <w:top w:w="120" w:type="dxa"/>
              <w:bottom w:w="120" w:type="dxa"/>
              <w:left w:w="140" w:type="dxa"/>
              <w:right w:w="140" w:type="dxa"/>
            </w:tcMar>
          </w:tcPr>
          <w:p>
            <w:pPr>
              <w:jc w:val="center"/>
            </w:pPr>
            <w:r>
              <w:rPr>
                <w:rFonts w:ascii="Times New Roman" w:hAnsi="Times New Roman"/>
                <w:b/>
                <w:i w:val="0"/>
                <w:color w:val="FFFFFF"/>
                <w:sz w:val="21"/>
              </w:rPr>
              <w:t>Balanced Acc</w:t>
            </w:r>
          </w:p>
        </w:tc>
        <w:tc>
          <w:tcPr>
            <w:tcW w:type="dxa" w:w="1152"/>
            <w:shd w:fill="002147"/>
            <w:tcMar>
              <w:top w:w="120" w:type="dxa"/>
              <w:bottom w:w="120" w:type="dxa"/>
              <w:left w:w="140" w:type="dxa"/>
              <w:right w:w="140" w:type="dxa"/>
            </w:tcMar>
          </w:tcPr>
          <w:p>
            <w:pPr>
              <w:jc w:val="center"/>
            </w:pPr>
            <w:r>
              <w:rPr>
                <w:rFonts w:ascii="Times New Roman" w:hAnsi="Times New Roman"/>
                <w:b/>
                <w:i w:val="0"/>
                <w:color w:val="FFFFFF"/>
                <w:sz w:val="21"/>
              </w:rPr>
              <w:t>Macro F1</w:t>
            </w:r>
          </w:p>
        </w:tc>
        <w:tc>
          <w:tcPr>
            <w:tcW w:type="dxa" w:w="1008"/>
            <w:shd w:fill="002147"/>
            <w:tcMar>
              <w:top w:w="120" w:type="dxa"/>
              <w:bottom w:w="120" w:type="dxa"/>
              <w:left w:w="140" w:type="dxa"/>
              <w:right w:w="140" w:type="dxa"/>
            </w:tcMar>
          </w:tcPr>
          <w:p>
            <w:pPr>
              <w:jc w:val="center"/>
            </w:pPr>
            <w:r>
              <w:rPr>
                <w:rFonts w:ascii="Times New Roman" w:hAnsi="Times New Roman"/>
                <w:b/>
                <w:i w:val="0"/>
                <w:color w:val="FFFFFF"/>
                <w:sz w:val="21"/>
              </w:rPr>
              <w:t>MCC</w:t>
            </w:r>
          </w:p>
        </w:tc>
        <w:tc>
          <w:tcPr>
            <w:tcW w:type="dxa" w:w="1152"/>
            <w:shd w:fill="002147"/>
            <w:tcMar>
              <w:top w:w="120" w:type="dxa"/>
              <w:bottom w:w="120" w:type="dxa"/>
              <w:left w:w="140" w:type="dxa"/>
              <w:right w:w="140" w:type="dxa"/>
            </w:tcMar>
          </w:tcPr>
          <w:p>
            <w:pPr>
              <w:jc w:val="center"/>
            </w:pPr>
            <w:r>
              <w:rPr>
                <w:rFonts w:ascii="Times New Roman" w:hAnsi="Times New Roman"/>
                <w:b/>
                <w:i w:val="0"/>
                <w:color w:val="FFFFFF"/>
                <w:sz w:val="21"/>
              </w:rPr>
              <w:t>Cohen's Kappa</w:t>
            </w:r>
          </w:p>
        </w:tc>
      </w:tr>
      <w:tr>
        <w:tc>
          <w:tcPr>
            <w:tcW w:type="dxa" w:w="2880"/>
            <w:shd w:fill="FFFFFF"/>
            <w:tcMar>
              <w:top w:w="80" w:type="dxa"/>
              <w:bottom w:w="80" w:type="dxa"/>
              <w:left w:w="120" w:type="dxa"/>
              <w:right w:w="120" w:type="dxa"/>
            </w:tcMar>
          </w:tcPr>
          <w:p>
            <w:pPr>
              <w:jc w:val="left"/>
            </w:pPr>
            <w:r>
              <w:rPr>
                <w:rFonts w:ascii="Times New Roman" w:hAnsi="Times New Roman"/>
                <w:b w:val="0"/>
                <w:i w:val="0"/>
                <w:color w:val="1E293B"/>
                <w:sz w:val="20"/>
              </w:rPr>
              <w:t>Random Forest (Class-Weighted)</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296"/>
            <w:shd w:fill="FFFFFF"/>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008"/>
            <w:shd w:fill="FFFFFF"/>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1.0000</w:t>
            </w:r>
          </w:p>
        </w:tc>
      </w:tr>
      <w:tr>
        <w:tc>
          <w:tcPr>
            <w:tcW w:type="dxa" w:w="2880"/>
            <w:shd w:fill="F8FAFC"/>
            <w:tcMar>
              <w:top w:w="80" w:type="dxa"/>
              <w:bottom w:w="80" w:type="dxa"/>
              <w:left w:w="120" w:type="dxa"/>
              <w:right w:w="120" w:type="dxa"/>
            </w:tcMar>
          </w:tcPr>
          <w:p>
            <w:pPr>
              <w:jc w:val="left"/>
            </w:pPr>
            <w:r>
              <w:rPr>
                <w:rFonts w:ascii="Times New Roman" w:hAnsi="Times New Roman"/>
                <w:b w:val="0"/>
                <w:i w:val="0"/>
                <w:color w:val="1E293B"/>
                <w:sz w:val="20"/>
              </w:rPr>
              <w:t>XGBoost (Sqrt-Dampened)</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296"/>
            <w:shd w:fill="F8FAFC"/>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008"/>
            <w:shd w:fill="F8FAFC"/>
            <w:tcMar>
              <w:top w:w="80" w:type="dxa"/>
              <w:bottom w:w="80" w:type="dxa"/>
              <w:left w:w="120" w:type="dxa"/>
              <w:right w:w="120" w:type="dxa"/>
            </w:tcMar>
          </w:tcPr>
          <w:p>
            <w:pPr>
              <w:jc w:val="left"/>
            </w:pPr>
            <w:r>
              <w:rPr>
                <w:rFonts w:ascii="Times New Roman" w:hAnsi="Times New Roman"/>
                <w:b w:val="0"/>
                <w:i w:val="0"/>
                <w:color w:val="1E293B"/>
                <w:sz w:val="20"/>
              </w:rPr>
              <w:t>1.0000</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1.0000</w:t>
            </w:r>
          </w:p>
        </w:tc>
      </w:tr>
      <w:tr>
        <w:tc>
          <w:tcPr>
            <w:tcW w:type="dxa" w:w="2880"/>
            <w:shd w:fill="FFFFFF"/>
            <w:tcMar>
              <w:top w:w="80" w:type="dxa"/>
              <w:bottom w:w="80" w:type="dxa"/>
              <w:left w:w="120" w:type="dxa"/>
              <w:right w:w="120" w:type="dxa"/>
            </w:tcMar>
          </w:tcPr>
          <w:p>
            <w:pPr>
              <w:jc w:val="left"/>
            </w:pPr>
            <w:r>
              <w:rPr>
                <w:rFonts w:ascii="Times New Roman" w:hAnsi="Times New Roman"/>
                <w:b w:val="0"/>
                <w:i w:val="0"/>
                <w:color w:val="1E293B"/>
                <w:sz w:val="20"/>
              </w:rPr>
              <w:t>Logistic Regression (Baseline)</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0.9905</w:t>
            </w:r>
          </w:p>
        </w:tc>
        <w:tc>
          <w:tcPr>
            <w:tcW w:type="dxa" w:w="1296"/>
            <w:shd w:fill="FFFFFF"/>
            <w:tcMar>
              <w:top w:w="80" w:type="dxa"/>
              <w:bottom w:w="80" w:type="dxa"/>
              <w:left w:w="120" w:type="dxa"/>
              <w:right w:w="120" w:type="dxa"/>
            </w:tcMar>
          </w:tcPr>
          <w:p>
            <w:pPr>
              <w:jc w:val="left"/>
            </w:pPr>
            <w:r>
              <w:rPr>
                <w:rFonts w:ascii="Times New Roman" w:hAnsi="Times New Roman"/>
                <w:b w:val="0"/>
                <w:i w:val="0"/>
                <w:color w:val="1E293B"/>
                <w:sz w:val="20"/>
              </w:rPr>
              <w:t>0.9850</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0.9880</w:t>
            </w:r>
          </w:p>
        </w:tc>
        <w:tc>
          <w:tcPr>
            <w:tcW w:type="dxa" w:w="1008"/>
            <w:shd w:fill="FFFFFF"/>
            <w:tcMar>
              <w:top w:w="80" w:type="dxa"/>
              <w:bottom w:w="80" w:type="dxa"/>
              <w:left w:w="120" w:type="dxa"/>
              <w:right w:w="120" w:type="dxa"/>
            </w:tcMar>
          </w:tcPr>
          <w:p>
            <w:pPr>
              <w:jc w:val="left"/>
            </w:pPr>
            <w:r>
              <w:rPr>
                <w:rFonts w:ascii="Times New Roman" w:hAnsi="Times New Roman"/>
                <w:b w:val="0"/>
                <w:i w:val="0"/>
                <w:color w:val="1E293B"/>
                <w:sz w:val="20"/>
              </w:rPr>
              <w:t>0.9780</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0.9760</w:t>
            </w:r>
          </w:p>
        </w:tc>
      </w:tr>
      <w:tr>
        <w:tc>
          <w:tcPr>
            <w:tcW w:type="dxa" w:w="2880"/>
            <w:shd w:fill="F8FAFC"/>
            <w:tcMar>
              <w:top w:w="80" w:type="dxa"/>
              <w:bottom w:w="80" w:type="dxa"/>
              <w:left w:w="120" w:type="dxa"/>
              <w:right w:w="120" w:type="dxa"/>
            </w:tcMar>
          </w:tcPr>
          <w:p>
            <w:pPr>
              <w:jc w:val="left"/>
            </w:pPr>
            <w:r>
              <w:rPr>
                <w:rFonts w:ascii="Times New Roman" w:hAnsi="Times New Roman"/>
                <w:b w:val="0"/>
                <w:i w:val="0"/>
                <w:color w:val="1E293B"/>
                <w:sz w:val="20"/>
              </w:rPr>
              <w:t>Graph Convolutional Net (GCN)</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0.9420</w:t>
            </w:r>
          </w:p>
        </w:tc>
        <w:tc>
          <w:tcPr>
            <w:tcW w:type="dxa" w:w="1296"/>
            <w:shd w:fill="F8FAFC"/>
            <w:tcMar>
              <w:top w:w="80" w:type="dxa"/>
              <w:bottom w:w="80" w:type="dxa"/>
              <w:left w:w="120" w:type="dxa"/>
              <w:right w:w="120" w:type="dxa"/>
            </w:tcMar>
          </w:tcPr>
          <w:p>
            <w:pPr>
              <w:jc w:val="left"/>
            </w:pPr>
            <w:r>
              <w:rPr>
                <w:rFonts w:ascii="Times New Roman" w:hAnsi="Times New Roman"/>
                <w:b w:val="0"/>
                <w:i w:val="0"/>
                <w:color w:val="1E293B"/>
                <w:sz w:val="20"/>
              </w:rPr>
              <w:t>0.9150</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0.9280</w:t>
            </w:r>
          </w:p>
        </w:tc>
        <w:tc>
          <w:tcPr>
            <w:tcW w:type="dxa" w:w="1008"/>
            <w:shd w:fill="F8FAFC"/>
            <w:tcMar>
              <w:top w:w="80" w:type="dxa"/>
              <w:bottom w:w="80" w:type="dxa"/>
              <w:left w:w="120" w:type="dxa"/>
              <w:right w:w="120" w:type="dxa"/>
            </w:tcMar>
          </w:tcPr>
          <w:p>
            <w:pPr>
              <w:jc w:val="left"/>
            </w:pPr>
            <w:r>
              <w:rPr>
                <w:rFonts w:ascii="Times New Roman" w:hAnsi="Times New Roman"/>
                <w:b w:val="0"/>
                <w:i w:val="0"/>
                <w:color w:val="1E293B"/>
                <w:sz w:val="20"/>
              </w:rPr>
              <w:t>0.8950</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0.8920</w:t>
            </w:r>
          </w:p>
        </w:tc>
      </w:tr>
      <w:tr>
        <w:tc>
          <w:tcPr>
            <w:tcW w:type="dxa" w:w="2880"/>
            <w:shd w:fill="FFFFFF"/>
            <w:tcMar>
              <w:top w:w="80" w:type="dxa"/>
              <w:bottom w:w="80" w:type="dxa"/>
              <w:left w:w="120" w:type="dxa"/>
              <w:right w:w="120" w:type="dxa"/>
            </w:tcMar>
          </w:tcPr>
          <w:p>
            <w:pPr>
              <w:jc w:val="left"/>
            </w:pPr>
            <w:r>
              <w:rPr>
                <w:rFonts w:ascii="Times New Roman" w:hAnsi="Times New Roman"/>
                <w:b w:val="0"/>
                <w:i w:val="0"/>
                <w:color w:val="1E293B"/>
                <w:sz w:val="20"/>
              </w:rPr>
              <w:t>GraphSAGE (Inductive)</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0.9580</w:t>
            </w:r>
          </w:p>
        </w:tc>
        <w:tc>
          <w:tcPr>
            <w:tcW w:type="dxa" w:w="1296"/>
            <w:shd w:fill="FFFFFF"/>
            <w:tcMar>
              <w:top w:w="80" w:type="dxa"/>
              <w:bottom w:w="80" w:type="dxa"/>
              <w:left w:w="120" w:type="dxa"/>
              <w:right w:w="120" w:type="dxa"/>
            </w:tcMar>
          </w:tcPr>
          <w:p>
            <w:pPr>
              <w:jc w:val="left"/>
            </w:pPr>
            <w:r>
              <w:rPr>
                <w:rFonts w:ascii="Times New Roman" w:hAnsi="Times New Roman"/>
                <w:b w:val="0"/>
                <w:i w:val="0"/>
                <w:color w:val="1E293B"/>
                <w:sz w:val="20"/>
              </w:rPr>
              <w:t>0.9320</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0.9410</w:t>
            </w:r>
          </w:p>
        </w:tc>
        <w:tc>
          <w:tcPr>
            <w:tcW w:type="dxa" w:w="1008"/>
            <w:shd w:fill="FFFFFF"/>
            <w:tcMar>
              <w:top w:w="80" w:type="dxa"/>
              <w:bottom w:w="80" w:type="dxa"/>
              <w:left w:w="120" w:type="dxa"/>
              <w:right w:w="120" w:type="dxa"/>
            </w:tcMar>
          </w:tcPr>
          <w:p>
            <w:pPr>
              <w:jc w:val="left"/>
            </w:pPr>
            <w:r>
              <w:rPr>
                <w:rFonts w:ascii="Times New Roman" w:hAnsi="Times New Roman"/>
                <w:b w:val="0"/>
                <w:i w:val="0"/>
                <w:color w:val="1E293B"/>
                <w:sz w:val="20"/>
              </w:rPr>
              <w:t>0.9120</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0.9080</w:t>
            </w:r>
          </w:p>
        </w:tc>
      </w:tr>
      <w:tr>
        <w:tc>
          <w:tcPr>
            <w:tcW w:type="dxa" w:w="2880"/>
            <w:shd w:fill="F8FAFC"/>
            <w:tcMar>
              <w:top w:w="80" w:type="dxa"/>
              <w:bottom w:w="80" w:type="dxa"/>
              <w:left w:w="120" w:type="dxa"/>
              <w:right w:w="120" w:type="dxa"/>
            </w:tcMar>
          </w:tcPr>
          <w:p>
            <w:pPr>
              <w:jc w:val="left"/>
            </w:pPr>
            <w:r>
              <w:rPr>
                <w:rFonts w:ascii="Times New Roman" w:hAnsi="Times New Roman"/>
                <w:b w:val="0"/>
                <w:i w:val="0"/>
                <w:color w:val="1E293B"/>
                <w:sz w:val="20"/>
              </w:rPr>
              <w:t>Graph Attention Net (GAT)</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0.9510</w:t>
            </w:r>
          </w:p>
        </w:tc>
        <w:tc>
          <w:tcPr>
            <w:tcW w:type="dxa" w:w="1296"/>
            <w:shd w:fill="F8FAFC"/>
            <w:tcMar>
              <w:top w:w="80" w:type="dxa"/>
              <w:bottom w:w="80" w:type="dxa"/>
              <w:left w:w="120" w:type="dxa"/>
              <w:right w:w="120" w:type="dxa"/>
            </w:tcMar>
          </w:tcPr>
          <w:p>
            <w:pPr>
              <w:jc w:val="left"/>
            </w:pPr>
            <w:r>
              <w:rPr>
                <w:rFonts w:ascii="Times New Roman" w:hAnsi="Times New Roman"/>
                <w:b w:val="0"/>
                <w:i w:val="0"/>
                <w:color w:val="1E293B"/>
                <w:sz w:val="20"/>
              </w:rPr>
              <w:t>0.9240</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0.9350</w:t>
            </w:r>
          </w:p>
        </w:tc>
        <w:tc>
          <w:tcPr>
            <w:tcW w:type="dxa" w:w="1008"/>
            <w:shd w:fill="F8FAFC"/>
            <w:tcMar>
              <w:top w:w="80" w:type="dxa"/>
              <w:bottom w:w="80" w:type="dxa"/>
              <w:left w:w="120" w:type="dxa"/>
              <w:right w:w="120" w:type="dxa"/>
            </w:tcMar>
          </w:tcPr>
          <w:p>
            <w:pPr>
              <w:jc w:val="left"/>
            </w:pPr>
            <w:r>
              <w:rPr>
                <w:rFonts w:ascii="Times New Roman" w:hAnsi="Times New Roman"/>
                <w:b w:val="0"/>
                <w:i w:val="0"/>
                <w:color w:val="1E293B"/>
                <w:sz w:val="20"/>
              </w:rPr>
              <w:t>0.9040</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0.9010</w:t>
            </w:r>
          </w:p>
        </w:tc>
      </w:tr>
    </w:tbl>
    <w:p>
      <w:pPr>
        <w:spacing w:after="120"/>
      </w:pP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4.2 ]</w:t>
              <w:br/>
            </w:r>
            <w:r>
              <w:rPr>
                <w:rFonts w:ascii="Times New Roman" w:hAnsi="Times New Roman"/>
                <w:b/>
                <w:i w:val="0"/>
                <w:color w:val="C4122F"/>
                <w:sz w:val="24"/>
              </w:rPr>
              <w:t>Confusion Matrix of Random Forest Classifier on Held-Out Test Split (N=317)</w:t>
              <w:br/>
              <w:br/>
            </w:r>
            <w:r>
              <w:rPr>
                <w:rFonts w:ascii="Times New Roman" w:hAnsi="Times New Roman"/>
                <w:b w:val="0"/>
                <w:i/>
                <w:color w:val="475569"/>
                <w:sz w:val="20"/>
              </w:rPr>
              <w:t>Instructions for Image Insertion:</w:t>
              <w:br/>
              <w:t>Insert Confusion Matrix Graphic showing 261 True Normal, 38 True Mule, 18 True Fraudster, 0 False Positives.</w:t>
              <w:br/>
            </w:r>
          </w:p>
        </w:tc>
      </w:tr>
    </w:tbl>
    <w:p>
      <w:pPr>
        <w:spacing w:before="80" w:after="240"/>
        <w:jc w:val="center"/>
      </w:pPr>
      <w:r>
        <w:rPr>
          <w:rFonts w:ascii="Times New Roman" w:hAnsi="Times New Roman"/>
          <w:b/>
          <w:i/>
          <w:color w:val="002147"/>
          <w:sz w:val="21"/>
        </w:rPr>
        <w:t>Figure 4.2: Confusion Matrix of Random Forest Classifier on Held-Out Test Split (N=317)</w:t>
      </w:r>
    </w:p>
    <w:p>
      <w:pPr>
        <w:keepNext/>
        <w:spacing w:before="280" w:after="120"/>
      </w:pPr>
      <w:r>
        <w:rPr>
          <w:rFonts w:ascii="Times New Roman" w:hAnsi="Times New Roman"/>
          <w:b/>
          <w:i w:val="0"/>
          <w:color w:val="002147"/>
          <w:sz w:val="27"/>
        </w:rPr>
        <w:t>4.4 Implementation Manual &amp; Officer SOP Guidelines</w:t>
      </w:r>
    </w:p>
    <w:p>
      <w:pPr>
        <w:spacing w:before="0" w:after="120" w:line="360" w:lineRule="auto"/>
        <w:jc w:val="left"/>
      </w:pPr>
      <w:r>
        <w:rPr>
          <w:rFonts w:ascii="Times New Roman" w:hAnsi="Times New Roman"/>
          <w:b w:val="0"/>
          <w:i w:val="0"/>
          <w:color w:val="1E293B"/>
          <w:sz w:val="24"/>
        </w:rPr>
        <w:t>The deployment process requires cloning the repository, creating a Python 3.10 virtual environment, running 'pip install -r requirements.txt', and launching via 'streamlit run app.py'. Investigating officers follow a 5-step SOP: Alert Triage → Network Graph Reconstruction → Interstate Crime GIS Tracking → Multi-Hop Trail Attribution → Statutory Section 106 BNSS Notice Generation.</w:t>
      </w:r>
    </w:p>
    <w:p>
      <w:r>
        <w:br w:type="page"/>
      </w:r>
    </w:p>
    <w:p>
      <w:pPr>
        <w:keepNext/>
        <w:spacing w:before="360" w:after="160"/>
      </w:pPr>
      <w:r>
        <w:rPr>
          <w:rFonts w:ascii="Times New Roman" w:hAnsi="Times New Roman"/>
          <w:b/>
          <w:i w:val="0"/>
          <w:color w:val="002147"/>
          <w:sz w:val="32"/>
        </w:rPr>
        <w:t>CHAPTER 5: CONCLUSION &amp; FUTURE ENHANCEMENTS</w:t>
      </w:r>
    </w:p>
    <w:p>
      <w:pPr>
        <w:keepNext/>
        <w:spacing w:before="280" w:after="120"/>
      </w:pPr>
      <w:r>
        <w:rPr>
          <w:rFonts w:ascii="Times New Roman" w:hAnsi="Times New Roman"/>
          <w:b/>
          <w:i w:val="0"/>
          <w:color w:val="002147"/>
          <w:sz w:val="27"/>
        </w:rPr>
        <w:t>5.1 Project Summary</w:t>
      </w:r>
    </w:p>
    <w:p>
      <w:pPr>
        <w:spacing w:before="0" w:after="120" w:line="360" w:lineRule="auto"/>
        <w:jc w:val="left"/>
      </w:pPr>
      <w:r>
        <w:rPr>
          <w:rFonts w:ascii="Times New Roman" w:hAnsi="Times New Roman"/>
          <w:b w:val="0"/>
          <w:i w:val="0"/>
          <w:color w:val="1E293B"/>
          <w:sz w:val="24"/>
        </w:rPr>
        <w:t>Fin-Suraksha demonstrates that data analytics, forensic graph mining, and explainable machine learning can effectively bridge the operational gap in financial cybercrime investigation. By replacing manual spreadsheet cross-referencing with automated topological attribution, the platform drastically cuts down investigation time while producing court-admissible dossiers.</w:t>
      </w:r>
    </w:p>
    <w:p>
      <w:pPr>
        <w:keepNext/>
        <w:spacing w:before="280" w:after="120"/>
      </w:pPr>
      <w:r>
        <w:rPr>
          <w:rFonts w:ascii="Times New Roman" w:hAnsi="Times New Roman"/>
          <w:b/>
          <w:i w:val="0"/>
          <w:color w:val="002147"/>
          <w:sz w:val="27"/>
        </w:rPr>
        <w:t>5.2 Hardware and Software Specifications</w:t>
      </w:r>
    </w:p>
    <w:p>
      <w:pPr>
        <w:spacing w:before="0" w:after="120" w:line="360" w:lineRule="auto"/>
        <w:jc w:val="left"/>
      </w:pPr>
      <w:r>
        <w:rPr>
          <w:rFonts w:ascii="Times New Roman" w:hAnsi="Times New Roman"/>
          <w:b w:val="0"/>
          <w:i w:val="0"/>
          <w:color w:val="1E293B"/>
          <w:sz w:val="24"/>
        </w:rPr>
        <w:t>The system requires a Windows 10/11 workstation, Python 3.10+, 8 GB RAM minimum, and 5 GB storage. It operates fully offline with zero external database dependencies.</w:t>
      </w:r>
    </w:p>
    <w:p>
      <w:pPr>
        <w:keepNext/>
        <w:spacing w:before="280" w:after="120"/>
      </w:pPr>
      <w:r>
        <w:rPr>
          <w:rFonts w:ascii="Times New Roman" w:hAnsi="Times New Roman"/>
          <w:b/>
          <w:i w:val="0"/>
          <w:color w:val="002147"/>
          <w:sz w:val="27"/>
        </w:rPr>
        <w:t>5.3 Limitations</w:t>
      </w:r>
    </w:p>
    <w:p>
      <w:pPr>
        <w:spacing w:before="0" w:after="120" w:line="360" w:lineRule="auto"/>
        <w:jc w:val="left"/>
      </w:pPr>
      <w:r>
        <w:rPr>
          <w:rFonts w:ascii="Times New Roman" w:hAnsi="Times New Roman"/>
          <w:b w:val="0"/>
          <w:i w:val="0"/>
          <w:color w:val="1E293B"/>
          <w:sz w:val="24"/>
        </w:rPr>
        <w:t>1. Synthetic Data: Evaluation was conducted on a synthetic Indian banking dataset due to live case confidentiality.</w:t>
        <w:br/>
        <w:t>2. Isolated Entities: 216 accounts in the dataset possess zero recorded transactions and are excluded from graph-based modeling.</w:t>
        <w:br/>
        <w:t>3. Standalone Prototype: The current version does not interface directly with live core-banking CBS or telecom carrier LERS APIs.</w:t>
      </w:r>
    </w:p>
    <w:p>
      <w:pPr>
        <w:keepNext/>
        <w:spacing w:before="280" w:after="120"/>
      </w:pPr>
      <w:r>
        <w:rPr>
          <w:rFonts w:ascii="Times New Roman" w:hAnsi="Times New Roman"/>
          <w:b/>
          <w:i w:val="0"/>
          <w:color w:val="002147"/>
          <w:sz w:val="27"/>
        </w:rPr>
        <w:t>5.4 Future Scope for Modification</w:t>
      </w:r>
    </w:p>
    <w:p>
      <w:pPr>
        <w:spacing w:before="0" w:after="120" w:line="360" w:lineRule="auto"/>
        <w:jc w:val="left"/>
      </w:pPr>
      <w:r>
        <w:rPr>
          <w:rFonts w:ascii="Times New Roman" w:hAnsi="Times New Roman"/>
          <w:b w:val="0"/>
          <w:i w:val="0"/>
          <w:color w:val="1E293B"/>
          <w:sz w:val="24"/>
        </w:rPr>
        <w:t>Future enhancements include integrating live NCRP/1930 API feeds, implementing Temporal Dynamic Graph Neural Networks (TGNNs) for streaming transaction analysis, and packaging the application as a Docker container for rapid station-level deployment.</w:t>
      </w:r>
    </w:p>
    <w:p>
      <w:pPr>
        <w:keepNext/>
        <w:spacing w:before="280" w:after="120"/>
      </w:pPr>
      <w:r>
        <w:rPr>
          <w:rFonts w:ascii="Times New Roman" w:hAnsi="Times New Roman"/>
          <w:b/>
          <w:i w:val="0"/>
          <w:color w:val="002147"/>
          <w:sz w:val="27"/>
        </w:rPr>
        <w:t>5.5 References &amp; Statutory Bibliography</w:t>
      </w:r>
    </w:p>
    <w:p>
      <w:pPr>
        <w:spacing w:before="0" w:after="120" w:line="360" w:lineRule="auto"/>
        <w:jc w:val="left"/>
      </w:pPr>
      <w:r>
        <w:rPr>
          <w:rFonts w:ascii="Times New Roman" w:hAnsi="Times New Roman"/>
          <w:b w:val="0"/>
          <w:i w:val="0"/>
          <w:color w:val="1E293B"/>
          <w:sz w:val="24"/>
        </w:rPr>
        <w:t>1. Bharatiya Nagarik Suraksha Sanhita (BNSS), 2023, Sections 79, 94, 106, Government of India.</w:t>
        <w:br/>
        <w:t>2. Bharatiya Nyaya Sanhita (BNS), 2023, Sections 316, 318, Government of India.</w:t>
        <w:br/>
        <w:t>3. Information Technology Act, 2000 (as amended), Section 66D, Government of India.</w:t>
        <w:br/>
        <w:t>4. Reserve Bank of India (RBI). Guidelines on Digital Payment Fraud Risk Management, 2024.</w:t>
        <w:br/>
        <w:t>5. Lundberg, S. M., &amp; Lee, S. I. (2017). A Unified Approach to Interpreting Model Predictions. NeurIPS.</w:t>
        <w:br/>
        <w:t>6. Kipf, T. N., &amp; Welling, M. (2017). Semi-Supervised Classification with Graph Convolutional Networks. ICLR.</w:t>
        <w:br/>
        <w:t>7. Hamilton, W., Ying, Z., &amp; Leskovec, J. (2017). Inductive Representation Learning on Large Graphs. NeurIPS.</w:t>
      </w:r>
    </w:p>
    <w:p>
      <w:r>
        <w:br w:type="page"/>
      </w:r>
    </w:p>
    <w:p>
      <w:pPr>
        <w:keepNext/>
        <w:spacing w:before="360" w:after="160"/>
      </w:pPr>
      <w:r>
        <w:rPr>
          <w:rFonts w:ascii="Times New Roman" w:hAnsi="Times New Roman"/>
          <w:b/>
          <w:i w:val="0"/>
          <w:color w:val="002147"/>
          <w:sz w:val="32"/>
        </w:rPr>
        <w:t>CHAPTER 6: ANNEXURES</w:t>
      </w:r>
    </w:p>
    <w:p>
      <w:pPr>
        <w:keepNext/>
        <w:spacing w:before="280" w:after="120"/>
      </w:pPr>
      <w:r>
        <w:rPr>
          <w:rFonts w:ascii="Times New Roman" w:hAnsi="Times New Roman"/>
          <w:b/>
          <w:i w:val="0"/>
          <w:color w:val="002147"/>
          <w:sz w:val="27"/>
        </w:rPr>
        <w:t>ANNEXURE A-1: MENU FLOW DIAGRAM</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A-1 ]</w:t>
              <w:br/>
            </w:r>
            <w:r>
              <w:rPr>
                <w:rFonts w:ascii="Times New Roman" w:hAnsi="Times New Roman"/>
                <w:b/>
                <w:i w:val="0"/>
                <w:color w:val="C4122F"/>
                <w:sz w:val="24"/>
              </w:rPr>
              <w:t>Fin-Suraksha Functional Menu Flow &amp; Navigation Hierarchy</w:t>
              <w:br/>
              <w:br/>
            </w:r>
            <w:r>
              <w:rPr>
                <w:rFonts w:ascii="Times New Roman" w:hAnsi="Times New Roman"/>
                <w:b w:val="0"/>
                <w:i/>
                <w:color w:val="475569"/>
                <w:sz w:val="20"/>
              </w:rPr>
              <w:t>Instructions for Image Insertion:</w:t>
              <w:br/>
              <w:t>Insert Menu Flow Hierarchy Diagram showing Login Screen → Persistent Sidebar (13 Modules) → Sub-tab views.</w:t>
              <w:br/>
            </w:r>
          </w:p>
        </w:tc>
      </w:tr>
    </w:tbl>
    <w:p>
      <w:pPr>
        <w:spacing w:before="80" w:after="240"/>
        <w:jc w:val="center"/>
      </w:pPr>
      <w:r>
        <w:rPr>
          <w:rFonts w:ascii="Times New Roman" w:hAnsi="Times New Roman"/>
          <w:b/>
          <w:i/>
          <w:color w:val="002147"/>
          <w:sz w:val="21"/>
        </w:rPr>
        <w:t>Figure A-1: Fin-Suraksha Functional Menu Flow &amp; Navigation Hierarchy</w:t>
      </w:r>
    </w:p>
    <w:p>
      <w:pPr>
        <w:keepNext/>
        <w:spacing w:before="280" w:after="120"/>
      </w:pPr>
      <w:r>
        <w:rPr>
          <w:rFonts w:ascii="Times New Roman" w:hAnsi="Times New Roman"/>
          <w:b/>
          <w:i w:val="0"/>
          <w:color w:val="002147"/>
          <w:sz w:val="27"/>
        </w:rPr>
        <w:t>ANNEXURE A-2: SYSTEM STRUCTURE CHART</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A-2 ]</w:t>
              <w:br/>
            </w:r>
            <w:r>
              <w:rPr>
                <w:rFonts w:ascii="Times New Roman" w:hAnsi="Times New Roman"/>
                <w:b/>
                <w:i w:val="0"/>
                <w:color w:val="C4122F"/>
                <w:sz w:val="24"/>
              </w:rPr>
              <w:t>System Control Hierarchy &amp; Principal Data Couples (Structure Chart)</w:t>
              <w:br/>
              <w:br/>
            </w:r>
            <w:r>
              <w:rPr>
                <w:rFonts w:ascii="Times New Roman" w:hAnsi="Times New Roman"/>
                <w:b w:val="0"/>
                <w:i/>
                <w:color w:val="475569"/>
                <w:sz w:val="20"/>
              </w:rPr>
              <w:t>Instructions for Image Insertion:</w:t>
              <w:br/>
              <w:t>Insert Structure Chart showing main() in app.py calling build_full_pipeline(), run_full_intelligence_pass(), and page view functions.</w:t>
              <w:br/>
            </w:r>
          </w:p>
        </w:tc>
      </w:tr>
    </w:tbl>
    <w:p>
      <w:pPr>
        <w:spacing w:before="80" w:after="240"/>
        <w:jc w:val="center"/>
      </w:pPr>
      <w:r>
        <w:rPr>
          <w:rFonts w:ascii="Times New Roman" w:hAnsi="Times New Roman"/>
          <w:b/>
          <w:i/>
          <w:color w:val="002147"/>
          <w:sz w:val="21"/>
        </w:rPr>
        <w:t>Figure A-2: System Control Hierarchy &amp; Principal Data Couples (Structure Chart)</w:t>
      </w:r>
    </w:p>
    <w:p>
      <w:pPr>
        <w:keepNext/>
        <w:spacing w:before="280" w:after="120"/>
      </w:pPr>
      <w:r>
        <w:rPr>
          <w:rFonts w:ascii="Times New Roman" w:hAnsi="Times New Roman"/>
          <w:b/>
          <w:i w:val="0"/>
          <w:color w:val="002147"/>
          <w:sz w:val="27"/>
        </w:rPr>
        <w:t>ANNEXURE A-3: DECISION TABLES &amp; TREES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A-3 ]</w:t>
              <w:br/>
            </w:r>
            <w:r>
              <w:rPr>
                <w:rFonts w:ascii="Times New Roman" w:hAnsi="Times New Roman"/>
                <w:b/>
                <w:i w:val="0"/>
                <w:color w:val="C4122F"/>
                <w:sz w:val="24"/>
              </w:rPr>
              <w:t>Risk-Tier Decision Tree &amp; Statutory Notice Routing Logic</w:t>
              <w:br/>
              <w:br/>
            </w:r>
            <w:r>
              <w:rPr>
                <w:rFonts w:ascii="Times New Roman" w:hAnsi="Times New Roman"/>
                <w:b w:val="0"/>
                <w:i/>
                <w:color w:val="475569"/>
                <w:sz w:val="20"/>
              </w:rPr>
              <w:t>Instructions for Image Insertion:</w:t>
              <w:br/>
              <w:t>Insert Decision Tree Diagram showing ensemble_risk_score thresholds (&gt;=80 Critical, &gt;=60 High, &gt;=35 Medium, &lt;35 Low) routing to Sec 106 BNSS Freeze Notice or Sec 94 BNSS Production Order.</w:t>
              <w:br/>
            </w:r>
          </w:p>
        </w:tc>
      </w:tr>
    </w:tbl>
    <w:p>
      <w:pPr>
        <w:spacing w:before="80" w:after="240"/>
        <w:jc w:val="center"/>
      </w:pPr>
      <w:r>
        <w:rPr>
          <w:rFonts w:ascii="Times New Roman" w:hAnsi="Times New Roman"/>
          <w:b/>
          <w:i/>
          <w:color w:val="002147"/>
          <w:sz w:val="21"/>
        </w:rPr>
        <w:t>Figure A-3: Risk-Tier Decision Tree &amp; Statutory Notice Routing Logic</w:t>
      </w:r>
    </w:p>
    <w:p>
      <w:pPr>
        <w:keepNext/>
        <w:spacing w:before="280" w:after="120"/>
      </w:pPr>
      <w:r>
        <w:rPr>
          <w:rFonts w:ascii="Times New Roman" w:hAnsi="Times New Roman"/>
          <w:b/>
          <w:i w:val="0"/>
          <w:color w:val="002147"/>
          <w:sz w:val="27"/>
        </w:rPr>
        <w:t>ANNEXURE A-4: COMPREHENSIVE DATA DICTIONARY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02147"/>
            <w:tcMar>
              <w:top w:w="120" w:type="dxa"/>
              <w:bottom w:w="120" w:type="dxa"/>
              <w:left w:w="140" w:type="dxa"/>
              <w:right w:w="140" w:type="dxa"/>
            </w:tcMar>
          </w:tcPr>
          <w:p>
            <w:pPr>
              <w:jc w:val="center"/>
            </w:pPr>
            <w:r>
              <w:rPr>
                <w:rFonts w:ascii="Times New Roman" w:hAnsi="Times New Roman"/>
                <w:b/>
                <w:i w:val="0"/>
                <w:color w:val="FFFFFF"/>
                <w:sz w:val="21"/>
              </w:rPr>
              <w:t>Table Name</w:t>
            </w:r>
          </w:p>
        </w:tc>
        <w:tc>
          <w:tcPr>
            <w:tcW w:type="dxa" w:w="1584"/>
            <w:shd w:fill="002147"/>
            <w:tcMar>
              <w:top w:w="120" w:type="dxa"/>
              <w:bottom w:w="120" w:type="dxa"/>
              <w:left w:w="140" w:type="dxa"/>
              <w:right w:w="140" w:type="dxa"/>
            </w:tcMar>
          </w:tcPr>
          <w:p>
            <w:pPr>
              <w:jc w:val="center"/>
            </w:pPr>
            <w:r>
              <w:rPr>
                <w:rFonts w:ascii="Times New Roman" w:hAnsi="Times New Roman"/>
                <w:b/>
                <w:i w:val="0"/>
                <w:color w:val="FFFFFF"/>
                <w:sz w:val="21"/>
              </w:rPr>
              <w:t>Field Name</w:t>
            </w:r>
          </w:p>
        </w:tc>
        <w:tc>
          <w:tcPr>
            <w:tcW w:type="dxa" w:w="1152"/>
            <w:shd w:fill="002147"/>
            <w:tcMar>
              <w:top w:w="120" w:type="dxa"/>
              <w:bottom w:w="120" w:type="dxa"/>
              <w:left w:w="140" w:type="dxa"/>
              <w:right w:w="140" w:type="dxa"/>
            </w:tcMar>
          </w:tcPr>
          <w:p>
            <w:pPr>
              <w:jc w:val="center"/>
            </w:pPr>
            <w:r>
              <w:rPr>
                <w:rFonts w:ascii="Times New Roman" w:hAnsi="Times New Roman"/>
                <w:b/>
                <w:i w:val="0"/>
                <w:color w:val="FFFFFF"/>
                <w:sz w:val="21"/>
              </w:rPr>
              <w:t>Data Type</w:t>
            </w:r>
          </w:p>
        </w:tc>
        <w:tc>
          <w:tcPr>
            <w:tcW w:type="dxa" w:w="1584"/>
            <w:shd w:fill="002147"/>
            <w:tcMar>
              <w:top w:w="120" w:type="dxa"/>
              <w:bottom w:w="120" w:type="dxa"/>
              <w:left w:w="140" w:type="dxa"/>
              <w:right w:w="140" w:type="dxa"/>
            </w:tcMar>
          </w:tcPr>
          <w:p>
            <w:pPr>
              <w:jc w:val="center"/>
            </w:pPr>
            <w:r>
              <w:rPr>
                <w:rFonts w:ascii="Times New Roman" w:hAnsi="Times New Roman"/>
                <w:b/>
                <w:i w:val="0"/>
                <w:color w:val="FFFFFF"/>
                <w:sz w:val="21"/>
              </w:rPr>
              <w:t>Constraints</w:t>
            </w:r>
          </w:p>
        </w:tc>
        <w:tc>
          <w:tcPr>
            <w:tcW w:type="dxa" w:w="2592"/>
            <w:shd w:fill="002147"/>
            <w:tcMar>
              <w:top w:w="120" w:type="dxa"/>
              <w:bottom w:w="120" w:type="dxa"/>
              <w:left w:w="140" w:type="dxa"/>
              <w:right w:w="140" w:type="dxa"/>
            </w:tcMar>
          </w:tcPr>
          <w:p>
            <w:pPr>
              <w:jc w:val="center"/>
            </w:pPr>
            <w:r>
              <w:rPr>
                <w:rFonts w:ascii="Times New Roman" w:hAnsi="Times New Roman"/>
                <w:b/>
                <w:i w:val="0"/>
                <w:color w:val="FFFFFF"/>
                <w:sz w:val="21"/>
              </w:rPr>
              <w:t>Forensic Description</w:t>
            </w:r>
          </w:p>
        </w:tc>
      </w:tr>
      <w:tr>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CUSTOMERS</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customer_id</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PRIMARY KEY</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Unique customer identifier (CUST00001)</w:t>
            </w:r>
          </w:p>
        </w:tc>
      </w:tr>
      <w:tr>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ACCOUNTS</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account_id</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PRIMARY KEY</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Unique bank account number (ACC00001)</w:t>
            </w:r>
          </w:p>
        </w:tc>
      </w:tr>
      <w:tr>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ACCOUNTS</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customer_id</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FOREIGN KEY</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Links to CUSTOMERS.customer_id</w:t>
            </w:r>
          </w:p>
        </w:tc>
      </w:tr>
      <w:tr>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ACCOUNTS</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upi_id</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INDEXED</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Virtual payment address (user@upi)</w:t>
            </w:r>
          </w:p>
        </w:tc>
      </w:tr>
      <w:tr>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TRANSACTIONS</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transaction_id</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PRIMARY KEY</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Unique transaction ID (TXN_0000001)</w:t>
            </w:r>
          </w:p>
        </w:tc>
      </w:tr>
      <w:tr>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TRANSACTIONS</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src_account</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FOREIGN KEY</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Remitter account (Debited)</w:t>
            </w:r>
          </w:p>
        </w:tc>
      </w:tr>
      <w:tr>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TRANSACTIONS</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dst_account</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FOREIGN KEY</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Beneficiary account (Credited)</w:t>
            </w:r>
          </w:p>
        </w:tc>
      </w:tr>
      <w:tr>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TRANSACTIONS</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amount</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REAL</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CHECK(&gt;0)</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Transaction value in Indian Rupees (₹)</w:t>
            </w:r>
          </w:p>
        </w:tc>
      </w:tr>
      <w:tr>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TRANSACTIONS</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utr_number</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INDEXED</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12-digit Banking UTR reference code</w:t>
            </w:r>
          </w:p>
        </w:tc>
      </w:tr>
      <w:tr>
        <w:tc>
          <w:tcPr>
            <w:tcW w:type="dxa" w:w="1728"/>
            <w:shd w:fill="F8FAFC"/>
            <w:tcMar>
              <w:top w:w="80" w:type="dxa"/>
              <w:bottom w:w="80" w:type="dxa"/>
              <w:left w:w="120" w:type="dxa"/>
              <w:right w:w="120" w:type="dxa"/>
            </w:tcMar>
          </w:tcPr>
          <w:p>
            <w:pPr>
              <w:jc w:val="left"/>
            </w:pPr>
            <w:r>
              <w:rPr>
                <w:rFonts w:ascii="Times New Roman" w:hAnsi="Times New Roman"/>
                <w:b w:val="0"/>
                <w:i w:val="0"/>
                <w:color w:val="1E293B"/>
                <w:sz w:val="20"/>
              </w:rPr>
              <w:t>DEVICES</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device_id</w:t>
            </w:r>
          </w:p>
        </w:tc>
        <w:tc>
          <w:tcPr>
            <w:tcW w:type="dxa" w:w="1152"/>
            <w:shd w:fill="F8FAFC"/>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8FAFC"/>
            <w:tcMar>
              <w:top w:w="80" w:type="dxa"/>
              <w:bottom w:w="80" w:type="dxa"/>
              <w:left w:w="120" w:type="dxa"/>
              <w:right w:w="120" w:type="dxa"/>
            </w:tcMar>
          </w:tcPr>
          <w:p>
            <w:pPr>
              <w:jc w:val="left"/>
            </w:pPr>
            <w:r>
              <w:rPr>
                <w:rFonts w:ascii="Times New Roman" w:hAnsi="Times New Roman"/>
                <w:b w:val="0"/>
                <w:i w:val="0"/>
                <w:color w:val="1E293B"/>
                <w:sz w:val="20"/>
              </w:rPr>
              <w:t>PRIMARY KEY</w:t>
            </w:r>
          </w:p>
        </w:tc>
        <w:tc>
          <w:tcPr>
            <w:tcW w:type="dxa" w:w="2592"/>
            <w:shd w:fill="F8FAFC"/>
            <w:tcMar>
              <w:top w:w="80" w:type="dxa"/>
              <w:bottom w:w="80" w:type="dxa"/>
              <w:left w:w="120" w:type="dxa"/>
              <w:right w:w="120" w:type="dxa"/>
            </w:tcMar>
          </w:tcPr>
          <w:p>
            <w:pPr>
              <w:jc w:val="left"/>
            </w:pPr>
            <w:r>
              <w:rPr>
                <w:rFonts w:ascii="Times New Roman" w:hAnsi="Times New Roman"/>
                <w:b w:val="0"/>
                <w:i w:val="0"/>
                <w:color w:val="1E293B"/>
                <w:sz w:val="20"/>
              </w:rPr>
              <w:t>Hardware footprint ID (DEV00001)</w:t>
            </w:r>
          </w:p>
        </w:tc>
      </w:tr>
      <w:tr>
        <w:tc>
          <w:tcPr>
            <w:tcW w:type="dxa" w:w="1728"/>
            <w:shd w:fill="FFFFFF"/>
            <w:tcMar>
              <w:top w:w="80" w:type="dxa"/>
              <w:bottom w:w="80" w:type="dxa"/>
              <w:left w:w="120" w:type="dxa"/>
              <w:right w:w="120" w:type="dxa"/>
            </w:tcMar>
          </w:tcPr>
          <w:p>
            <w:pPr>
              <w:jc w:val="left"/>
            </w:pPr>
            <w:r>
              <w:rPr>
                <w:rFonts w:ascii="Times New Roman" w:hAnsi="Times New Roman"/>
                <w:b w:val="0"/>
                <w:i w:val="0"/>
                <w:color w:val="1E293B"/>
                <w:sz w:val="20"/>
              </w:rPr>
              <w:t>DEVICES</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imei</w:t>
            </w:r>
          </w:p>
        </w:tc>
        <w:tc>
          <w:tcPr>
            <w:tcW w:type="dxa" w:w="1152"/>
            <w:shd w:fill="FFFFFF"/>
            <w:tcMar>
              <w:top w:w="80" w:type="dxa"/>
              <w:bottom w:w="80" w:type="dxa"/>
              <w:left w:w="120" w:type="dxa"/>
              <w:right w:w="120" w:type="dxa"/>
            </w:tcMar>
          </w:tcPr>
          <w:p>
            <w:pPr>
              <w:jc w:val="left"/>
            </w:pPr>
            <w:r>
              <w:rPr>
                <w:rFonts w:ascii="Times New Roman" w:hAnsi="Times New Roman"/>
                <w:b w:val="0"/>
                <w:i w:val="0"/>
                <w:color w:val="1E293B"/>
                <w:sz w:val="20"/>
              </w:rPr>
              <w:t>TEXT</w:t>
            </w:r>
          </w:p>
        </w:tc>
        <w:tc>
          <w:tcPr>
            <w:tcW w:type="dxa" w:w="1584"/>
            <w:shd w:fill="FFFFFF"/>
            <w:tcMar>
              <w:top w:w="80" w:type="dxa"/>
              <w:bottom w:w="80" w:type="dxa"/>
              <w:left w:w="120" w:type="dxa"/>
              <w:right w:w="120" w:type="dxa"/>
            </w:tcMar>
          </w:tcPr>
          <w:p>
            <w:pPr>
              <w:jc w:val="left"/>
            </w:pPr>
            <w:r>
              <w:rPr>
                <w:rFonts w:ascii="Times New Roman" w:hAnsi="Times New Roman"/>
                <w:b w:val="0"/>
                <w:i w:val="0"/>
                <w:color w:val="1E293B"/>
                <w:sz w:val="20"/>
              </w:rPr>
              <w:t>NOT NULL</w:t>
            </w:r>
          </w:p>
        </w:tc>
        <w:tc>
          <w:tcPr>
            <w:tcW w:type="dxa" w:w="2592"/>
            <w:shd w:fill="FFFFFF"/>
            <w:tcMar>
              <w:top w:w="80" w:type="dxa"/>
              <w:bottom w:w="80" w:type="dxa"/>
              <w:left w:w="120" w:type="dxa"/>
              <w:right w:w="120" w:type="dxa"/>
            </w:tcMar>
          </w:tcPr>
          <w:p>
            <w:pPr>
              <w:jc w:val="left"/>
            </w:pPr>
            <w:r>
              <w:rPr>
                <w:rFonts w:ascii="Times New Roman" w:hAnsi="Times New Roman"/>
                <w:b w:val="0"/>
                <w:i w:val="0"/>
                <w:color w:val="1E293B"/>
                <w:sz w:val="20"/>
              </w:rPr>
              <w:t>15-digit mobile equipment identifier</w:t>
            </w:r>
          </w:p>
        </w:tc>
      </w:tr>
    </w:tbl>
    <w:p>
      <w:pPr>
        <w:spacing w:after="120"/>
      </w:pPr>
    </w:p>
    <w:p>
      <w:pPr>
        <w:keepNext/>
        <w:spacing w:before="280" w:after="120"/>
      </w:pPr>
      <w:r>
        <w:rPr>
          <w:rFonts w:ascii="Times New Roman" w:hAnsi="Times New Roman"/>
          <w:b/>
          <w:i w:val="0"/>
          <w:color w:val="002147"/>
          <w:sz w:val="27"/>
        </w:rPr>
        <w:t>ANNEXURE A-7: SAMPLE OUTPUTS &amp; CONSOLE MODULE SCREENSHOTS</w:t>
      </w:r>
    </w:p>
    <w:p>
      <w:pPr>
        <w:spacing w:before="0" w:after="120" w:line="360" w:lineRule="auto"/>
        <w:jc w:val="left"/>
      </w:pPr>
      <w:r>
        <w:rPr>
          <w:rFonts w:ascii="Times New Roman" w:hAnsi="Times New Roman"/>
          <w:b w:val="0"/>
          <w:i w:val="0"/>
          <w:color w:val="1E293B"/>
          <w:sz w:val="24"/>
        </w:rPr>
        <w:t>The following section provides dedicated visual insertion boxes for all 13 interactive functional modules: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A-7.1 ]</w:t>
              <w:br/>
            </w:r>
            <w:r>
              <w:rPr>
                <w:rFonts w:ascii="Times New Roman" w:hAnsi="Times New Roman"/>
                <w:b/>
                <w:i w:val="0"/>
                <w:color w:val="C4122F"/>
                <w:sz w:val="24"/>
              </w:rPr>
              <w:t>Module 1: Command Center Dashboard</w:t>
              <w:br/>
              <w:br/>
            </w:r>
            <w:r>
              <w:rPr>
                <w:rFonts w:ascii="Times New Roman" w:hAnsi="Times New Roman"/>
                <w:b w:val="0"/>
                <w:i/>
                <w:color w:val="475569"/>
                <w:sz w:val="20"/>
              </w:rPr>
              <w:t>Instructions for Image Insertion:</w:t>
              <w:br/>
              <w:t>Screenshot of Command Center displaying 4 KPI summary cards (1,584 accounts, active corridors, flagged mules) and recent activity audit log.</w:t>
              <w:br/>
            </w:r>
          </w:p>
        </w:tc>
      </w:tr>
    </w:tbl>
    <w:p>
      <w:pPr>
        <w:spacing w:before="80" w:after="240"/>
        <w:jc w:val="center"/>
      </w:pPr>
      <w:r>
        <w:rPr>
          <w:rFonts w:ascii="Times New Roman" w:hAnsi="Times New Roman"/>
          <w:b/>
          <w:i/>
          <w:color w:val="002147"/>
          <w:sz w:val="21"/>
        </w:rPr>
        <w:t>Figure A-7.1: Module 1: Command Center Dashboard</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A-7.2 ]</w:t>
              <w:br/>
            </w:r>
            <w:r>
              <w:rPr>
                <w:rFonts w:ascii="Times New Roman" w:hAnsi="Times New Roman"/>
                <w:b/>
                <w:i w:val="0"/>
                <w:color w:val="C4122F"/>
                <w:sz w:val="24"/>
              </w:rPr>
              <w:t>Module 2: Relational Data Management &amp; SQL Console</w:t>
              <w:br/>
              <w:br/>
            </w:r>
            <w:r>
              <w:rPr>
                <w:rFonts w:ascii="Times New Roman" w:hAnsi="Times New Roman"/>
                <w:b w:val="0"/>
                <w:i/>
                <w:color w:val="475569"/>
                <w:sz w:val="20"/>
              </w:rPr>
              <w:t>Instructions for Image Insertion:</w:t>
              <w:br/>
              <w:t>Screenshot of SQL Query Studio displaying interactive schema tree, table preview, and real-time SQL execution terminal.</w:t>
              <w:br/>
            </w:r>
          </w:p>
        </w:tc>
      </w:tr>
    </w:tbl>
    <w:p>
      <w:pPr>
        <w:spacing w:before="80" w:after="240"/>
        <w:jc w:val="center"/>
      </w:pPr>
      <w:r>
        <w:rPr>
          <w:rFonts w:ascii="Times New Roman" w:hAnsi="Times New Roman"/>
          <w:b/>
          <w:i/>
          <w:color w:val="002147"/>
          <w:sz w:val="21"/>
        </w:rPr>
        <w:t>Figure A-7.2: Module 2: Relational Data Management &amp; SQL Console</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A-7.3 ]</w:t>
              <w:br/>
            </w:r>
            <w:r>
              <w:rPr>
                <w:rFonts w:ascii="Times New Roman" w:hAnsi="Times New Roman"/>
                <w:b/>
                <w:i w:val="0"/>
                <w:color w:val="C4122F"/>
                <w:sz w:val="24"/>
              </w:rPr>
              <w:t>Module 3: Pre-Trained Model Performance Analytics</w:t>
              <w:br/>
              <w:br/>
            </w:r>
            <w:r>
              <w:rPr>
                <w:rFonts w:ascii="Times New Roman" w:hAnsi="Times New Roman"/>
                <w:b w:val="0"/>
                <w:i/>
                <w:color w:val="475569"/>
                <w:sz w:val="20"/>
              </w:rPr>
              <w:t>Instructions for Image Insertion:</w:t>
              <w:br/>
              <w:t>Screenshot of live ML evaluation dashboard displaying Comparative Model Metrics Table, Grouped Bar Chart, and interactive Confusion Matrix selector.</w:t>
              <w:br/>
            </w:r>
          </w:p>
        </w:tc>
      </w:tr>
    </w:tbl>
    <w:p>
      <w:pPr>
        <w:spacing w:before="80" w:after="240"/>
        <w:jc w:val="center"/>
      </w:pPr>
      <w:r>
        <w:rPr>
          <w:rFonts w:ascii="Times New Roman" w:hAnsi="Times New Roman"/>
          <w:b/>
          <w:i/>
          <w:color w:val="002147"/>
          <w:sz w:val="21"/>
        </w:rPr>
        <w:t>Figure A-7.3: Module 3: Pre-Trained Model Performance Analytics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A-7.4 ]</w:t>
              <w:br/>
            </w:r>
            <w:r>
              <w:rPr>
                <w:rFonts w:ascii="Times New Roman" w:hAnsi="Times New Roman"/>
                <w:b/>
                <w:i w:val="0"/>
                <w:color w:val="C4122F"/>
                <w:sz w:val="24"/>
              </w:rPr>
              <w:t>Module 4: Fraud Prediction &amp; 4-Class Attribution</w:t>
              <w:br/>
              <w:br/>
            </w:r>
            <w:r>
              <w:rPr>
                <w:rFonts w:ascii="Times New Roman" w:hAnsi="Times New Roman"/>
                <w:b w:val="0"/>
                <w:i/>
                <w:color w:val="475569"/>
                <w:sz w:val="20"/>
              </w:rPr>
              <w:t>Instructions for Image Insertion:</w:t>
              <w:br/>
              <w:t>Screenshot of 4-Class Attribution page showing single-account forensic lookup card and batch account scoring distribution.</w:t>
              <w:br/>
            </w:r>
          </w:p>
        </w:tc>
      </w:tr>
    </w:tbl>
    <w:p>
      <w:pPr>
        <w:spacing w:before="80" w:after="240"/>
        <w:jc w:val="center"/>
      </w:pPr>
      <w:r>
        <w:rPr>
          <w:rFonts w:ascii="Times New Roman" w:hAnsi="Times New Roman"/>
          <w:b/>
          <w:i/>
          <w:color w:val="002147"/>
          <w:sz w:val="21"/>
        </w:rPr>
        <w:t>Figure A-7.4: Module 4: Fraud Prediction &amp; 4-Class Attribution</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A-7.5 ]</w:t>
              <w:br/>
            </w:r>
            <w:r>
              <w:rPr>
                <w:rFonts w:ascii="Times New Roman" w:hAnsi="Times New Roman"/>
                <w:b/>
                <w:i w:val="0"/>
                <w:color w:val="C4122F"/>
                <w:sz w:val="24"/>
              </w:rPr>
              <w:t>Module 5: SHAP Feature Explainability</w:t>
              <w:br/>
              <w:br/>
            </w:r>
            <w:r>
              <w:rPr>
                <w:rFonts w:ascii="Times New Roman" w:hAnsi="Times New Roman"/>
                <w:b w:val="0"/>
                <w:i/>
                <w:color w:val="475569"/>
                <w:sz w:val="20"/>
              </w:rPr>
              <w:t>Instructions for Image Insertion:</w:t>
              <w:br/>
              <w:t>Screenshot of SHAP TreeExplainer waterfall and feature importance summary bar chart showing per-feature Shapley value contributions.</w:t>
              <w:br/>
            </w:r>
          </w:p>
        </w:tc>
      </w:tr>
    </w:tbl>
    <w:p>
      <w:pPr>
        <w:spacing w:before="80" w:after="240"/>
        <w:jc w:val="center"/>
      </w:pPr>
      <w:r>
        <w:rPr>
          <w:rFonts w:ascii="Times New Roman" w:hAnsi="Times New Roman"/>
          <w:b/>
          <w:i/>
          <w:color w:val="002147"/>
          <w:sz w:val="21"/>
        </w:rPr>
        <w:t>Figure A-7.5: Module 5: SHAP Feature Explainability</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A-7.6 ]</w:t>
              <w:br/>
            </w:r>
            <w:r>
              <w:rPr>
                <w:rFonts w:ascii="Times New Roman" w:hAnsi="Times New Roman"/>
                <w:b/>
                <w:i w:val="0"/>
                <w:color w:val="C4122F"/>
                <w:sz w:val="24"/>
              </w:rPr>
              <w:t>Module 6: Interactive Transaction Network Graph</w:t>
              <w:br/>
              <w:br/>
            </w:r>
            <w:r>
              <w:rPr>
                <w:rFonts w:ascii="Times New Roman" w:hAnsi="Times New Roman"/>
                <w:b w:val="0"/>
                <w:i/>
                <w:color w:val="475569"/>
                <w:sz w:val="20"/>
              </w:rPr>
              <w:t>Instructions for Image Insertion:</w:t>
              <w:br/>
              <w:t>Screenshot of Plotly Network Graph in Concentric Radial Rings layout with multi-hop layering, Node Deep Dive Inspector, and Itemized UTR Transaction Ledger.</w:t>
              <w:br/>
            </w:r>
          </w:p>
        </w:tc>
      </w:tr>
    </w:tbl>
    <w:p>
      <w:pPr>
        <w:spacing w:before="80" w:after="240"/>
        <w:jc w:val="center"/>
      </w:pPr>
      <w:r>
        <w:rPr>
          <w:rFonts w:ascii="Times New Roman" w:hAnsi="Times New Roman"/>
          <w:b/>
          <w:i/>
          <w:color w:val="002147"/>
          <w:sz w:val="21"/>
        </w:rPr>
        <w:t>Figure A-7.6: Module 6: Interactive Transaction Network Graph</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A-7.7 ]</w:t>
              <w:br/>
            </w:r>
            <w:r>
              <w:rPr>
                <w:rFonts w:ascii="Times New Roman" w:hAnsi="Times New Roman"/>
                <w:b/>
                <w:i w:val="0"/>
                <w:color w:val="C4122F"/>
                <w:sz w:val="24"/>
              </w:rPr>
              <w:t>Module 7: India Cybercrime Risk Map &amp; Corridors</w:t>
              <w:br/>
              <w:br/>
            </w:r>
            <w:r>
              <w:rPr>
                <w:rFonts w:ascii="Times New Roman" w:hAnsi="Times New Roman"/>
                <w:b w:val="0"/>
                <w:i/>
                <w:color w:val="475569"/>
                <w:sz w:val="20"/>
              </w:rPr>
              <w:t>Instructions for Image Insertion:</w:t>
              <w:br/>
              <w:t>Screenshot of Tab 1 All-India GIS Radar (Scattergeo) showing nationwide interstate crime corridors, Rohini HQ Command Star, and police precinct popups.</w:t>
              <w:br/>
            </w:r>
          </w:p>
        </w:tc>
      </w:tr>
    </w:tbl>
    <w:p>
      <w:pPr>
        <w:spacing w:before="80" w:after="240"/>
        <w:jc w:val="center"/>
      </w:pPr>
      <w:r>
        <w:rPr>
          <w:rFonts w:ascii="Times New Roman" w:hAnsi="Times New Roman"/>
          <w:b/>
          <w:i/>
          <w:color w:val="002147"/>
          <w:sz w:val="21"/>
        </w:rPr>
        <w:t>Figure A-7.7: Module 7: India Cybercrime Risk Map &amp; Corridors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A-7.8 ]</w:t>
              <w:br/>
            </w:r>
            <w:r>
              <w:rPr>
                <w:rFonts w:ascii="Times New Roman" w:hAnsi="Times New Roman"/>
                <w:b/>
                <w:i w:val="0"/>
                <w:color w:val="C4122F"/>
                <w:sz w:val="24"/>
              </w:rPr>
              <w:t>Module 8: Fraud Incident Timeline &amp; Nocturnal Stream Analysis</w:t>
              <w:br/>
              <w:br/>
            </w:r>
            <w:r>
              <w:rPr>
                <w:rFonts w:ascii="Times New Roman" w:hAnsi="Times New Roman"/>
                <w:b w:val="0"/>
                <w:i/>
                <w:color w:val="475569"/>
                <w:sz w:val="20"/>
              </w:rPr>
              <w:t>Instructions for Image Insertion:</w:t>
              <w:br/>
              <w:t>Screenshot of Chronological Timeline showing 24-hour transaction density and nocturnal 1 AM–4 AM anomaly spikes.</w:t>
              <w:br/>
            </w:r>
          </w:p>
        </w:tc>
      </w:tr>
    </w:tbl>
    <w:p>
      <w:pPr>
        <w:spacing w:before="80" w:after="240"/>
        <w:jc w:val="center"/>
      </w:pPr>
      <w:r>
        <w:rPr>
          <w:rFonts w:ascii="Times New Roman" w:hAnsi="Times New Roman"/>
          <w:b/>
          <w:i/>
          <w:color w:val="002147"/>
          <w:sz w:val="21"/>
        </w:rPr>
        <w:t>Figure A-7.8: Module 8: Fraud Incident Timeline &amp; Nocturnal Stream Analysis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A-7.9 ]</w:t>
              <w:br/>
            </w:r>
            <w:r>
              <w:rPr>
                <w:rFonts w:ascii="Times New Roman" w:hAnsi="Times New Roman"/>
                <w:b/>
                <w:i w:val="0"/>
                <w:color w:val="C4122F"/>
                <w:sz w:val="24"/>
              </w:rPr>
              <w:t>Module 9: Case Explorer &amp; Complete KYC Dossier</w:t>
              <w:br/>
              <w:br/>
            </w:r>
            <w:r>
              <w:rPr>
                <w:rFonts w:ascii="Times New Roman" w:hAnsi="Times New Roman"/>
                <w:b w:val="0"/>
                <w:i/>
                <w:color w:val="475569"/>
                <w:sz w:val="20"/>
              </w:rPr>
              <w:t>Instructions for Image Insertion:</w:t>
              <w:br/>
              <w:t>Screenshot of Searchable Case Explorer displaying customer KYC record, linked bank accounts, and seized hardware device fingerprints.</w:t>
              <w:br/>
            </w:r>
          </w:p>
        </w:tc>
      </w:tr>
    </w:tbl>
    <w:p>
      <w:pPr>
        <w:spacing w:before="80" w:after="240"/>
        <w:jc w:val="center"/>
      </w:pPr>
      <w:r>
        <w:rPr>
          <w:rFonts w:ascii="Times New Roman" w:hAnsi="Times New Roman"/>
          <w:b/>
          <w:i/>
          <w:color w:val="002147"/>
          <w:sz w:val="21"/>
        </w:rPr>
        <w:t>Figure A-7.9: Module 9: Case Explorer &amp; Complete KYC Dossier</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A-7.10 ]</w:t>
              <w:br/>
            </w:r>
            <w:r>
              <w:rPr>
                <w:rFonts w:ascii="Times New Roman" w:hAnsi="Times New Roman"/>
                <w:b/>
                <w:i w:val="0"/>
                <w:color w:val="C4122F"/>
                <w:sz w:val="24"/>
              </w:rPr>
              <w:t>Module 10: Investigation Mode: Multi-Hop Attribution</w:t>
              <w:br/>
              <w:br/>
            </w:r>
            <w:r>
              <w:rPr>
                <w:rFonts w:ascii="Times New Roman" w:hAnsi="Times New Roman"/>
                <w:b w:val="0"/>
                <w:i/>
                <w:color w:val="475569"/>
                <w:sz w:val="20"/>
              </w:rPr>
              <w:t>Instructions for Image Insertion:</w:t>
              <w:br/>
              <w:t>Screenshot of Multi-Hop Money Trail reconstruction tracing fund dispersal across 4 hops with running coordinator probability and CCTV retention alerts.</w:t>
              <w:br/>
            </w:r>
          </w:p>
        </w:tc>
      </w:tr>
    </w:tbl>
    <w:p>
      <w:pPr>
        <w:spacing w:before="80" w:after="240"/>
        <w:jc w:val="center"/>
      </w:pPr>
      <w:r>
        <w:rPr>
          <w:rFonts w:ascii="Times New Roman" w:hAnsi="Times New Roman"/>
          <w:b/>
          <w:i/>
          <w:color w:val="002147"/>
          <w:sz w:val="21"/>
        </w:rPr>
        <w:t>Figure A-7.10: Module 10: Investigation Mode: Multi-Hop Attribution</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A-7.11 ]</w:t>
              <w:br/>
            </w:r>
            <w:r>
              <w:rPr>
                <w:rFonts w:ascii="Times New Roman" w:hAnsi="Times New Roman"/>
                <w:b/>
                <w:i w:val="0"/>
                <w:color w:val="C4122F"/>
                <w:sz w:val="24"/>
              </w:rPr>
              <w:t>Module 11: Fraud Ring Detection &amp; Syndicate Roster</w:t>
              <w:br/>
              <w:br/>
            </w:r>
            <w:r>
              <w:rPr>
                <w:rFonts w:ascii="Times New Roman" w:hAnsi="Times New Roman"/>
                <w:b w:val="0"/>
                <w:i/>
                <w:color w:val="475569"/>
                <w:sz w:val="20"/>
              </w:rPr>
              <w:t>Instructions for Image Insertion:</w:t>
              <w:br/>
              <w:t>Screenshot of Louvain Modularity Syndicate Detection showing detected fraud ring clusters, member rosters, and mastermind coordinator identification.</w:t>
              <w:br/>
            </w:r>
          </w:p>
        </w:tc>
      </w:tr>
    </w:tbl>
    <w:p>
      <w:pPr>
        <w:spacing w:before="80" w:after="240"/>
        <w:jc w:val="center"/>
      </w:pPr>
      <w:r>
        <w:rPr>
          <w:rFonts w:ascii="Times New Roman" w:hAnsi="Times New Roman"/>
          <w:b/>
          <w:i/>
          <w:color w:val="002147"/>
          <w:sz w:val="21"/>
        </w:rPr>
        <w:t>Figure A-7.11: Module 11: Fraud Ring Detection &amp; Syndicate Roster</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A-7.12 ]</w:t>
              <w:br/>
            </w:r>
            <w:r>
              <w:rPr>
                <w:rFonts w:ascii="Times New Roman" w:hAnsi="Times New Roman"/>
                <w:b/>
                <w:i w:val="0"/>
                <w:color w:val="C4122F"/>
                <w:sz w:val="24"/>
              </w:rPr>
              <w:t>Module 12: Statistical Evaluation &amp; Benchmarks</w:t>
              <w:br/>
              <w:br/>
            </w:r>
            <w:r>
              <w:rPr>
                <w:rFonts w:ascii="Times New Roman" w:hAnsi="Times New Roman"/>
                <w:b w:val="0"/>
                <w:i/>
                <w:color w:val="475569"/>
                <w:sz w:val="20"/>
              </w:rPr>
              <w:t>Instructions for Image Insertion:</w:t>
              <w:br/>
              <w:t>Screenshot of ROC-AUC Curves, Precision-Recall curves, and Dampened Class Weighting analysis on the test split.</w:t>
              <w:br/>
            </w:r>
          </w:p>
        </w:tc>
      </w:tr>
    </w:tbl>
    <w:p>
      <w:pPr>
        <w:spacing w:before="80" w:after="240"/>
        <w:jc w:val="center"/>
      </w:pPr>
      <w:r>
        <w:rPr>
          <w:rFonts w:ascii="Times New Roman" w:hAnsi="Times New Roman"/>
          <w:b/>
          <w:i/>
          <w:color w:val="002147"/>
          <w:sz w:val="21"/>
        </w:rPr>
        <w:t>Figure A-7.12: Module 12: Statistical Evaluation &amp; Benchmarks</w:t>
      </w:r>
    </w:p>
    <w:tbl>
      <w:tblPr>
        <w:tblW w:type="auto" w:w="0"/>
        <w:jc w:val="center"/>
        <w:tblLook w:firstColumn="1" w:firstRow="1" w:lastColumn="0" w:lastRow="0" w:noHBand="0" w:noVBand="1" w:val="04A0"/>
      </w:tblPr>
      <w:tblGrid>
        <w:gridCol w:w="8640"/>
      </w:tblGrid>
      <w:tr>
        <w:tc>
          <w:tcPr>
            <w:tcW w:type="dxa" w:w="8352"/>
            <w:shd w:fill="F8FAFC"/>
            <w:tcMar>
              <w:top w:w="180" w:type="dxa"/>
              <w:bottom w:w="180" w:type="dxa"/>
              <w:left w:w="180" w:type="dxa"/>
              <w:right w:w="180" w:type="dxa"/>
            </w:tcMar>
            <w:tcBorders>
              <w:top w:val="dashed" w:sz="12" w:space="0" w:color="002147"/>
              <w:left w:val="dashed" w:sz="12" w:space="0" w:color="002147"/>
              <w:bottom w:val="dashed" w:sz="12" w:space="0" w:color="002147"/>
              <w:right w:val="dashed" w:sz="12" w:space="0" w:color="002147"/>
            </w:tcBorders>
          </w:tcPr>
          <w:p>
            <w:pPr>
              <w:spacing w:before="160" w:after="200"/>
              <w:jc w:val="center"/>
            </w:pPr>
            <w:r>
              <w:rPr>
                <w:rFonts w:ascii="Times New Roman" w:hAnsi="Times New Roman"/>
                <w:b/>
                <w:i w:val="0"/>
                <w:color w:val="002147"/>
                <w:sz w:val="22"/>
              </w:rPr>
              <w:t>[ PLACEHOLDER FOR IMAGE / DIAGRAM: A-7.13 ]</w:t>
              <w:br/>
            </w:r>
            <w:r>
              <w:rPr>
                <w:rFonts w:ascii="Times New Roman" w:hAnsi="Times New Roman"/>
                <w:b/>
                <w:i w:val="0"/>
                <w:color w:val="C4122F"/>
                <w:sz w:val="24"/>
              </w:rPr>
              <w:t>Module 13: Legal Notices, Case Reports &amp; Data Export</w:t>
              <w:br/>
              <w:br/>
            </w:r>
            <w:r>
              <w:rPr>
                <w:rFonts w:ascii="Times New Roman" w:hAnsi="Times New Roman"/>
                <w:b w:val="0"/>
                <w:i/>
                <w:color w:val="475569"/>
                <w:sz w:val="20"/>
              </w:rPr>
              <w:t>Instructions for Image Insertion:</w:t>
              <w:br/>
              <w:t>Screenshot of Legal Notice Generator showing official Section 106 BNSS Debit Freeze Notice and Court Remand Dossier PDF export.</w:t>
              <w:br/>
            </w:r>
          </w:p>
        </w:tc>
      </w:tr>
    </w:tbl>
    <w:p>
      <w:pPr>
        <w:spacing w:before="80" w:after="240"/>
        <w:jc w:val="center"/>
      </w:pPr>
      <w:r>
        <w:rPr>
          <w:rFonts w:ascii="Times New Roman" w:hAnsi="Times New Roman"/>
          <w:b/>
          <w:i/>
          <w:color w:val="002147"/>
          <w:sz w:val="21"/>
        </w:rPr>
        <w:t>Figure A-7.13: Module 13: Legal Notices, Case Reports &amp; Data Export</w:t>
      </w:r>
    </w:p>
    <w:p>
      <w:pPr>
        <w:keepNext/>
        <w:spacing w:before="280" w:after="120"/>
      </w:pPr>
      <w:r>
        <w:rPr>
          <w:rFonts w:ascii="Times New Roman" w:hAnsi="Times New Roman"/>
          <w:b/>
          <w:i w:val="0"/>
          <w:color w:val="002147"/>
          <w:sz w:val="27"/>
        </w:rPr>
        <w:t>ANNEXURE A-8: CORE SOURCE CODE SNIPPETS</w:t>
      </w:r>
    </w:p>
    <w:p>
      <w:pPr>
        <w:spacing w:before="160" w:after="40"/>
      </w:pPr>
      <w:r>
        <w:rPr>
          <w:rFonts w:ascii="Times New Roman" w:hAnsi="Times New Roman"/>
          <w:b/>
          <w:i w:val="0"/>
          <w:color w:val="002147"/>
          <w:sz w:val="22"/>
        </w:rPr>
        <w:t>Sample 1: Heuristic Risk Engine Ensemble Scoring (intelligence.py)</w:t>
      </w:r>
    </w:p>
    <w:tbl>
      <w:tblPr>
        <w:tblW w:type="auto" w:w="0"/>
        <w:jc w:val="center"/>
        <w:tblLook w:firstColumn="1" w:firstRow="1" w:lastColumn="0" w:lastRow="0" w:noHBand="0" w:noVBand="1" w:val="04A0"/>
      </w:tblPr>
      <w:tblGrid>
        <w:gridCol w:w="8640"/>
      </w:tblGrid>
      <w:tr>
        <w:tc>
          <w:tcPr>
            <w:tcW w:type="dxa" w:w="8352"/>
            <w:shd w:fill="F1F5F9"/>
            <w:tcMar>
              <w:top w:w="100" w:type="dxa"/>
              <w:bottom w:w="100" w:type="dxa"/>
              <w:left w:w="140" w:type="dxa"/>
              <w:right w:w="140" w:type="dxa"/>
            </w:tcMar>
          </w:tcPr>
          <w:p>
            <w:pPr>
              <w:spacing w:before="80" w:after="80" w:line="276" w:lineRule="auto"/>
            </w:pPr>
            <w:r>
              <w:rPr>
                <w:rFonts w:ascii="Courier New" w:hAnsi="Courier New"/>
                <w:b w:val="0"/>
                <w:i w:val="0"/>
                <w:color w:val="002147"/>
                <w:sz w:val="18"/>
              </w:rPr>
              <w:t>def evaluate_account(self, account_id):</w:t>
              <w:br/>
              <w:t xml:space="preserve">    dig_score, dig_ev = self.digital_engine.compute_digital_score(account_id)</w:t>
              <w:br/>
              <w:t xml:space="preserve">    phys_score, phys_ev = self.physical_engine.compute_physical_score(account_id)</w:t>
              <w:br/>
              <w:t xml:space="preserve">    net_score, net_ev = self.network_engine.compute_network_score(account_id)</w:t>
              <w:br/>
              <w:t xml:space="preserve">    rule_score, rule_ev = self.evaluate_rule_triggers(account_id)</w:t>
              <w:br/>
              <w:t xml:space="preserve">    ensemble = (0.25 * net_score + 0.25 * phys_score + 0.20 * dig_score + 0.15 * rule_score + 0.15 * beh_score)</w:t>
              <w:br/>
              <w:t xml:space="preserve">    tier = 'Critical' if ensemble &gt;= 80 else ('High' if ensemble &gt;= 60 else ('Medium' if ensemble &gt;= 35 else 'Low'))</w:t>
              <w:br/>
              <w:t xml:space="preserve">    return {'ensemble_score': round(ensemble, 1), 'risk_tier': tier, 'evidence': dig_ev + phys_ev + net_ev}</w:t>
              <w:br/>
            </w:r>
          </w:p>
        </w:tc>
      </w:tr>
    </w:tbl>
    <w:p>
      <w:pPr>
        <w:spacing w:after="120"/>
      </w:pPr>
    </w:p>
    <w:p>
      <w:pPr>
        <w:spacing w:before="160" w:after="40"/>
      </w:pPr>
      <w:r>
        <w:rPr>
          <w:rFonts w:ascii="Times New Roman" w:hAnsi="Times New Roman"/>
          <w:b/>
          <w:i w:val="0"/>
          <w:color w:val="002147"/>
          <w:sz w:val="22"/>
        </w:rPr>
        <w:t>Sample 2: Concentric Radial Shell Layout for Ego Networks (app.py)</w:t>
      </w:r>
    </w:p>
    <w:tbl>
      <w:tblPr>
        <w:tblW w:type="auto" w:w="0"/>
        <w:jc w:val="center"/>
        <w:tblLook w:firstColumn="1" w:firstRow="1" w:lastColumn="0" w:lastRow="0" w:noHBand="0" w:noVBand="1" w:val="04A0"/>
      </w:tblPr>
      <w:tblGrid>
        <w:gridCol w:w="8640"/>
      </w:tblGrid>
      <w:tr>
        <w:tc>
          <w:tcPr>
            <w:tcW w:type="dxa" w:w="8352"/>
            <w:shd w:fill="F1F5F9"/>
            <w:tcMar>
              <w:top w:w="100" w:type="dxa"/>
              <w:bottom w:w="100" w:type="dxa"/>
              <w:left w:w="140" w:type="dxa"/>
              <w:right w:w="140" w:type="dxa"/>
            </w:tcMar>
          </w:tcPr>
          <w:p>
            <w:pPr>
              <w:spacing w:before="80" w:after="80" w:line="276" w:lineRule="auto"/>
            </w:pPr>
            <w:r>
              <w:rPr>
                <w:rFonts w:ascii="Courier New" w:hAnsi="Courier New"/>
                <w:b w:val="0"/>
                <w:i w:val="0"/>
                <w:color w:val="002147"/>
                <w:sz w:val="18"/>
              </w:rPr>
              <w:t>if layout_mode == 'Concentric Radial Rings (Layering Hops)':</w:t>
              <w:br/>
              <w:t xml:space="preserve">    shells = [[center_acc]]</w:t>
              <w:br/>
              <w:t xml:space="preserve">    for h in range(1, ego_hops + 1):</w:t>
              <w:br/>
              <w:t xml:space="preserve">        shell_h = [n for n in G_sub.nodes() if hop_dist.get(n, 1) == h and n != center_acc]</w:t>
              <w:br/>
              <w:t xml:space="preserve">        if shell_h:</w:t>
              <w:br/>
              <w:t xml:space="preserve">            shells.append(shell_h)</w:t>
              <w:br/>
              <w:t xml:space="preserve">    pos = nx.shell_layout(G_sub, nlist=shells)</w:t>
              <w:br/>
            </w:r>
          </w:p>
        </w:tc>
      </w:tr>
    </w:tbl>
    <w:p>
      <w:pPr>
        <w:spacing w:after="120"/>
      </w:pP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748B"/>
        <w:sz w:val="21"/>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