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818E4" w14:textId="77777777" w:rsidR="000E74B0" w:rsidRDefault="000E74B0" w:rsidP="00B116A1">
      <w:pPr>
        <w:spacing w:after="0" w:line="240" w:lineRule="auto"/>
        <w:rPr>
          <w:b/>
          <w:bCs/>
        </w:rPr>
      </w:pPr>
    </w:p>
    <w:p w14:paraId="5C5C7A4C" w14:textId="071BA439" w:rsidR="0061728E" w:rsidRPr="00E84B0C" w:rsidRDefault="00B116A1" w:rsidP="000E74B0">
      <w:pPr>
        <w:spacing w:after="0" w:line="240" w:lineRule="auto"/>
        <w:jc w:val="center"/>
        <w:rPr>
          <w:rFonts w:ascii="Calibri" w:eastAsia="Times New Roman" w:hAnsi="Calibri" w:cs="Calibri"/>
          <w:b/>
          <w:bCs/>
          <w:color w:val="000000"/>
          <w:sz w:val="24"/>
          <w:szCs w:val="24"/>
          <w:lang w:eastAsia="en-GB"/>
        </w:rPr>
      </w:pPr>
      <w:r w:rsidRPr="00E84B0C">
        <w:rPr>
          <w:rFonts w:ascii="Calibri" w:eastAsia="Times New Roman" w:hAnsi="Calibri" w:cs="Calibri"/>
          <w:b/>
          <w:bCs/>
          <w:color w:val="000000"/>
          <w:sz w:val="24"/>
          <w:szCs w:val="24"/>
          <w:lang w:eastAsia="en-GB"/>
        </w:rPr>
        <w:t xml:space="preserve">Assessing </w:t>
      </w:r>
      <w:r w:rsidR="006C1934" w:rsidRPr="00E84B0C">
        <w:rPr>
          <w:rFonts w:ascii="Calibri" w:eastAsia="Times New Roman" w:hAnsi="Calibri" w:cs="Calibri"/>
          <w:b/>
          <w:bCs/>
          <w:color w:val="000000"/>
          <w:sz w:val="24"/>
          <w:szCs w:val="24"/>
          <w:lang w:eastAsia="en-GB"/>
        </w:rPr>
        <w:t xml:space="preserve">the </w:t>
      </w:r>
      <w:r w:rsidR="00AF0E69">
        <w:rPr>
          <w:rFonts w:ascii="Calibri" w:eastAsia="Times New Roman" w:hAnsi="Calibri" w:cs="Calibri"/>
          <w:b/>
          <w:bCs/>
          <w:color w:val="000000"/>
          <w:sz w:val="24"/>
          <w:szCs w:val="24"/>
          <w:lang w:eastAsia="en-GB"/>
        </w:rPr>
        <w:t>Impact</w:t>
      </w:r>
      <w:r w:rsidR="006C1934" w:rsidRPr="00E84B0C">
        <w:rPr>
          <w:rFonts w:ascii="Calibri" w:eastAsia="Times New Roman" w:hAnsi="Calibri" w:cs="Calibri"/>
          <w:b/>
          <w:bCs/>
          <w:color w:val="000000"/>
          <w:sz w:val="24"/>
          <w:szCs w:val="24"/>
          <w:lang w:eastAsia="en-GB"/>
        </w:rPr>
        <w:t xml:space="preserve"> of </w:t>
      </w:r>
      <w:r w:rsidR="00DC2341" w:rsidRPr="00E84B0C">
        <w:rPr>
          <w:rFonts w:ascii="Calibri" w:eastAsia="Times New Roman" w:hAnsi="Calibri" w:cs="Calibri"/>
          <w:b/>
          <w:bCs/>
          <w:color w:val="000000"/>
          <w:sz w:val="24"/>
          <w:szCs w:val="24"/>
          <w:lang w:eastAsia="en-GB"/>
        </w:rPr>
        <w:t>C</w:t>
      </w:r>
      <w:r w:rsidRPr="00E84B0C">
        <w:rPr>
          <w:rFonts w:ascii="Calibri" w:eastAsia="Times New Roman" w:hAnsi="Calibri" w:cs="Calibri"/>
          <w:b/>
          <w:bCs/>
          <w:color w:val="000000"/>
          <w:sz w:val="24"/>
          <w:szCs w:val="24"/>
          <w:lang w:eastAsia="en-GB"/>
        </w:rPr>
        <w:t xml:space="preserve">ardiovascular </w:t>
      </w:r>
      <w:r w:rsidR="00DC2341" w:rsidRPr="00E84B0C">
        <w:rPr>
          <w:rFonts w:ascii="Calibri" w:eastAsia="Times New Roman" w:hAnsi="Calibri" w:cs="Calibri"/>
          <w:b/>
          <w:bCs/>
          <w:color w:val="000000"/>
          <w:sz w:val="24"/>
          <w:szCs w:val="24"/>
          <w:lang w:eastAsia="en-GB"/>
        </w:rPr>
        <w:t>D</w:t>
      </w:r>
      <w:r w:rsidRPr="00E84B0C">
        <w:rPr>
          <w:rFonts w:ascii="Calibri" w:eastAsia="Times New Roman" w:hAnsi="Calibri" w:cs="Calibri"/>
          <w:b/>
          <w:bCs/>
          <w:color w:val="000000"/>
          <w:sz w:val="24"/>
          <w:szCs w:val="24"/>
          <w:lang w:eastAsia="en-GB"/>
        </w:rPr>
        <w:t xml:space="preserve">isease </w:t>
      </w:r>
      <w:r w:rsidR="00DC2341" w:rsidRPr="00E84B0C">
        <w:rPr>
          <w:rFonts w:ascii="Calibri" w:eastAsia="Times New Roman" w:hAnsi="Calibri" w:cs="Calibri"/>
          <w:b/>
          <w:bCs/>
          <w:color w:val="000000"/>
          <w:sz w:val="24"/>
          <w:szCs w:val="24"/>
          <w:lang w:eastAsia="en-GB"/>
        </w:rPr>
        <w:t>t</w:t>
      </w:r>
      <w:r w:rsidRPr="00E84B0C">
        <w:rPr>
          <w:rFonts w:ascii="Calibri" w:eastAsia="Times New Roman" w:hAnsi="Calibri" w:cs="Calibri"/>
          <w:b/>
          <w:bCs/>
          <w:color w:val="000000"/>
          <w:sz w:val="24"/>
          <w:szCs w:val="24"/>
          <w:lang w:eastAsia="en-GB"/>
        </w:rPr>
        <w:t xml:space="preserve">hrough </w:t>
      </w:r>
      <w:r w:rsidR="00DC2341" w:rsidRPr="00E84B0C">
        <w:rPr>
          <w:rFonts w:ascii="Calibri" w:eastAsia="Times New Roman" w:hAnsi="Calibri" w:cs="Calibri"/>
          <w:b/>
          <w:bCs/>
          <w:color w:val="000000"/>
          <w:sz w:val="24"/>
          <w:szCs w:val="24"/>
          <w:lang w:eastAsia="en-GB"/>
        </w:rPr>
        <w:t>M</w:t>
      </w:r>
      <w:r w:rsidRPr="00E84B0C">
        <w:rPr>
          <w:rFonts w:ascii="Calibri" w:eastAsia="Times New Roman" w:hAnsi="Calibri" w:cs="Calibri"/>
          <w:b/>
          <w:bCs/>
          <w:color w:val="000000"/>
          <w:sz w:val="24"/>
          <w:szCs w:val="24"/>
          <w:lang w:eastAsia="en-GB"/>
        </w:rPr>
        <w:t>edicines</w:t>
      </w:r>
    </w:p>
    <w:p w14:paraId="67B500F1" w14:textId="28ECD723" w:rsidR="00DC2341" w:rsidRDefault="00DC2341" w:rsidP="00DC2341">
      <w:pPr>
        <w:pStyle w:val="ListParagraph"/>
        <w:numPr>
          <w:ilvl w:val="0"/>
          <w:numId w:val="18"/>
        </w:numPr>
        <w:spacing w:after="0" w:line="240" w:lineRule="auto"/>
        <w:jc w:val="center"/>
        <w:rPr>
          <w:rFonts w:ascii="Calibri" w:eastAsia="Times New Roman" w:hAnsi="Calibri" w:cs="Calibri"/>
          <w:b/>
          <w:bCs/>
          <w:color w:val="000000"/>
          <w:sz w:val="24"/>
          <w:szCs w:val="24"/>
          <w:lang w:eastAsia="en-GB"/>
        </w:rPr>
      </w:pPr>
      <w:r w:rsidRPr="00E84B0C">
        <w:rPr>
          <w:rFonts w:ascii="Calibri" w:eastAsia="Times New Roman" w:hAnsi="Calibri" w:cs="Calibri"/>
          <w:b/>
          <w:bCs/>
          <w:color w:val="000000"/>
          <w:sz w:val="24"/>
          <w:szCs w:val="24"/>
          <w:lang w:eastAsia="en-GB"/>
        </w:rPr>
        <w:t>ANALYSIS PLAN</w:t>
      </w:r>
    </w:p>
    <w:p w14:paraId="2106119D" w14:textId="77777777" w:rsidR="00E85B45" w:rsidRDefault="00E85B45" w:rsidP="00E85B45">
      <w:pPr>
        <w:pStyle w:val="ListParagraph"/>
        <w:spacing w:after="0" w:line="240" w:lineRule="auto"/>
        <w:rPr>
          <w:rFonts w:ascii="Calibri" w:eastAsia="Times New Roman" w:hAnsi="Calibri" w:cs="Calibri"/>
          <w:b/>
          <w:bCs/>
          <w:color w:val="000000"/>
          <w:sz w:val="24"/>
          <w:szCs w:val="24"/>
          <w:lang w:eastAsia="en-GB"/>
        </w:rPr>
      </w:pPr>
    </w:p>
    <w:p w14:paraId="432F080F" w14:textId="0E7A5C6A" w:rsidR="00E84B0C" w:rsidRPr="00E84B0C" w:rsidRDefault="00E84B0C" w:rsidP="00DC2341">
      <w:pPr>
        <w:pStyle w:val="ListParagraph"/>
        <w:numPr>
          <w:ilvl w:val="0"/>
          <w:numId w:val="18"/>
        </w:numPr>
        <w:spacing w:after="0" w:line="240" w:lineRule="auto"/>
        <w:jc w:val="center"/>
        <w:rPr>
          <w:rFonts w:ascii="Calibri" w:eastAsia="Times New Roman" w:hAnsi="Calibri" w:cs="Calibri"/>
          <w:b/>
          <w:bCs/>
          <w:color w:val="000000"/>
          <w:sz w:val="24"/>
          <w:szCs w:val="24"/>
          <w:lang w:eastAsia="en-GB"/>
        </w:rPr>
      </w:pPr>
      <w:proofErr w:type="spellStart"/>
      <w:r>
        <w:rPr>
          <w:rFonts w:ascii="Calibri" w:eastAsia="Times New Roman" w:hAnsi="Calibri" w:cs="Calibri"/>
          <w:b/>
          <w:bCs/>
          <w:color w:val="000000"/>
          <w:sz w:val="24"/>
          <w:szCs w:val="24"/>
          <w:lang w:eastAsia="en-GB"/>
        </w:rPr>
        <w:t>Reecha</w:t>
      </w:r>
      <w:proofErr w:type="spellEnd"/>
      <w:r>
        <w:rPr>
          <w:rFonts w:ascii="Calibri" w:eastAsia="Times New Roman" w:hAnsi="Calibri" w:cs="Calibri"/>
          <w:b/>
          <w:bCs/>
          <w:color w:val="000000"/>
          <w:sz w:val="24"/>
          <w:szCs w:val="24"/>
          <w:lang w:eastAsia="en-GB"/>
        </w:rPr>
        <w:t xml:space="preserve"> </w:t>
      </w:r>
      <w:proofErr w:type="spellStart"/>
      <w:r>
        <w:rPr>
          <w:rFonts w:ascii="Calibri" w:eastAsia="Times New Roman" w:hAnsi="Calibri" w:cs="Calibri"/>
          <w:b/>
          <w:bCs/>
          <w:color w:val="000000"/>
          <w:sz w:val="24"/>
          <w:szCs w:val="24"/>
          <w:lang w:eastAsia="en-GB"/>
        </w:rPr>
        <w:t>Sofat</w:t>
      </w:r>
      <w:proofErr w:type="spellEnd"/>
      <w:r>
        <w:rPr>
          <w:rFonts w:ascii="Calibri" w:eastAsia="Times New Roman" w:hAnsi="Calibri" w:cs="Calibri"/>
          <w:b/>
          <w:bCs/>
          <w:color w:val="000000"/>
          <w:sz w:val="24"/>
          <w:szCs w:val="24"/>
          <w:lang w:eastAsia="en-GB"/>
        </w:rPr>
        <w:t xml:space="preserve">, Rohan Takhar, Caroline Dale, Michalis </w:t>
      </w:r>
      <w:proofErr w:type="spellStart"/>
      <w:r>
        <w:rPr>
          <w:rFonts w:ascii="Calibri" w:eastAsia="Times New Roman" w:hAnsi="Calibri" w:cs="Calibri"/>
          <w:b/>
          <w:bCs/>
          <w:color w:val="000000"/>
          <w:sz w:val="24"/>
          <w:szCs w:val="24"/>
          <w:lang w:eastAsia="en-GB"/>
        </w:rPr>
        <w:t>Katsoulis</w:t>
      </w:r>
      <w:proofErr w:type="spellEnd"/>
    </w:p>
    <w:p w14:paraId="6261983D" w14:textId="551A59F7" w:rsidR="00C21A0F" w:rsidRDefault="00C21A0F">
      <w:pPr>
        <w:rPr>
          <w:b/>
          <w:bCs/>
        </w:rPr>
      </w:pPr>
    </w:p>
    <w:p w14:paraId="6EFA3198" w14:textId="4BE3C0F5" w:rsidR="00C21A0F" w:rsidRDefault="00C21A0F">
      <w:pPr>
        <w:rPr>
          <w:b/>
          <w:bCs/>
        </w:rPr>
      </w:pPr>
    </w:p>
    <w:p w14:paraId="7B6E552F" w14:textId="77777777" w:rsidR="00E63620" w:rsidRDefault="00E63620">
      <w:pPr>
        <w:rPr>
          <w:b/>
          <w:bCs/>
        </w:rPr>
      </w:pPr>
    </w:p>
    <w:p w14:paraId="4F7F58A6" w14:textId="70601A44" w:rsidR="00B116A1" w:rsidRPr="000E74B0" w:rsidRDefault="00B116A1">
      <w:pPr>
        <w:rPr>
          <w:b/>
          <w:bCs/>
        </w:rPr>
      </w:pPr>
      <w:r w:rsidRPr="000E74B0">
        <w:rPr>
          <w:b/>
          <w:bCs/>
        </w:rPr>
        <w:t>Background:</w:t>
      </w:r>
    </w:p>
    <w:p w14:paraId="0FAD50A3" w14:textId="264A9897" w:rsidR="00625939" w:rsidRDefault="00625939" w:rsidP="00625939">
      <w:r>
        <w:t>Cardiovascular disease (CVD) remains the most com</w:t>
      </w:r>
      <w:r w:rsidR="00A52717">
        <w:t>m</w:t>
      </w:r>
      <w:r>
        <w:t>on cause of mortality and morbidity in the UK despite advances in both prevention and acute treatments. The numbers of acute CVD events admitted to acute care settings during the first phase of the COVID-19 pandemic fell, which followed trends in other diseases as well as GP attendances. The indirect effects of COVID on CVD are yet to be fully experienced or measured. Some of these estimates may not be available for many years and it therefore may be difficult to judge in the short term what these impacts might be for individuals as well as the health economy.</w:t>
      </w:r>
    </w:p>
    <w:p w14:paraId="06FB29BA" w14:textId="26D985DA" w:rsidR="00625939" w:rsidRDefault="00625939" w:rsidP="00625939">
      <w:r>
        <w:t>What is even more intangible are the reduction in treatment of CVD risk factors which, when adequately controlled, reduce the</w:t>
      </w:r>
      <w:r w:rsidR="00AF0E69">
        <w:t xml:space="preserve"> number</w:t>
      </w:r>
      <w:r>
        <w:t xml:space="preserve"> of CVD events. For example, high blood pressure accounts for half of all myocardial infarctions (MI) and strokes; having atrial fibrillation (AF) makes it five times more likely that an individual will have a stroke; and in those with diabetes (when adequately diagnosed), CVD is the leading cause of morbidity and premature mortality. </w:t>
      </w:r>
    </w:p>
    <w:p w14:paraId="6C7C73FF" w14:textId="13CEA651" w:rsidR="00625939" w:rsidRDefault="00625939" w:rsidP="00625939">
      <w:r>
        <w:t xml:space="preserve">Detection and treatment of risk factors has until now been through the Quality and Outcomes Framework (QOF), CVD health checks, and opportunistic screening most commonly in primary care. A Health Foundation analysis (using Clinical Practice Research Datalink, CPRD https://www.health.org.uk/news-and-comment/charts-and-infographics/use-of-primary-care-during-the-covid-19-pandemic) demonstrated that primary care visits fell an average of 30% from March-June 2020 with many of the existing visits being replaced by e- or telephone-consults. Primary care prescription pathways were also significantly affected, with repeat prescriptions spiking a week before the March lockdown and a reduction of new prescriptions following this. </w:t>
      </w:r>
    </w:p>
    <w:p w14:paraId="7D7AFD03" w14:textId="36E8F785" w:rsidR="00625939" w:rsidRDefault="00625939" w:rsidP="00625939">
      <w:r>
        <w:t xml:space="preserve">Medicines are the method by which most conditions are treated and or prevented. This is particularly true of chronic, long term conditions like CVD where control of risk factors can have a significant impact. If CVD risk factors are not being adequately detected and/ or treated this will logically lead to </w:t>
      </w:r>
      <w:r w:rsidR="00AF0E69">
        <w:t xml:space="preserve">more </w:t>
      </w:r>
      <w:r>
        <w:t xml:space="preserve">CVD </w:t>
      </w:r>
      <w:r w:rsidR="00AF0E69">
        <w:t xml:space="preserve">events </w:t>
      </w:r>
      <w:r>
        <w:t>in the future. Therefore, the reduction in new prescriptions for CVD risk factors could be used to model the impact o</w:t>
      </w:r>
      <w:r w:rsidR="00AF0E69">
        <w:t>n</w:t>
      </w:r>
      <w:r>
        <w:t xml:space="preserve"> CVD to come. </w:t>
      </w:r>
    </w:p>
    <w:p w14:paraId="72495432" w14:textId="54F4A95C" w:rsidR="00625939" w:rsidRDefault="00625939" w:rsidP="00625939">
      <w:r>
        <w:t xml:space="preserve">In this proposal we seek to begin to estimate the changes in prescribing of drugs used for CVD and its major risk factors (high blood pressure, </w:t>
      </w:r>
      <w:proofErr w:type="spellStart"/>
      <w:r>
        <w:t>hyperlipidemia</w:t>
      </w:r>
      <w:proofErr w:type="spellEnd"/>
      <w:r>
        <w:t>, atrial fibrillation, type II diabetes) at several time points prior to and during the COVID-19 pandemic to begin to estimate the longer</w:t>
      </w:r>
      <w:r w:rsidR="00E85B45">
        <w:t>-</w:t>
      </w:r>
      <w:r>
        <w:t xml:space="preserve">term effects this may have on CVD in the future.  </w:t>
      </w:r>
    </w:p>
    <w:p w14:paraId="46D31611" w14:textId="701D6D3C" w:rsidR="00E94D28" w:rsidRDefault="00E94D28"/>
    <w:p w14:paraId="33F491C1" w14:textId="07D49685" w:rsidR="00F71382" w:rsidRPr="00625939" w:rsidRDefault="00F71382">
      <w:pPr>
        <w:rPr>
          <w:b/>
          <w:bCs/>
        </w:rPr>
      </w:pPr>
      <w:r w:rsidRPr="00625939">
        <w:rPr>
          <w:b/>
          <w:bCs/>
        </w:rPr>
        <w:t>Research Question:</w:t>
      </w:r>
    </w:p>
    <w:p w14:paraId="029BFBE5" w14:textId="38C9E575" w:rsidR="003A37BD" w:rsidRDefault="00625939">
      <w:pPr>
        <w:rPr>
          <w:b/>
          <w:bCs/>
        </w:rPr>
      </w:pPr>
      <w:r w:rsidRPr="00E84B0C">
        <w:rPr>
          <w:b/>
          <w:bCs/>
        </w:rPr>
        <w:t xml:space="preserve">Can medicines that are used to treat and/ or prevent </w:t>
      </w:r>
      <w:r w:rsidR="003A37BD" w:rsidRPr="00E84B0C">
        <w:rPr>
          <w:b/>
          <w:bCs/>
        </w:rPr>
        <w:t>CVD</w:t>
      </w:r>
      <w:r w:rsidRPr="00E84B0C">
        <w:rPr>
          <w:b/>
          <w:bCs/>
        </w:rPr>
        <w:t xml:space="preserve"> be used as a proxy to estimate the future CVD events?</w:t>
      </w:r>
    </w:p>
    <w:p w14:paraId="3474936B" w14:textId="77777777" w:rsidR="00AF0E69" w:rsidRPr="00AF0E69" w:rsidRDefault="00AF0E69">
      <w:pPr>
        <w:rPr>
          <w:b/>
          <w:bCs/>
        </w:rPr>
      </w:pPr>
    </w:p>
    <w:p w14:paraId="6540D1EE" w14:textId="7928FA93" w:rsidR="003A37BD" w:rsidRPr="00E84B0C" w:rsidRDefault="003A37BD" w:rsidP="00E84B0C">
      <w:pPr>
        <w:spacing w:after="0"/>
        <w:rPr>
          <w:b/>
          <w:bCs/>
        </w:rPr>
      </w:pPr>
      <w:r w:rsidRPr="003A37BD">
        <w:rPr>
          <w:b/>
          <w:bCs/>
        </w:rPr>
        <w:t xml:space="preserve">Rationale: </w:t>
      </w:r>
      <w:r w:rsidR="00E84B0C">
        <w:rPr>
          <w:b/>
          <w:bCs/>
        </w:rPr>
        <w:t xml:space="preserve"> </w:t>
      </w:r>
      <w:r w:rsidRPr="003A37BD">
        <w:t>We will use GPES extracts linked to dispensing data to estimate the change in prescribing in drugs used for the treatment and/ or prevention of CVD</w:t>
      </w:r>
      <w:r w:rsidR="00A52717">
        <w:t xml:space="preserve"> </w:t>
      </w:r>
      <w:proofErr w:type="gramStart"/>
      <w:r w:rsidR="00A52717">
        <w:t>during the course of</w:t>
      </w:r>
      <w:proofErr w:type="gramEnd"/>
      <w:r w:rsidR="00A52717">
        <w:t xml:space="preserve"> the COVID-19 pandemic</w:t>
      </w:r>
      <w:r w:rsidRPr="003A37BD">
        <w:t>.</w:t>
      </w:r>
      <w:r>
        <w:t xml:space="preserve"> Knowledge of the patterns in the prescription of CVD drugs will inform understanding of the indirect impact of the COVID-19 pandemic on the control of CVD and its risk factors in the </w:t>
      </w:r>
      <w:proofErr w:type="gramStart"/>
      <w:r>
        <w:t>population</w:t>
      </w:r>
      <w:r w:rsidR="00A52717">
        <w:t>, and</w:t>
      </w:r>
      <w:proofErr w:type="gramEnd"/>
      <w:r w:rsidR="00A52717">
        <w:t xml:space="preserve"> can be used</w:t>
      </w:r>
      <w:r>
        <w:t xml:space="preserve"> to model the likely impact on future CVD events in the UK</w:t>
      </w:r>
      <w:r w:rsidR="00E84B0C">
        <w:t xml:space="preserve"> population</w:t>
      </w:r>
      <w:r>
        <w:t xml:space="preserve">. </w:t>
      </w:r>
    </w:p>
    <w:p w14:paraId="04D1E800" w14:textId="1ADD2A3D" w:rsidR="003A37BD" w:rsidRDefault="003A37BD" w:rsidP="00751F05">
      <w:pPr>
        <w:spacing w:after="0" w:line="240" w:lineRule="auto"/>
      </w:pPr>
    </w:p>
    <w:p w14:paraId="31AA1E95" w14:textId="77777777" w:rsidR="006C1934" w:rsidRDefault="006C1934" w:rsidP="00751F05">
      <w:pPr>
        <w:spacing w:after="0" w:line="240" w:lineRule="auto"/>
      </w:pPr>
    </w:p>
    <w:p w14:paraId="5A5F4254" w14:textId="7081370D" w:rsidR="00751F05" w:rsidRDefault="003A37BD" w:rsidP="00751F05">
      <w:pPr>
        <w:spacing w:after="0" w:line="240" w:lineRule="auto"/>
      </w:pPr>
      <w:r w:rsidRPr="00751F05">
        <w:rPr>
          <w:b/>
          <w:bCs/>
          <w:u w:val="single"/>
        </w:rPr>
        <w:t>Objective 1:</w:t>
      </w:r>
      <w:r>
        <w:t xml:space="preserve"> To </w:t>
      </w:r>
      <w:r w:rsidR="00A52717">
        <w:t>describe patterns in</w:t>
      </w:r>
      <w:r>
        <w:t xml:space="preserve"> </w:t>
      </w:r>
      <w:r w:rsidR="002A248A">
        <w:t>monthly prescription and dispensing of CVD medicines before and during the COVID-19 pandemic</w:t>
      </w:r>
      <w:r w:rsidR="00E84B0C">
        <w:t>;</w:t>
      </w:r>
      <w:r w:rsidR="00A52717">
        <w:t xml:space="preserve"> how these</w:t>
      </w:r>
      <w:r w:rsidR="00A15C75">
        <w:t xml:space="preserve"> may vary from each other and according to</w:t>
      </w:r>
      <w:r w:rsidR="00A52717">
        <w:t xml:space="preserve"> other co-variates</w:t>
      </w:r>
      <w:r w:rsidR="00A15C75">
        <w:t xml:space="preserve"> of interest such as</w:t>
      </w:r>
      <w:r w:rsidR="00A52717">
        <w:t xml:space="preserve"> sex</w:t>
      </w:r>
      <w:r w:rsidR="00C21A0F">
        <w:t>,</w:t>
      </w:r>
      <w:r w:rsidR="00A52717">
        <w:t xml:space="preserve"> age, geographical region, ethnicity. </w:t>
      </w:r>
    </w:p>
    <w:p w14:paraId="4203E524" w14:textId="7B878428" w:rsidR="00751F05" w:rsidRDefault="00751F05" w:rsidP="00751F05">
      <w:pPr>
        <w:spacing w:after="0" w:line="240" w:lineRule="auto"/>
      </w:pPr>
    </w:p>
    <w:p w14:paraId="18E5EBC5" w14:textId="5C067F24" w:rsidR="00751F05" w:rsidRDefault="00751F05" w:rsidP="00751F05">
      <w:pPr>
        <w:spacing w:after="0" w:line="240" w:lineRule="auto"/>
      </w:pPr>
      <w:r w:rsidRPr="00751F05">
        <w:rPr>
          <w:b/>
          <w:bCs/>
        </w:rPr>
        <w:t>Study Population:</w:t>
      </w:r>
      <w:r>
        <w:t xml:space="preserve">  The population resident in Wales, Scotland, England</w:t>
      </w:r>
      <w:r w:rsidR="00783BC0">
        <w:t xml:space="preserve"> and Northern Ireland</w:t>
      </w:r>
      <w:r>
        <w:t>, aged 18 years or older registered with primary care practices</w:t>
      </w:r>
      <w:r w:rsidR="00E85B45">
        <w:t xml:space="preserve"> who have opted into data linkage</w:t>
      </w:r>
      <w:r>
        <w:t>.</w:t>
      </w:r>
      <w:r w:rsidR="00602A6C">
        <w:t xml:space="preserve"> Analyses will be restricted to individuals with the following criteria: (</w:t>
      </w:r>
      <w:proofErr w:type="spellStart"/>
      <w:r w:rsidR="00602A6C">
        <w:t>i</w:t>
      </w:r>
      <w:proofErr w:type="spellEnd"/>
      <w:r w:rsidR="00602A6C">
        <w:t>) those registered with a primary care practice on or after 1 January 2018, (ii) had “GPES research quality acceptable” data at the time of study entry, (iii) aged 18 years or older on or after 1 January 2018, (iv)</w:t>
      </w:r>
      <w:r w:rsidR="007922AE">
        <w:t xml:space="preserve"> with recorded female or male </w:t>
      </w:r>
      <w:r w:rsidR="002F4743">
        <w:t>gender</w:t>
      </w:r>
      <w:r w:rsidR="005D3D14">
        <w:t xml:space="preserve">, (v) with </w:t>
      </w:r>
      <w:r w:rsidR="002F4743" w:rsidRPr="008D468A">
        <w:t xml:space="preserve">a valid pseudo-identifier </w:t>
      </w:r>
      <w:r w:rsidR="005D3D14">
        <w:t>id available</w:t>
      </w:r>
      <w:r w:rsidR="00DB5DB4">
        <w:t>.  Analysis end date will be the latest available monthly download at time of analysis.</w:t>
      </w:r>
    </w:p>
    <w:p w14:paraId="2823B175" w14:textId="02C292CC" w:rsidR="003A37BD" w:rsidRPr="003A37BD" w:rsidRDefault="003A37BD" w:rsidP="00751F05">
      <w:pPr>
        <w:spacing w:after="0"/>
      </w:pPr>
    </w:p>
    <w:p w14:paraId="6ACF8EC4" w14:textId="719374C4" w:rsidR="00A52717" w:rsidRDefault="00A52717" w:rsidP="006C1934">
      <w:pPr>
        <w:spacing w:after="0" w:line="240" w:lineRule="auto"/>
      </w:pPr>
      <w:r w:rsidRPr="00A52717">
        <w:rPr>
          <w:b/>
          <w:bCs/>
        </w:rPr>
        <w:t>Exposures:</w:t>
      </w:r>
      <w:r>
        <w:t xml:space="preserve"> </w:t>
      </w:r>
      <w:r w:rsidR="00A15C75">
        <w:t xml:space="preserve">Medications will be extracted from the </w:t>
      </w:r>
      <w:proofErr w:type="spellStart"/>
      <w:r w:rsidR="00A15C75" w:rsidRPr="00A15C75">
        <w:t>primary_care_meds</w:t>
      </w:r>
      <w:proofErr w:type="spellEnd"/>
      <w:r w:rsidR="00A15C75" w:rsidRPr="00A15C75">
        <w:t xml:space="preserve"> </w:t>
      </w:r>
      <w:r w:rsidR="00A15C75">
        <w:t xml:space="preserve">and </w:t>
      </w:r>
      <w:r w:rsidR="00A15C75" w:rsidRPr="00A15C75">
        <w:t>GDPPR</w:t>
      </w:r>
      <w:r w:rsidR="006C1934">
        <w:t xml:space="preserve"> (GPES Data for Pandemic Planning and Research)</w:t>
      </w:r>
      <w:r w:rsidR="00A15C75" w:rsidRPr="00A15C75">
        <w:t xml:space="preserve"> </w:t>
      </w:r>
      <w:r w:rsidR="00A15C75">
        <w:t>datasets.</w:t>
      </w:r>
      <w:r w:rsidR="006C1934">
        <w:t xml:space="preserve"> </w:t>
      </w:r>
      <w:r>
        <w:t>We will include medications commonly prescribed for CVD</w:t>
      </w:r>
      <w:r w:rsidR="00341FA8">
        <w:t>,</w:t>
      </w:r>
      <w:r>
        <w:t xml:space="preserve"> </w:t>
      </w:r>
      <w:r w:rsidR="00265013">
        <w:t>d</w:t>
      </w:r>
      <w:r>
        <w:t>iabetes,</w:t>
      </w:r>
      <w:r w:rsidR="00341FA8">
        <w:t xml:space="preserve"> and their risk factors,</w:t>
      </w:r>
      <w:r>
        <w:t xml:space="preserve"> following the</w:t>
      </w:r>
      <w:r w:rsidR="005A2C10">
        <w:t xml:space="preserve"> BNF</w:t>
      </w:r>
      <w:r>
        <w:t xml:space="preserve"> framework</w:t>
      </w:r>
      <w:r w:rsidR="00A93676">
        <w:rPr>
          <w:rFonts w:ascii="Calibri" w:eastAsia="Times New Roman" w:hAnsi="Calibri" w:cs="Calibri"/>
          <w:color w:val="323130"/>
          <w:lang w:eastAsia="en-GB"/>
        </w:rPr>
        <w:t xml:space="preserve"> </w:t>
      </w:r>
      <w:r w:rsidR="00A93676">
        <w:t>assigning medicines to their primary indication</w:t>
      </w:r>
      <w:r w:rsidR="005A2C10">
        <w:t xml:space="preserve">. </w:t>
      </w:r>
      <w:r w:rsidR="00751F05">
        <w:t xml:space="preserve">BNF codes </w:t>
      </w:r>
      <w:r w:rsidR="005A2C10">
        <w:t>will mapped to relevant codes for extraction depending on the format of the dataset (</w:t>
      </w:r>
      <w:proofErr w:type="gramStart"/>
      <w:r w:rsidR="005A2C10">
        <w:t>e.g.</w:t>
      </w:r>
      <w:proofErr w:type="gramEnd"/>
      <w:r w:rsidR="005A2C10">
        <w:t xml:space="preserve"> SNOWMED</w:t>
      </w:r>
      <w:r w:rsidR="00751F05">
        <w:t xml:space="preserve"> in GDPPR</w:t>
      </w:r>
      <w:r w:rsidR="005A2C10">
        <w:t>).</w:t>
      </w:r>
      <w:r w:rsidR="00A15C75">
        <w:t xml:space="preserve"> </w:t>
      </w:r>
      <w:r w:rsidR="00C215C1">
        <w:t xml:space="preserve">Date closest to prescription by GP/ dispensing to patient will be recovered (rather than system collection or processing date). </w:t>
      </w:r>
      <w:r w:rsidR="00A15C75">
        <w:t>We will initially focus on frequency of dispensing</w:t>
      </w:r>
      <w:r w:rsidR="00751F05">
        <w:t xml:space="preserve"> and</w:t>
      </w:r>
      <w:r w:rsidR="00A15C75">
        <w:t xml:space="preserve"> prescribing</w:t>
      </w:r>
      <w:r w:rsidR="00751F05">
        <w:t xml:space="preserve"> (</w:t>
      </w:r>
      <w:r w:rsidR="00602A6C">
        <w:t xml:space="preserve">monthly </w:t>
      </w:r>
      <w:r w:rsidR="00751F05">
        <w:t>counts)</w:t>
      </w:r>
      <w:r w:rsidR="00A15C75">
        <w:t>; but subsequently consider the</w:t>
      </w:r>
      <w:r w:rsidR="00751F05">
        <w:t xml:space="preserve"> relevance of changes to medication quantity/ dosing/ scheduling.</w:t>
      </w:r>
    </w:p>
    <w:p w14:paraId="40F36F1A" w14:textId="26B65D70" w:rsidR="002F4743" w:rsidRDefault="002F4743" w:rsidP="006C1934">
      <w:pPr>
        <w:spacing w:after="0" w:line="240" w:lineRule="auto"/>
      </w:pPr>
    </w:p>
    <w:p w14:paraId="6439154A" w14:textId="0E9465B2" w:rsidR="002F4743" w:rsidRPr="00B370BA" w:rsidRDefault="002F4743" w:rsidP="002F4743">
      <w:pPr>
        <w:spacing w:after="0" w:line="240" w:lineRule="auto"/>
      </w:pPr>
      <w:r w:rsidRPr="008D468A">
        <w:t>Medicines w</w:t>
      </w:r>
      <w:r>
        <w:t>ill be</w:t>
      </w:r>
      <w:r w:rsidRPr="008D468A">
        <w:t xml:space="preserve"> selected from B</w:t>
      </w:r>
      <w:r>
        <w:t xml:space="preserve">ritish </w:t>
      </w:r>
      <w:r w:rsidRPr="008D468A">
        <w:t>N</w:t>
      </w:r>
      <w:r>
        <w:t xml:space="preserve">ational </w:t>
      </w:r>
      <w:r w:rsidRPr="008D468A">
        <w:t>F</w:t>
      </w:r>
      <w:r>
        <w:t>ormulary (BNF0</w:t>
      </w:r>
      <w:r w:rsidRPr="008D468A">
        <w:t xml:space="preserve"> Chapters 2 (Cardiovascular System) and 6 (Endocrine System) and</w:t>
      </w:r>
      <w:r>
        <w:t xml:space="preserve"> categorised into</w:t>
      </w:r>
      <w:r w:rsidRPr="008D468A">
        <w:t xml:space="preserve"> 11</w:t>
      </w:r>
      <w:r>
        <w:t xml:space="preserve"> CVD</w:t>
      </w:r>
      <w:r w:rsidRPr="008D468A">
        <w:t xml:space="preserve"> sub-groups: Antihypertensives, Antiplatelets secondary prevention (primary for DM), DOAC, Warfarin, Heparins, Lipid lowering, T2DM, Insulin, Heart failure, AF, Angina</w:t>
      </w:r>
    </w:p>
    <w:p w14:paraId="3225D306" w14:textId="58A45DE7" w:rsidR="00F71382" w:rsidRDefault="00F71382" w:rsidP="00751F05">
      <w:pPr>
        <w:spacing w:after="0"/>
      </w:pPr>
    </w:p>
    <w:p w14:paraId="34B33A04" w14:textId="3BDF0F80" w:rsidR="00A15C75" w:rsidRDefault="00A15C75" w:rsidP="00751F05">
      <w:pPr>
        <w:spacing w:after="0"/>
      </w:pPr>
      <w:r w:rsidRPr="00A15C75">
        <w:rPr>
          <w:b/>
          <w:bCs/>
        </w:rPr>
        <w:t>Outcomes:</w:t>
      </w:r>
      <w:r>
        <w:t xml:space="preserve"> This is primarily a descriptive rather than analytical </w:t>
      </w:r>
      <w:r w:rsidR="00602A6C">
        <w:t>analysis</w:t>
      </w:r>
      <w:r>
        <w:t>, although we will investigate how prescribing</w:t>
      </w:r>
      <w:r w:rsidR="00751F05">
        <w:t xml:space="preserve"> and</w:t>
      </w:r>
      <w:r>
        <w:t xml:space="preserve"> dispensing patterns may vary according to other </w:t>
      </w:r>
      <w:r w:rsidR="00E84B0C">
        <w:t>socio-</w:t>
      </w:r>
      <w:r>
        <w:t>demographic covariates</w:t>
      </w:r>
    </w:p>
    <w:p w14:paraId="3A4C61F3" w14:textId="19CFAF57" w:rsidR="00A15C75" w:rsidRDefault="00A15C75"/>
    <w:p w14:paraId="4F866031" w14:textId="3AE3193A" w:rsidR="00A15C75" w:rsidRPr="00751F05" w:rsidRDefault="00A15C75">
      <w:pPr>
        <w:rPr>
          <w:b/>
          <w:bCs/>
        </w:rPr>
      </w:pPr>
      <w:r w:rsidRPr="00751F05">
        <w:rPr>
          <w:b/>
          <w:bCs/>
        </w:rPr>
        <w:t>Covariates:</w:t>
      </w:r>
    </w:p>
    <w:p w14:paraId="354B896F" w14:textId="2EBAECD6" w:rsidR="00751F05" w:rsidRDefault="00751F05" w:rsidP="00751F05">
      <w:pPr>
        <w:pStyle w:val="ListParagraph"/>
        <w:numPr>
          <w:ilvl w:val="0"/>
          <w:numId w:val="17"/>
        </w:numPr>
      </w:pPr>
      <w:r>
        <w:t>Age (</w:t>
      </w:r>
      <w:r w:rsidR="002F4743" w:rsidRPr="008D468A">
        <w:t xml:space="preserve">categorised </w:t>
      </w:r>
      <w:r w:rsidR="002F4743">
        <w:t>≥</w:t>
      </w:r>
      <w:r w:rsidR="002F4743" w:rsidRPr="008D468A">
        <w:t xml:space="preserve">18-29 and thereafter in </w:t>
      </w:r>
      <w:proofErr w:type="gramStart"/>
      <w:r w:rsidR="002F4743" w:rsidRPr="008D468A">
        <w:t>10 year</w:t>
      </w:r>
      <w:proofErr w:type="gramEnd"/>
      <w:r w:rsidR="002F4743" w:rsidRPr="008D468A">
        <w:t xml:space="preserve"> age bands to 90+ years</w:t>
      </w:r>
      <w:r>
        <w:t>)</w:t>
      </w:r>
    </w:p>
    <w:p w14:paraId="143AB299" w14:textId="541C9034" w:rsidR="00751F05" w:rsidRDefault="002F4743" w:rsidP="00751F05">
      <w:pPr>
        <w:pStyle w:val="ListParagraph"/>
        <w:numPr>
          <w:ilvl w:val="0"/>
          <w:numId w:val="17"/>
        </w:numPr>
      </w:pPr>
      <w:r>
        <w:t>Gender</w:t>
      </w:r>
    </w:p>
    <w:p w14:paraId="74B75269" w14:textId="136713FA" w:rsidR="00751F05" w:rsidRDefault="00751F05" w:rsidP="00751F05">
      <w:pPr>
        <w:pStyle w:val="ListParagraph"/>
        <w:numPr>
          <w:ilvl w:val="0"/>
          <w:numId w:val="17"/>
        </w:numPr>
      </w:pPr>
      <w:r>
        <w:t>Geographical region</w:t>
      </w:r>
      <w:r w:rsidR="002F4743">
        <w:t xml:space="preserve"> (</w:t>
      </w:r>
      <w:r w:rsidR="002F4743" w:rsidRPr="008D468A">
        <w:t xml:space="preserve">categorised as East Midlands, East of England, London, </w:t>
      </w:r>
      <w:proofErr w:type="gramStart"/>
      <w:r w:rsidR="002F4743" w:rsidRPr="008D468A">
        <w:t>North East</w:t>
      </w:r>
      <w:proofErr w:type="gramEnd"/>
      <w:r w:rsidR="002F4743" w:rsidRPr="008D468A">
        <w:t>, North West, South East, South West, West Midlands, Yorkshire and The Humber, plus Scotland and Wales</w:t>
      </w:r>
      <w:r w:rsidR="002F4743">
        <w:t>)</w:t>
      </w:r>
      <w:r w:rsidR="002F4743" w:rsidDel="002F4743">
        <w:t xml:space="preserve"> </w:t>
      </w:r>
    </w:p>
    <w:p w14:paraId="7DECC98A" w14:textId="74762A3F" w:rsidR="007922AE" w:rsidRDefault="00751F05" w:rsidP="00DB5DB4">
      <w:pPr>
        <w:pStyle w:val="ListParagraph"/>
        <w:numPr>
          <w:ilvl w:val="0"/>
          <w:numId w:val="17"/>
        </w:numPr>
      </w:pPr>
      <w:r>
        <w:t xml:space="preserve">Ethnicity </w:t>
      </w:r>
      <w:r w:rsidR="007922AE">
        <w:t>(</w:t>
      </w:r>
      <w:r w:rsidR="002F4743">
        <w:t xml:space="preserve">categorised as </w:t>
      </w:r>
      <w:r w:rsidR="002F4743" w:rsidRPr="00B92885">
        <w:rPr>
          <w:rFonts w:asciiTheme="majorBidi" w:eastAsia="Calibri" w:hAnsiTheme="majorBidi" w:cstheme="majorBidi"/>
          <w:color w:val="000000" w:themeColor="text1"/>
        </w:rPr>
        <w:t>White, Asian, Black, Mixed and Other</w:t>
      </w:r>
      <w:r w:rsidR="007922AE">
        <w:t>)</w:t>
      </w:r>
    </w:p>
    <w:p w14:paraId="4587BC7A" w14:textId="77777777" w:rsidR="00DB5DB4" w:rsidRPr="00DB5DB4" w:rsidRDefault="00DB5DB4" w:rsidP="00DB5DB4">
      <w:pPr>
        <w:pStyle w:val="ListParagraph"/>
      </w:pPr>
    </w:p>
    <w:p w14:paraId="3D62A773" w14:textId="7D3A535C" w:rsidR="00625939" w:rsidRDefault="007922AE">
      <w:r>
        <w:rPr>
          <w:b/>
          <w:bCs/>
        </w:rPr>
        <w:t xml:space="preserve">Analyses: </w:t>
      </w:r>
      <w:r w:rsidR="002F4743" w:rsidRPr="008D468A">
        <w:t xml:space="preserve">Monthly counts </w:t>
      </w:r>
      <w:r w:rsidR="002F4743">
        <w:t xml:space="preserve">and their </w:t>
      </w:r>
      <w:r w:rsidR="002F4743" w:rsidRPr="008D468A">
        <w:t>percent</w:t>
      </w:r>
      <w:r w:rsidR="002F4743">
        <w:t>age</w:t>
      </w:r>
      <w:r w:rsidR="002F4743" w:rsidRPr="008D468A">
        <w:t xml:space="preserve"> change w</w:t>
      </w:r>
      <w:r w:rsidR="00AA0584">
        <w:t>ill be</w:t>
      </w:r>
      <w:r w:rsidR="002F4743" w:rsidRPr="008D468A">
        <w:t xml:space="preserve"> calculated for each of the 11 </w:t>
      </w:r>
      <w:r w:rsidR="002F4743">
        <w:t>CVD medicines sub-group</w:t>
      </w:r>
      <w:r w:rsidR="002F4743" w:rsidRPr="008D468A">
        <w:t xml:space="preserve">s for both prevalent and incident medications </w:t>
      </w:r>
      <w:r w:rsidR="001A2CB2">
        <w:t>and stratified by</w:t>
      </w:r>
      <w:r w:rsidR="002B724D">
        <w:t xml:space="preserve"> </w:t>
      </w:r>
      <w:r w:rsidR="001A2CB2">
        <w:t>covariate sub-groups</w:t>
      </w:r>
      <w:r w:rsidR="002B724D">
        <w:t xml:space="preserve"> (secondary)</w:t>
      </w:r>
      <w:r w:rsidR="001A2CB2">
        <w:t xml:space="preserve">. </w:t>
      </w:r>
      <w:r w:rsidR="00DB5DB4">
        <w:t xml:space="preserve">R </w:t>
      </w:r>
      <w:proofErr w:type="gramStart"/>
      <w:r w:rsidR="00DB5DB4">
        <w:t>heatmap(</w:t>
      </w:r>
      <w:proofErr w:type="gramEnd"/>
      <w:r w:rsidR="00DB5DB4">
        <w:t>) / ggplot2 will be used to provide visualisations of the data</w:t>
      </w:r>
      <w:r w:rsidR="002B724D">
        <w:t xml:space="preserve"> (columns=months; rows=years)</w:t>
      </w:r>
      <w:r w:rsidR="00DB5DB4">
        <w:t xml:space="preserve">. </w:t>
      </w:r>
    </w:p>
    <w:p w14:paraId="03B6AEC9" w14:textId="687CB4C2" w:rsidR="00AA0584" w:rsidRDefault="002F4743" w:rsidP="002F4743">
      <w:pPr>
        <w:jc w:val="both"/>
      </w:pPr>
      <w:r>
        <w:t>Incident medicines will be</w:t>
      </w:r>
      <w:r w:rsidRPr="008D468A">
        <w:t xml:space="preserve"> identified</w:t>
      </w:r>
      <w:r>
        <w:t xml:space="preserve"> as</w:t>
      </w:r>
      <w:r w:rsidRPr="008D468A">
        <w:t xml:space="preserve"> the first recorded </w:t>
      </w:r>
      <w:r>
        <w:t xml:space="preserve">per person </w:t>
      </w:r>
      <w:r w:rsidRPr="008D468A">
        <w:t xml:space="preserve">occurrence of a dispensed medicine </w:t>
      </w:r>
      <w:r>
        <w:t xml:space="preserve">within </w:t>
      </w:r>
      <w:r w:rsidRPr="008D468A">
        <w:t>each CVD sub-group during the study period</w:t>
      </w:r>
      <w:r>
        <w:t>,</w:t>
      </w:r>
      <w:r w:rsidRPr="008D468A">
        <w:t xml:space="preserve"> allow</w:t>
      </w:r>
      <w:r>
        <w:t>ing</w:t>
      </w:r>
      <w:r w:rsidRPr="008D468A">
        <w:t xml:space="preserve"> an initial clearance window for </w:t>
      </w:r>
      <w:r>
        <w:t>the first year of data availability to allow monthly incidence counts to stabilise</w:t>
      </w:r>
      <w:r w:rsidRPr="008D468A">
        <w:t>.</w:t>
      </w:r>
      <w:r>
        <w:t xml:space="preserve"> I</w:t>
      </w:r>
      <w:r w:rsidRPr="008D468A">
        <w:t>ndividuals</w:t>
      </w:r>
      <w:r>
        <w:t xml:space="preserve"> may be counted as receiving</w:t>
      </w:r>
      <w:r w:rsidRPr="008D468A">
        <w:t xml:space="preserve"> incident </w:t>
      </w:r>
      <w:r>
        <w:t xml:space="preserve">medication </w:t>
      </w:r>
      <w:r w:rsidRPr="008D468A">
        <w:t xml:space="preserve">for more than one of the </w:t>
      </w:r>
      <w:r>
        <w:t>CVD medicines sub-group</w:t>
      </w:r>
      <w:r w:rsidRPr="008D468A">
        <w:t>s.</w:t>
      </w:r>
      <w:r>
        <w:t xml:space="preserve"> Differences in the number of incident medications by CVD sub-group in the post-pandemic period will be calculated by subtracting the monthly count from the equivalent monthly count in 2019.</w:t>
      </w:r>
    </w:p>
    <w:p w14:paraId="7031BCA2" w14:textId="52379181" w:rsidR="00AA0584" w:rsidRPr="00B370BA" w:rsidRDefault="00AA0584" w:rsidP="00B370BA">
      <w:pPr>
        <w:jc w:val="both"/>
        <w:rPr>
          <w:b/>
          <w:bCs/>
        </w:rPr>
      </w:pPr>
      <w:r w:rsidRPr="00AA5657">
        <w:rPr>
          <w:b/>
          <w:bCs/>
        </w:rPr>
        <w:t>Sensitivity analyses</w:t>
      </w:r>
      <w:r>
        <w:rPr>
          <w:b/>
          <w:bCs/>
        </w:rPr>
        <w:t xml:space="preserve">: </w:t>
      </w:r>
      <w:r>
        <w:t>To account for the potential impact of higher mortality due to the COVID-19 pandemic itself, in sensitivity analyses we will exclude medications dispensed to individuals who died from COVID-19 and, separately, from any cause across the study period.</w:t>
      </w:r>
    </w:p>
    <w:p w14:paraId="4A523C14" w14:textId="77777777" w:rsidR="00154196" w:rsidRDefault="00154196"/>
    <w:p w14:paraId="703B524A" w14:textId="74CE621C" w:rsidR="002B724D" w:rsidRDefault="002B724D" w:rsidP="002B724D">
      <w:pPr>
        <w:spacing w:after="0" w:line="240" w:lineRule="auto"/>
      </w:pPr>
      <w:r w:rsidRPr="00751F05">
        <w:rPr>
          <w:b/>
          <w:bCs/>
          <w:u w:val="single"/>
        </w:rPr>
        <w:lastRenderedPageBreak/>
        <w:t xml:space="preserve">Objective </w:t>
      </w:r>
      <w:r>
        <w:rPr>
          <w:b/>
          <w:bCs/>
          <w:u w:val="single"/>
        </w:rPr>
        <w:t>2</w:t>
      </w:r>
      <w:r w:rsidRPr="00751F05">
        <w:rPr>
          <w:b/>
          <w:bCs/>
          <w:u w:val="single"/>
        </w:rPr>
        <w:t>:</w:t>
      </w:r>
      <w:r>
        <w:t xml:space="preserve"> To model </w:t>
      </w:r>
      <w:r w:rsidR="00EC2599">
        <w:t>disruption</w:t>
      </w:r>
      <w:r>
        <w:t xml:space="preserve"> in </w:t>
      </w:r>
      <w:r w:rsidR="00EC2599">
        <w:t xml:space="preserve">trends </w:t>
      </w:r>
      <w:r w:rsidR="009B4176">
        <w:t>in</w:t>
      </w:r>
      <w:r w:rsidR="00EC2599">
        <w:t xml:space="preserve"> </w:t>
      </w:r>
      <w:r>
        <w:t xml:space="preserve">weekly prescription and dispensing of CVD medicines </w:t>
      </w:r>
      <w:r w:rsidR="00EC2599">
        <w:t xml:space="preserve">due to </w:t>
      </w:r>
      <w:r>
        <w:t>the COVID-19 pandemi</w:t>
      </w:r>
      <w:r w:rsidR="00EC2599">
        <w:t>c</w:t>
      </w:r>
      <w:r w:rsidR="00065257">
        <w:t xml:space="preserve"> at the population level using interrupted time-series analysis.</w:t>
      </w:r>
    </w:p>
    <w:p w14:paraId="05024CC6" w14:textId="4447ED9E" w:rsidR="002B724D" w:rsidRDefault="002B724D" w:rsidP="002B724D">
      <w:pPr>
        <w:spacing w:after="0" w:line="240" w:lineRule="auto"/>
      </w:pPr>
    </w:p>
    <w:p w14:paraId="3BB8F927" w14:textId="79414693" w:rsidR="002F4743" w:rsidRDefault="002F4743" w:rsidP="002B724D">
      <w:pPr>
        <w:spacing w:after="0" w:line="240" w:lineRule="auto"/>
      </w:pPr>
      <w:r w:rsidRPr="00751F05">
        <w:rPr>
          <w:b/>
          <w:bCs/>
        </w:rPr>
        <w:t>Study Population:</w:t>
      </w:r>
      <w:r>
        <w:t xml:space="preserve">  The population resident in Wales, Scotland, </w:t>
      </w:r>
      <w:proofErr w:type="gramStart"/>
      <w:r>
        <w:t>England</w:t>
      </w:r>
      <w:proofErr w:type="gramEnd"/>
      <w:r>
        <w:t xml:space="preserve"> and Northern Ireland, aged 18 years or older registered with primary care practices who have opted into data linkage. Analyses will be restricted to individuals with the following criteria: (</w:t>
      </w:r>
      <w:proofErr w:type="spellStart"/>
      <w:r>
        <w:t>i</w:t>
      </w:r>
      <w:proofErr w:type="spellEnd"/>
      <w:r>
        <w:t xml:space="preserve">) those registered with a primary care practice on or after 1 January 2018, (ii) had “GPES research quality acceptable” data at the time of study entry, (iii) aged 18 years or older on or after 1 January 2018, (iv) with recorded female or male gender, (v) with </w:t>
      </w:r>
      <w:r w:rsidRPr="008D468A">
        <w:t xml:space="preserve">a valid pseudo-identifier </w:t>
      </w:r>
      <w:r>
        <w:t>id available.  Analysis end date will be the latest available monthly download at time of analysis.</w:t>
      </w:r>
    </w:p>
    <w:p w14:paraId="5B8D5AD0" w14:textId="77777777" w:rsidR="009B4176" w:rsidRDefault="009B4176" w:rsidP="009B4176">
      <w:pPr>
        <w:spacing w:after="0" w:line="240" w:lineRule="auto"/>
      </w:pPr>
    </w:p>
    <w:p w14:paraId="649E5FD1" w14:textId="608FF7C7" w:rsidR="009B4176" w:rsidRDefault="00065257" w:rsidP="009B4176">
      <w:pPr>
        <w:spacing w:after="0" w:line="240" w:lineRule="auto"/>
      </w:pPr>
      <w:r w:rsidRPr="00C07E74">
        <w:rPr>
          <w:b/>
          <w:bCs/>
        </w:rPr>
        <w:t>Outcome:</w:t>
      </w:r>
      <w:r w:rsidR="00C07E74">
        <w:t xml:space="preserve">  Weekly counts for prescribed</w:t>
      </w:r>
      <w:r w:rsidR="00AA0584">
        <w:t xml:space="preserve"> </w:t>
      </w:r>
      <w:r w:rsidR="00C07E74">
        <w:t xml:space="preserve">medications will be calculated for each CVD risk factor (following </w:t>
      </w:r>
      <w:r w:rsidR="001D6E21">
        <w:t xml:space="preserve">the same </w:t>
      </w:r>
      <w:r w:rsidR="00C07E74">
        <w:t>data prep</w:t>
      </w:r>
      <w:r w:rsidR="001D6E21">
        <w:t>aration</w:t>
      </w:r>
      <w:r w:rsidR="00C07E74">
        <w:t xml:space="preserve"> pipelines </w:t>
      </w:r>
      <w:r w:rsidR="001D6E21">
        <w:t>as</w:t>
      </w:r>
      <w:r w:rsidR="00C07E74">
        <w:t xml:space="preserve"> Objective 1).</w:t>
      </w:r>
    </w:p>
    <w:p w14:paraId="593B2288" w14:textId="77777777" w:rsidR="009B4176" w:rsidRDefault="009B4176" w:rsidP="009B4176">
      <w:pPr>
        <w:spacing w:after="0" w:line="240" w:lineRule="auto"/>
      </w:pPr>
    </w:p>
    <w:p w14:paraId="4058B9FF" w14:textId="0587797B" w:rsidR="00AA0584" w:rsidRDefault="00DC2341" w:rsidP="00C07E74">
      <w:pPr>
        <w:spacing w:after="0" w:line="240" w:lineRule="auto"/>
      </w:pPr>
      <w:r>
        <w:rPr>
          <w:b/>
          <w:bCs/>
        </w:rPr>
        <w:t xml:space="preserve">Analyses:  </w:t>
      </w:r>
      <w:r>
        <w:t>Interrupted time-series analysis</w:t>
      </w:r>
      <w:r w:rsidR="002203DE">
        <w:t xml:space="preserve"> (ITS)</w:t>
      </w:r>
      <w:r>
        <w:t xml:space="preserve"> will be used to model the popu</w:t>
      </w:r>
      <w:r w:rsidR="001D6E21">
        <w:t xml:space="preserve">lation level changes in medication prescription trends following the onset of the COVID-19 pandemic (Lopez Bernal, J et al., 2017). </w:t>
      </w:r>
      <w:r w:rsidR="00AA0584" w:rsidRPr="00D257EF">
        <w:rPr>
          <w:color w:val="000000"/>
        </w:rPr>
        <w:t>Weekly counts data w</w:t>
      </w:r>
      <w:r w:rsidR="00AA0584">
        <w:rPr>
          <w:color w:val="000000"/>
        </w:rPr>
        <w:t>ill be</w:t>
      </w:r>
      <w:r w:rsidR="00AA0584" w:rsidRPr="00D257EF">
        <w:rPr>
          <w:color w:val="000000"/>
        </w:rPr>
        <w:t xml:space="preserve"> modelled from </w:t>
      </w:r>
      <w:r w:rsidR="00AA0584">
        <w:rPr>
          <w:color w:val="000000"/>
        </w:rPr>
        <w:t>June</w:t>
      </w:r>
      <w:r w:rsidR="00AA0584" w:rsidRPr="007E29B6">
        <w:rPr>
          <w:color w:val="000000"/>
        </w:rPr>
        <w:t xml:space="preserve"> 2018 to May 2021</w:t>
      </w:r>
      <w:r w:rsidR="00AA0584" w:rsidRPr="00D257EF">
        <w:rPr>
          <w:color w:val="000000"/>
        </w:rPr>
        <w:t>. Preliminary inspection of data using scatterplots w</w:t>
      </w:r>
      <w:r w:rsidR="00AA0584">
        <w:rPr>
          <w:color w:val="000000"/>
        </w:rPr>
        <w:t>ill be</w:t>
      </w:r>
      <w:r w:rsidR="00AA0584" w:rsidRPr="00D257EF">
        <w:rPr>
          <w:color w:val="000000"/>
        </w:rPr>
        <w:t xml:space="preserve"> undertaken to help identify the underlying trend and outliers. </w:t>
      </w:r>
      <w:r w:rsidR="00AA0584">
        <w:rPr>
          <w:color w:val="000000"/>
        </w:rPr>
        <w:t>A</w:t>
      </w:r>
      <w:r w:rsidR="00AA0584" w:rsidRPr="00D257EF">
        <w:rPr>
          <w:color w:val="000000"/>
        </w:rPr>
        <w:t xml:space="preserve"> priori segments for anticipated </w:t>
      </w:r>
      <w:r w:rsidR="00AA0584">
        <w:rPr>
          <w:color w:val="000000"/>
        </w:rPr>
        <w:t xml:space="preserve">regular </w:t>
      </w:r>
      <w:r w:rsidR="00AA0584" w:rsidRPr="00D257EF">
        <w:rPr>
          <w:color w:val="000000"/>
        </w:rPr>
        <w:t>effects associated with Christmas and New Year</w:t>
      </w:r>
      <w:r w:rsidR="00AA0584">
        <w:rPr>
          <w:color w:val="000000"/>
        </w:rPr>
        <w:t xml:space="preserve"> each year. S</w:t>
      </w:r>
      <w:r w:rsidR="00AA0584" w:rsidRPr="00D257EF">
        <w:rPr>
          <w:color w:val="000000"/>
        </w:rPr>
        <w:t>egments corresponding to the four-week periods prior to national lockdowns</w:t>
      </w:r>
      <w:r w:rsidR="00AA0584">
        <w:rPr>
          <w:color w:val="000000"/>
        </w:rPr>
        <w:t xml:space="preserve"> will be introduced</w:t>
      </w:r>
      <w:r w:rsidR="00AA0584" w:rsidRPr="00D257EF">
        <w:rPr>
          <w:color w:val="000000"/>
        </w:rPr>
        <w:t xml:space="preserve"> (23</w:t>
      </w:r>
      <w:r w:rsidR="00AA0584" w:rsidRPr="00D257EF">
        <w:rPr>
          <w:color w:val="000000"/>
          <w:vertAlign w:val="superscript"/>
        </w:rPr>
        <w:t>rd</w:t>
      </w:r>
      <w:r w:rsidR="00AA0584" w:rsidRPr="00D257EF">
        <w:rPr>
          <w:color w:val="000000"/>
        </w:rPr>
        <w:t xml:space="preserve"> March 2020, 5</w:t>
      </w:r>
      <w:r w:rsidR="00AA0584" w:rsidRPr="00D257EF">
        <w:rPr>
          <w:color w:val="000000"/>
          <w:vertAlign w:val="superscript"/>
        </w:rPr>
        <w:t>th</w:t>
      </w:r>
      <w:r w:rsidR="00AA0584" w:rsidRPr="00D257EF">
        <w:rPr>
          <w:color w:val="000000"/>
        </w:rPr>
        <w:t xml:space="preserve"> November 2020</w:t>
      </w:r>
      <w:r w:rsidR="00AA0584">
        <w:rPr>
          <w:color w:val="000000"/>
        </w:rPr>
        <w:t>) and one week prior to t</w:t>
      </w:r>
      <w:r w:rsidR="00AA0584" w:rsidRPr="00D257EF">
        <w:rPr>
          <w:color w:val="000000"/>
        </w:rPr>
        <w:t>he final lockdown</w:t>
      </w:r>
      <w:r w:rsidR="00AA0584">
        <w:rPr>
          <w:color w:val="000000"/>
        </w:rPr>
        <w:t xml:space="preserve"> (</w:t>
      </w:r>
      <w:r w:rsidR="00AA0584" w:rsidRPr="00D257EF">
        <w:rPr>
          <w:color w:val="000000"/>
        </w:rPr>
        <w:t>6</w:t>
      </w:r>
      <w:r w:rsidR="00AA0584" w:rsidRPr="00D257EF">
        <w:rPr>
          <w:color w:val="000000"/>
          <w:vertAlign w:val="superscript"/>
        </w:rPr>
        <w:t>th</w:t>
      </w:r>
      <w:r w:rsidR="00AA0584" w:rsidRPr="00D257EF">
        <w:rPr>
          <w:color w:val="000000"/>
        </w:rPr>
        <w:t xml:space="preserve"> January 2021</w:t>
      </w:r>
      <w:r w:rsidR="00AA0584">
        <w:rPr>
          <w:color w:val="000000"/>
        </w:rPr>
        <w:t>; shortened</w:t>
      </w:r>
      <w:r w:rsidR="00AA0584" w:rsidRPr="00D257EF">
        <w:rPr>
          <w:color w:val="000000"/>
        </w:rPr>
        <w:t xml:space="preserve"> due to overlap with the Christmas &amp; New Year period 2020-21</w:t>
      </w:r>
      <w:r w:rsidR="00AA0584">
        <w:rPr>
          <w:color w:val="000000"/>
        </w:rPr>
        <w:t>)</w:t>
      </w:r>
      <w:r w:rsidR="00AA0584" w:rsidRPr="004C3D24">
        <w:rPr>
          <w:color w:val="000000"/>
        </w:rPr>
        <w:t>.</w:t>
      </w:r>
      <w:r w:rsidR="00AA0584">
        <w:rPr>
          <w:color w:val="000000"/>
        </w:rPr>
        <w:t xml:space="preserve"> </w:t>
      </w:r>
      <w:r w:rsidR="00AA0584">
        <w:t>To account for possible non-stationarity and autocorrelation in the data, ARIMA models will be fitted to each CVD medicines sub-group following Schaffer et al. (2021)</w:t>
      </w:r>
      <w:r w:rsidR="00AA0584">
        <w:fldChar w:fldCharType="begin">
          <w:fldData xml:space="preserve">PEVuZE5vdGU+PENpdGU+PEF1dGhvcj5TY2hhZmZlcjwvQXV0aG9yPjxZZWFyPjIwMjE8L1llYXI+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</w:fldData>
        </w:fldChar>
      </w:r>
      <w:r w:rsidR="00AA0584">
        <w:instrText xml:space="preserve"> ADDIN EN.CITE </w:instrText>
      </w:r>
      <w:r w:rsidR="00AA0584">
        <w:fldChar w:fldCharType="begin">
          <w:fldData xml:space="preserve">PEVuZE5vdGU+PENpdGU+PEF1dGhvcj5TY2hhZmZlcjwvQXV0aG9yPjxZZWFyPjIwMjE8L1llYXI+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</w:fldData>
        </w:fldChar>
      </w:r>
      <w:r w:rsidR="00AA0584">
        <w:instrText xml:space="preserve"> ADDIN EN.CITE.DATA </w:instrText>
      </w:r>
      <w:r w:rsidR="00AA0584">
        <w:fldChar w:fldCharType="end"/>
      </w:r>
      <w:r w:rsidR="00AA0584">
        <w:fldChar w:fldCharType="separate"/>
      </w:r>
      <w:r w:rsidR="00AA0584" w:rsidRPr="003B3BF4">
        <w:rPr>
          <w:noProof/>
          <w:vertAlign w:val="superscript"/>
        </w:rPr>
        <w:t>23</w:t>
      </w:r>
      <w:r w:rsidR="00AA0584">
        <w:fldChar w:fldCharType="end"/>
      </w:r>
      <w:r w:rsidR="00AA0584">
        <w:t xml:space="preserve"> </w:t>
      </w:r>
      <w:r w:rsidR="00AA0584" w:rsidRPr="00B92885">
        <w:t xml:space="preserve"> </w:t>
      </w:r>
      <w:r w:rsidR="00AA0584" w:rsidRPr="00D257EF">
        <w:t>Evidence of autocorrelation w</w:t>
      </w:r>
      <w:r w:rsidR="00AA0584">
        <w:t>ill be</w:t>
      </w:r>
      <w:r w:rsidR="00AA0584" w:rsidRPr="00D257EF">
        <w:t xml:space="preserve"> assessed through examination of the residuals</w:t>
      </w:r>
      <w:r w:rsidR="00AA0584">
        <w:t>, autocorrelation plots</w:t>
      </w:r>
      <w:r w:rsidR="00AA0584" w:rsidRPr="00D257EF">
        <w:t xml:space="preserve"> and with Durbin’s and Breusch Godfrey tests.</w:t>
      </w:r>
      <w:r w:rsidR="00AA0584">
        <w:t xml:space="preserve"> Analysis will be undertaken using the </w:t>
      </w:r>
      <w:proofErr w:type="spellStart"/>
      <w:proofErr w:type="gramStart"/>
      <w:r w:rsidR="00AA0584">
        <w:t>auto.arima</w:t>
      </w:r>
      <w:proofErr w:type="spellEnd"/>
      <w:proofErr w:type="gramEnd"/>
      <w:r w:rsidR="00AA0584">
        <w:t xml:space="preserve"> function from the </w:t>
      </w:r>
      <w:r w:rsidR="00AA0584" w:rsidRPr="008E4B2C">
        <w:t>forecast</w:t>
      </w:r>
      <w:r w:rsidR="00AA0584">
        <w:t xml:space="preserve"> package in R</w:t>
      </w:r>
    </w:p>
    <w:p w14:paraId="4F07CEE0" w14:textId="77777777" w:rsidR="009B4176" w:rsidRDefault="009B4176" w:rsidP="00C07E74">
      <w:pPr>
        <w:spacing w:after="0" w:line="240" w:lineRule="auto"/>
      </w:pPr>
    </w:p>
    <w:p w14:paraId="5F844FE7" w14:textId="394C1882" w:rsidR="00341FA8" w:rsidRDefault="00C07E74" w:rsidP="0051475F">
      <w:pPr>
        <w:spacing w:after="0" w:line="240" w:lineRule="auto"/>
      </w:pPr>
      <w:r w:rsidRPr="00C07E74">
        <w:rPr>
          <w:b/>
          <w:bCs/>
        </w:rPr>
        <w:t>Covariates:</w:t>
      </w:r>
      <w:r w:rsidR="00DC2341">
        <w:rPr>
          <w:b/>
          <w:bCs/>
        </w:rPr>
        <w:t xml:space="preserve"> </w:t>
      </w:r>
      <w:r w:rsidR="00DC2341">
        <w:t xml:space="preserve">A strength of ITS is that it is typically less </w:t>
      </w:r>
      <w:r w:rsidR="009B4176">
        <w:t>a</w:t>
      </w:r>
      <w:r w:rsidR="00DC2341">
        <w:t>ffected by common confounding variables (</w:t>
      </w:r>
      <w:proofErr w:type="gramStart"/>
      <w:r w:rsidR="00DC2341">
        <w:t>e.g.</w:t>
      </w:r>
      <w:proofErr w:type="gramEnd"/>
      <w:r w:rsidR="00DC2341">
        <w:t xml:space="preserve"> age, sex</w:t>
      </w:r>
      <w:r w:rsidR="001D6E21">
        <w:t xml:space="preserve"> </w:t>
      </w:r>
      <w:r w:rsidR="00DC2341">
        <w:t>etc.</w:t>
      </w:r>
      <w:r w:rsidR="001D6E21">
        <w:t>)</w:t>
      </w:r>
      <w:r w:rsidR="00DC2341">
        <w:t xml:space="preserve"> as these change slowly over time. These will be taken into account during the modelling of the underlying </w:t>
      </w:r>
      <w:proofErr w:type="gramStart"/>
      <w:r w:rsidR="00DC2341">
        <w:t>long term</w:t>
      </w:r>
      <w:proofErr w:type="gramEnd"/>
      <w:r w:rsidR="00DC2341">
        <w:t xml:space="preserve"> trend, alongside relevant time-varying confounders (e.g. seasonality).</w:t>
      </w:r>
      <w:r w:rsidR="0051475F">
        <w:t xml:space="preserve"> </w:t>
      </w:r>
    </w:p>
    <w:p w14:paraId="20182DB9" w14:textId="4D470C4B" w:rsidR="00AA0584" w:rsidRDefault="00AA0584" w:rsidP="0051475F">
      <w:pPr>
        <w:spacing w:after="0" w:line="240" w:lineRule="auto"/>
      </w:pPr>
    </w:p>
    <w:p w14:paraId="39AF71AA" w14:textId="1AA84720" w:rsidR="00AA0584" w:rsidRDefault="00AA0584" w:rsidP="0051475F">
      <w:pPr>
        <w:spacing w:after="0" w:line="240" w:lineRule="auto"/>
      </w:pPr>
    </w:p>
    <w:p w14:paraId="64CF1122" w14:textId="5DAC1EB9" w:rsidR="00AA0584" w:rsidRPr="008D468A" w:rsidRDefault="00AA0584" w:rsidP="00AA0584">
      <w:pPr>
        <w:jc w:val="both"/>
        <w:rPr>
          <w:b/>
          <w:bCs/>
        </w:rPr>
      </w:pPr>
      <w:r w:rsidRPr="00751F05">
        <w:rPr>
          <w:b/>
          <w:bCs/>
          <w:u w:val="single"/>
        </w:rPr>
        <w:t xml:space="preserve">Objective </w:t>
      </w:r>
      <w:r>
        <w:rPr>
          <w:b/>
          <w:bCs/>
          <w:u w:val="single"/>
        </w:rPr>
        <w:t>3</w:t>
      </w:r>
      <w:r w:rsidRPr="00751F05">
        <w:rPr>
          <w:b/>
          <w:bCs/>
          <w:u w:val="single"/>
        </w:rPr>
        <w:t>:</w:t>
      </w:r>
      <w:r>
        <w:t xml:space="preserve"> </w:t>
      </w:r>
      <w:r>
        <w:rPr>
          <w:b/>
          <w:bCs/>
        </w:rPr>
        <w:t>To estimate the i</w:t>
      </w:r>
      <w:r w:rsidRPr="008D468A">
        <w:rPr>
          <w:b/>
          <w:bCs/>
        </w:rPr>
        <w:t>mpact of missed treatment on future CVD events</w:t>
      </w:r>
    </w:p>
    <w:p w14:paraId="76D12269" w14:textId="35AC65B5" w:rsidR="00AA0584" w:rsidRDefault="00AA0584" w:rsidP="00AA0584">
      <w:pPr>
        <w:jc w:val="both"/>
      </w:pPr>
      <w:r>
        <w:t>T</w:t>
      </w:r>
      <w:r w:rsidRPr="008D468A">
        <w:t xml:space="preserve">he potential impact of missed cardiovascular risk factor treatment on CVD events </w:t>
      </w:r>
      <w:r>
        <w:t xml:space="preserve">will be estimated </w:t>
      </w:r>
      <w:r w:rsidRPr="008D468A">
        <w:t>using the most recent cost-effectiveness analysis model developed for the National Institute of Health and Care Excellence (NICE) (NICE guideline NG136)</w:t>
      </w:r>
      <w:r>
        <w:t xml:space="preserve"> for hypertension as an example</w:t>
      </w:r>
      <w:r w:rsidRPr="008D468A">
        <w:t>, adapting the base case to reflect characteristics of the hypertensive population</w:t>
      </w:r>
      <w:r>
        <w:t xml:space="preserve"> not receiving incident medication due to the pandemic</w:t>
      </w:r>
      <w:r w:rsidRPr="008D468A">
        <w:t xml:space="preserve">. </w:t>
      </w:r>
      <w:r>
        <w:t>C</w:t>
      </w:r>
      <w:r w:rsidRPr="008D468A">
        <w:t xml:space="preserve">haracteristics of the 2019 </w:t>
      </w:r>
      <w:r>
        <w:t>p</w:t>
      </w:r>
      <w:r w:rsidRPr="008D468A">
        <w:t xml:space="preserve">opulation </w:t>
      </w:r>
      <w:r>
        <w:t xml:space="preserve">receiving incident </w:t>
      </w:r>
      <w:r w:rsidRPr="008D468A">
        <w:t>antihypertensive</w:t>
      </w:r>
      <w:r>
        <w:t xml:space="preserve"> medication</w:t>
      </w:r>
      <w:r w:rsidRPr="008D468A">
        <w:t xml:space="preserve"> (mean age</w:t>
      </w:r>
      <w:r>
        <w:t xml:space="preserve"> and </w:t>
      </w:r>
      <w:r w:rsidRPr="008D468A">
        <w:t xml:space="preserve">proportion </w:t>
      </w:r>
      <w:r>
        <w:t>male/female</w:t>
      </w:r>
      <w:r w:rsidRPr="008D468A">
        <w:t xml:space="preserve">, </w:t>
      </w:r>
      <w:r>
        <w:t xml:space="preserve">with </w:t>
      </w:r>
      <w:r w:rsidRPr="008D468A">
        <w:t>T2DM</w:t>
      </w:r>
      <w:r>
        <w:t xml:space="preserve"> and</w:t>
      </w:r>
      <w:r w:rsidRPr="008D468A">
        <w:t xml:space="preserve"> smok</w:t>
      </w:r>
      <w:r>
        <w:t>ers</w:t>
      </w:r>
      <w:r w:rsidRPr="008D468A">
        <w:t xml:space="preserve">) </w:t>
      </w:r>
      <w:r>
        <w:t xml:space="preserve">will be entered into </w:t>
      </w:r>
      <w:r w:rsidRPr="008D468A">
        <w:t>the QRISK2 calculator</w:t>
      </w:r>
      <w:r>
        <w:t xml:space="preserve"> to</w:t>
      </w:r>
      <w:r w:rsidRPr="008D468A">
        <w:t xml:space="preserve"> calculate</w:t>
      </w:r>
      <w:r>
        <w:t xml:space="preserve"> the</w:t>
      </w:r>
      <w:r w:rsidRPr="008D468A">
        <w:t xml:space="preserve"> weighted 10-year QRISK2 scores for the NICE treatment effect model base case, additionally specifying SBP at 150mmHg (the threshold for stage 2 antihypertensive treatment using home blood pressure monitoring). Inputting these 10-year QRISK2 scores into the NICE model, we</w:t>
      </w:r>
      <w:r>
        <w:t xml:space="preserve"> will</w:t>
      </w:r>
      <w:r w:rsidRPr="008D468A">
        <w:t xml:space="preserve"> calculate the number of CVD events expected with and without hypertensive treatment (including stratification by stable and unstable angina</w:t>
      </w:r>
      <w:r>
        <w:t>,</w:t>
      </w:r>
      <w:r w:rsidRPr="008D468A">
        <w:t xml:space="preserve"> MI, transient ischaemic attack, stroke and heart failure). </w:t>
      </w:r>
      <w:r>
        <w:t>This will be</w:t>
      </w:r>
      <w:r w:rsidRPr="008D468A">
        <w:t xml:space="preserve"> scaled</w:t>
      </w:r>
      <w:r w:rsidR="0082679A">
        <w:t xml:space="preserve"> to</w:t>
      </w:r>
      <w:r w:rsidRPr="008D468A">
        <w:t xml:space="preserve"> the number </w:t>
      </w:r>
      <w:r>
        <w:t xml:space="preserve">of people with </w:t>
      </w:r>
      <w:r w:rsidRPr="008D468A">
        <w:t>missed incident hypertension</w:t>
      </w:r>
      <w:r w:rsidR="0082679A">
        <w:t xml:space="preserve"> treatment</w:t>
      </w:r>
      <w:r w:rsidRPr="008D468A">
        <w:t xml:space="preserve"> observed in our analyses across </w:t>
      </w:r>
      <w:r>
        <w:t xml:space="preserve">the whole populations of </w:t>
      </w:r>
      <w:r w:rsidRPr="008D468A">
        <w:t xml:space="preserve">England, </w:t>
      </w:r>
      <w:proofErr w:type="gramStart"/>
      <w:r w:rsidRPr="008D468A">
        <w:t>Scotland</w:t>
      </w:r>
      <w:proofErr w:type="gramEnd"/>
      <w:r w:rsidRPr="008D468A">
        <w:t xml:space="preserve"> and Wales. </w:t>
      </w:r>
    </w:p>
    <w:p w14:paraId="44BD4B3A" w14:textId="77777777" w:rsidR="00AA0584" w:rsidRDefault="00AA0584" w:rsidP="0051475F">
      <w:pPr>
        <w:spacing w:after="0" w:line="240" w:lineRule="auto"/>
      </w:pPr>
    </w:p>
    <w:sectPr w:rsidR="00AA0584" w:rsidSect="0051475F">
      <w:footerReference w:type="default" r:id="rId8"/>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81796" w14:textId="77777777" w:rsidR="00A72AEE" w:rsidRDefault="00A72AEE" w:rsidP="00C07E74">
      <w:pPr>
        <w:spacing w:after="0" w:line="240" w:lineRule="auto"/>
      </w:pPr>
      <w:r>
        <w:separator/>
      </w:r>
    </w:p>
  </w:endnote>
  <w:endnote w:type="continuationSeparator" w:id="0">
    <w:p w14:paraId="2FD27D08" w14:textId="77777777" w:rsidR="00A72AEE" w:rsidRDefault="00A72AEE" w:rsidP="00C07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panose1 w:val="020B0604020202020204"/>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Liberation Serif">
    <w:altName w:val="Times New Roman"/>
    <w:panose1 w:val="020B0604020202020204"/>
    <w:charset w:val="01"/>
    <w:family w:val="roman"/>
    <w:pitch w:val="variable"/>
  </w:font>
  <w:font w:name="Noto Sans CJK SC Regular">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905486"/>
      <w:docPartObj>
        <w:docPartGallery w:val="Page Numbers (Bottom of Page)"/>
        <w:docPartUnique/>
      </w:docPartObj>
    </w:sdtPr>
    <w:sdtEndPr>
      <w:rPr>
        <w:noProof/>
      </w:rPr>
    </w:sdtEndPr>
    <w:sdtContent>
      <w:p w14:paraId="63044FA5" w14:textId="69E2321E" w:rsidR="00C07E74" w:rsidRDefault="00C07E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0F80B0" w14:textId="77777777" w:rsidR="00C07E74" w:rsidRDefault="00C07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CE9FE" w14:textId="77777777" w:rsidR="00A72AEE" w:rsidRDefault="00A72AEE" w:rsidP="00C07E74">
      <w:pPr>
        <w:spacing w:after="0" w:line="240" w:lineRule="auto"/>
      </w:pPr>
      <w:r>
        <w:separator/>
      </w:r>
    </w:p>
  </w:footnote>
  <w:footnote w:type="continuationSeparator" w:id="0">
    <w:p w14:paraId="139D6ADD" w14:textId="77777777" w:rsidR="00A72AEE" w:rsidRDefault="00A72AEE" w:rsidP="00C07E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9E2"/>
    <w:multiLevelType w:val="multilevel"/>
    <w:tmpl w:val="0958CED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2313A9E"/>
    <w:multiLevelType w:val="multilevel"/>
    <w:tmpl w:val="042C45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B4F1971"/>
    <w:multiLevelType w:val="multilevel"/>
    <w:tmpl w:val="72CA146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E517AD5"/>
    <w:multiLevelType w:val="hybridMultilevel"/>
    <w:tmpl w:val="2E90C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956ED3"/>
    <w:multiLevelType w:val="multilevel"/>
    <w:tmpl w:val="C922A4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9E32D0"/>
    <w:multiLevelType w:val="multilevel"/>
    <w:tmpl w:val="257C5ED8"/>
    <w:lvl w:ilvl="0">
      <w:start w:val="1"/>
      <w:numFmt w:val="bullet"/>
      <w:lvlText w:val="•"/>
      <w:lvlJc w:val="left"/>
      <w:pPr>
        <w:ind w:left="1080" w:hanging="72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C093572"/>
    <w:multiLevelType w:val="multilevel"/>
    <w:tmpl w:val="49BC03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C9E0DF8"/>
    <w:multiLevelType w:val="multilevel"/>
    <w:tmpl w:val="36BA10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3A65E7D"/>
    <w:multiLevelType w:val="hybridMultilevel"/>
    <w:tmpl w:val="467C5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CE6DB5"/>
    <w:multiLevelType w:val="multilevel"/>
    <w:tmpl w:val="F796F2C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9DA47CA"/>
    <w:multiLevelType w:val="multilevel"/>
    <w:tmpl w:val="A85A1F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2A564D6C"/>
    <w:multiLevelType w:val="multilevel"/>
    <w:tmpl w:val="E0F2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443150"/>
    <w:multiLevelType w:val="multilevel"/>
    <w:tmpl w:val="EA3C8028"/>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55DE5E9D"/>
    <w:multiLevelType w:val="hybridMultilevel"/>
    <w:tmpl w:val="C9FAF084"/>
    <w:lvl w:ilvl="0" w:tplc="253A91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D6578B"/>
    <w:multiLevelType w:val="multilevel"/>
    <w:tmpl w:val="49BC03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1844D29"/>
    <w:multiLevelType w:val="hybridMultilevel"/>
    <w:tmpl w:val="A27635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3655334"/>
    <w:multiLevelType w:val="hybridMultilevel"/>
    <w:tmpl w:val="79E82F6C"/>
    <w:lvl w:ilvl="0" w:tplc="C4BE39E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A62382"/>
    <w:multiLevelType w:val="hybridMultilevel"/>
    <w:tmpl w:val="17DA7E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C8B6064"/>
    <w:multiLevelType w:val="multilevel"/>
    <w:tmpl w:val="49BC03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81608746">
    <w:abstractNumId w:val="17"/>
  </w:num>
  <w:num w:numId="2" w16cid:durableId="290673176">
    <w:abstractNumId w:val="12"/>
  </w:num>
  <w:num w:numId="3" w16cid:durableId="1125462663">
    <w:abstractNumId w:val="1"/>
  </w:num>
  <w:num w:numId="4" w16cid:durableId="2008089591">
    <w:abstractNumId w:val="5"/>
  </w:num>
  <w:num w:numId="5" w16cid:durableId="1021004560">
    <w:abstractNumId w:val="4"/>
  </w:num>
  <w:num w:numId="6" w16cid:durableId="74056370">
    <w:abstractNumId w:val="6"/>
  </w:num>
  <w:num w:numId="7" w16cid:durableId="446394596">
    <w:abstractNumId w:val="7"/>
  </w:num>
  <w:num w:numId="8" w16cid:durableId="156112287">
    <w:abstractNumId w:val="10"/>
  </w:num>
  <w:num w:numId="9" w16cid:durableId="1205481847">
    <w:abstractNumId w:val="2"/>
  </w:num>
  <w:num w:numId="10" w16cid:durableId="1937208232">
    <w:abstractNumId w:val="9"/>
  </w:num>
  <w:num w:numId="11" w16cid:durableId="1448087830">
    <w:abstractNumId w:val="0"/>
  </w:num>
  <w:num w:numId="12" w16cid:durableId="1320111284">
    <w:abstractNumId w:val="14"/>
  </w:num>
  <w:num w:numId="13" w16cid:durableId="1611006995">
    <w:abstractNumId w:val="18"/>
  </w:num>
  <w:num w:numId="14" w16cid:durableId="1548294706">
    <w:abstractNumId w:val="15"/>
  </w:num>
  <w:num w:numId="15" w16cid:durableId="517042872">
    <w:abstractNumId w:val="8"/>
  </w:num>
  <w:num w:numId="16" w16cid:durableId="956565524">
    <w:abstractNumId w:val="3"/>
  </w:num>
  <w:num w:numId="17" w16cid:durableId="1210190619">
    <w:abstractNumId w:val="13"/>
  </w:num>
  <w:num w:numId="18" w16cid:durableId="1755589708">
    <w:abstractNumId w:val="16"/>
  </w:num>
  <w:num w:numId="19" w16cid:durableId="12663062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A1"/>
    <w:rsid w:val="00011DF0"/>
    <w:rsid w:val="00065257"/>
    <w:rsid w:val="000E74B0"/>
    <w:rsid w:val="000F687A"/>
    <w:rsid w:val="00154196"/>
    <w:rsid w:val="001A2CB2"/>
    <w:rsid w:val="001D1DFB"/>
    <w:rsid w:val="001D6E21"/>
    <w:rsid w:val="001F5171"/>
    <w:rsid w:val="002203DE"/>
    <w:rsid w:val="00265013"/>
    <w:rsid w:val="002A248A"/>
    <w:rsid w:val="002B724D"/>
    <w:rsid w:val="002F4743"/>
    <w:rsid w:val="00341FA8"/>
    <w:rsid w:val="00350B1A"/>
    <w:rsid w:val="003A37BD"/>
    <w:rsid w:val="003B3B07"/>
    <w:rsid w:val="003F3151"/>
    <w:rsid w:val="0040141D"/>
    <w:rsid w:val="0048415D"/>
    <w:rsid w:val="004D1999"/>
    <w:rsid w:val="0051475F"/>
    <w:rsid w:val="00551B40"/>
    <w:rsid w:val="00563DCD"/>
    <w:rsid w:val="00577E3C"/>
    <w:rsid w:val="0059339F"/>
    <w:rsid w:val="005A2C10"/>
    <w:rsid w:val="005D3D14"/>
    <w:rsid w:val="005E2FA0"/>
    <w:rsid w:val="00602A6C"/>
    <w:rsid w:val="00625939"/>
    <w:rsid w:val="00626136"/>
    <w:rsid w:val="006447D7"/>
    <w:rsid w:val="0066254B"/>
    <w:rsid w:val="0066367B"/>
    <w:rsid w:val="00671003"/>
    <w:rsid w:val="006C1934"/>
    <w:rsid w:val="00751F05"/>
    <w:rsid w:val="007565C8"/>
    <w:rsid w:val="00762FC5"/>
    <w:rsid w:val="007668BD"/>
    <w:rsid w:val="00783BC0"/>
    <w:rsid w:val="007922AE"/>
    <w:rsid w:val="0082679A"/>
    <w:rsid w:val="009B4176"/>
    <w:rsid w:val="009B6F63"/>
    <w:rsid w:val="00A15C75"/>
    <w:rsid w:val="00A52717"/>
    <w:rsid w:val="00A72AEE"/>
    <w:rsid w:val="00A93676"/>
    <w:rsid w:val="00AA0584"/>
    <w:rsid w:val="00AF0E69"/>
    <w:rsid w:val="00B116A1"/>
    <w:rsid w:val="00B370BA"/>
    <w:rsid w:val="00C07E74"/>
    <w:rsid w:val="00C215C1"/>
    <w:rsid w:val="00C21A0F"/>
    <w:rsid w:val="00D22C8C"/>
    <w:rsid w:val="00D2689C"/>
    <w:rsid w:val="00DB1C68"/>
    <w:rsid w:val="00DB5DB4"/>
    <w:rsid w:val="00DC2341"/>
    <w:rsid w:val="00DF4858"/>
    <w:rsid w:val="00E63620"/>
    <w:rsid w:val="00E83F80"/>
    <w:rsid w:val="00E84B0C"/>
    <w:rsid w:val="00E85B45"/>
    <w:rsid w:val="00E947DD"/>
    <w:rsid w:val="00E94D28"/>
    <w:rsid w:val="00EC2599"/>
    <w:rsid w:val="00F71382"/>
    <w:rsid w:val="00FC2D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15CC1"/>
  <w14:defaultImageDpi w14:val="32767"/>
  <w15:chartTrackingRefBased/>
  <w15:docId w15:val="{7E13CEFC-35CE-DE45-946A-CE4D9F38E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116A1"/>
    <w:pPr>
      <w:spacing w:after="160" w:line="259" w:lineRule="auto"/>
    </w:pPr>
    <w:rPr>
      <w:sz w:val="22"/>
      <w:szCs w:val="22"/>
    </w:rPr>
  </w:style>
  <w:style w:type="paragraph" w:styleId="Heading1">
    <w:name w:val="heading 1"/>
    <w:basedOn w:val="Heading"/>
    <w:link w:val="Heading1Char"/>
    <w:qFormat/>
    <w:rsid w:val="000E74B0"/>
    <w:pPr>
      <w:numPr>
        <w:numId w:val="2"/>
      </w:numPr>
      <w:outlineLvl w:val="0"/>
    </w:pPr>
    <w:rPr>
      <w:b/>
      <w:bCs/>
      <w:sz w:val="36"/>
      <w:szCs w:val="36"/>
    </w:rPr>
  </w:style>
  <w:style w:type="paragraph" w:styleId="Heading2">
    <w:name w:val="heading 2"/>
    <w:basedOn w:val="Heading"/>
    <w:link w:val="Heading2Char"/>
    <w:qFormat/>
    <w:rsid w:val="000E74B0"/>
    <w:pPr>
      <w:numPr>
        <w:ilvl w:val="1"/>
        <w:numId w:val="2"/>
      </w:numPr>
      <w:spacing w:before="200"/>
      <w:outlineLvl w:val="1"/>
    </w:pPr>
    <w:rPr>
      <w:b/>
      <w:bCs/>
      <w:sz w:val="32"/>
      <w:szCs w:val="32"/>
    </w:rPr>
  </w:style>
  <w:style w:type="paragraph" w:styleId="Heading3">
    <w:name w:val="heading 3"/>
    <w:basedOn w:val="Heading"/>
    <w:link w:val="Heading3Char"/>
    <w:qFormat/>
    <w:rsid w:val="000E74B0"/>
    <w:pPr>
      <w:numPr>
        <w:ilvl w:val="2"/>
        <w:numId w:val="2"/>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6A1"/>
    <w:pPr>
      <w:ind w:left="720"/>
      <w:contextualSpacing/>
    </w:pPr>
  </w:style>
  <w:style w:type="character" w:customStyle="1" w:styleId="Heading1Char">
    <w:name w:val="Heading 1 Char"/>
    <w:basedOn w:val="DefaultParagraphFont"/>
    <w:link w:val="Heading1"/>
    <w:rsid w:val="000E74B0"/>
    <w:rPr>
      <w:rFonts w:ascii="Liberation Sans" w:eastAsia="Noto Sans CJK SC" w:hAnsi="Liberation Sans" w:cs="Lohit Devanagari"/>
      <w:b/>
      <w:bCs/>
      <w:sz w:val="36"/>
      <w:szCs w:val="36"/>
    </w:rPr>
  </w:style>
  <w:style w:type="character" w:customStyle="1" w:styleId="Heading2Char">
    <w:name w:val="Heading 2 Char"/>
    <w:basedOn w:val="DefaultParagraphFont"/>
    <w:link w:val="Heading2"/>
    <w:rsid w:val="000E74B0"/>
    <w:rPr>
      <w:rFonts w:ascii="Liberation Sans" w:eastAsia="Noto Sans CJK SC" w:hAnsi="Liberation Sans" w:cs="Lohit Devanagari"/>
      <w:b/>
      <w:bCs/>
      <w:sz w:val="32"/>
      <w:szCs w:val="32"/>
    </w:rPr>
  </w:style>
  <w:style w:type="character" w:customStyle="1" w:styleId="Heading3Char">
    <w:name w:val="Heading 3 Char"/>
    <w:basedOn w:val="DefaultParagraphFont"/>
    <w:link w:val="Heading3"/>
    <w:rsid w:val="000E74B0"/>
    <w:rPr>
      <w:rFonts w:ascii="Liberation Sans" w:eastAsia="Noto Sans CJK SC" w:hAnsi="Liberation Sans" w:cs="Lohit Devanagari"/>
      <w:b/>
      <w:bCs/>
      <w:sz w:val="28"/>
      <w:szCs w:val="28"/>
    </w:rPr>
  </w:style>
  <w:style w:type="character" w:customStyle="1" w:styleId="HeaderChar">
    <w:name w:val="Header Char"/>
    <w:basedOn w:val="DefaultParagraphFont"/>
    <w:link w:val="Header"/>
    <w:uiPriority w:val="99"/>
    <w:qFormat/>
    <w:rsid w:val="000E74B0"/>
  </w:style>
  <w:style w:type="character" w:customStyle="1" w:styleId="FooterChar">
    <w:name w:val="Footer Char"/>
    <w:basedOn w:val="DefaultParagraphFont"/>
    <w:link w:val="Footer"/>
    <w:uiPriority w:val="99"/>
    <w:qFormat/>
    <w:rsid w:val="000E74B0"/>
  </w:style>
  <w:style w:type="character" w:customStyle="1" w:styleId="InternetLink">
    <w:name w:val="Internet Link"/>
    <w:basedOn w:val="DefaultParagraphFont"/>
    <w:uiPriority w:val="99"/>
    <w:unhideWhenUsed/>
    <w:rsid w:val="000E74B0"/>
    <w:rPr>
      <w:color w:val="0000FF"/>
      <w:u w:val="single"/>
    </w:rPr>
  </w:style>
  <w:style w:type="character" w:customStyle="1" w:styleId="ListLabel1">
    <w:name w:val="ListLabel 1"/>
    <w:qFormat/>
    <w:rsid w:val="000E74B0"/>
    <w:rPr>
      <w:rFonts w:cs="Courier New"/>
    </w:rPr>
  </w:style>
  <w:style w:type="character" w:customStyle="1" w:styleId="ListLabel2">
    <w:name w:val="ListLabel 2"/>
    <w:qFormat/>
    <w:rsid w:val="000E74B0"/>
    <w:rPr>
      <w:rFonts w:cs="Courier New"/>
    </w:rPr>
  </w:style>
  <w:style w:type="character" w:customStyle="1" w:styleId="ListLabel3">
    <w:name w:val="ListLabel 3"/>
    <w:qFormat/>
    <w:rsid w:val="000E74B0"/>
    <w:rPr>
      <w:rFonts w:cs="Courier New"/>
    </w:rPr>
  </w:style>
  <w:style w:type="character" w:customStyle="1" w:styleId="ListLabel4">
    <w:name w:val="ListLabel 4"/>
    <w:qFormat/>
    <w:rsid w:val="000E74B0"/>
    <w:rPr>
      <w:rFonts w:eastAsia="Calibri" w:cs="Calibri"/>
    </w:rPr>
  </w:style>
  <w:style w:type="character" w:customStyle="1" w:styleId="ListLabel5">
    <w:name w:val="ListLabel 5"/>
    <w:qFormat/>
    <w:rsid w:val="000E74B0"/>
    <w:rPr>
      <w:rFonts w:cs="Courier New"/>
    </w:rPr>
  </w:style>
  <w:style w:type="character" w:customStyle="1" w:styleId="ListLabel6">
    <w:name w:val="ListLabel 6"/>
    <w:qFormat/>
    <w:rsid w:val="000E74B0"/>
    <w:rPr>
      <w:rFonts w:cs="Courier New"/>
    </w:rPr>
  </w:style>
  <w:style w:type="character" w:customStyle="1" w:styleId="ListLabel7">
    <w:name w:val="ListLabel 7"/>
    <w:qFormat/>
    <w:rsid w:val="000E74B0"/>
    <w:rPr>
      <w:rFonts w:cs="Courier New"/>
    </w:rPr>
  </w:style>
  <w:style w:type="character" w:customStyle="1" w:styleId="ListLabel8">
    <w:name w:val="ListLabel 8"/>
    <w:qFormat/>
    <w:rsid w:val="000E74B0"/>
    <w:rPr>
      <w:rFonts w:cs="Courier New"/>
    </w:rPr>
  </w:style>
  <w:style w:type="character" w:customStyle="1" w:styleId="ListLabel9">
    <w:name w:val="ListLabel 9"/>
    <w:qFormat/>
    <w:rsid w:val="000E74B0"/>
    <w:rPr>
      <w:rFonts w:cs="Courier New"/>
    </w:rPr>
  </w:style>
  <w:style w:type="character" w:customStyle="1" w:styleId="ListLabel10">
    <w:name w:val="ListLabel 10"/>
    <w:qFormat/>
    <w:rsid w:val="000E74B0"/>
    <w:rPr>
      <w:rFonts w:cs="Courier New"/>
    </w:rPr>
  </w:style>
  <w:style w:type="character" w:customStyle="1" w:styleId="ListLabel11">
    <w:name w:val="ListLabel 11"/>
    <w:qFormat/>
    <w:rsid w:val="000E74B0"/>
  </w:style>
  <w:style w:type="character" w:customStyle="1" w:styleId="Bullets">
    <w:name w:val="Bullets"/>
    <w:qFormat/>
    <w:rsid w:val="000E74B0"/>
    <w:rPr>
      <w:rFonts w:ascii="OpenSymbol" w:eastAsia="OpenSymbol" w:hAnsi="OpenSymbol" w:cs="OpenSymbol"/>
    </w:rPr>
  </w:style>
  <w:style w:type="character" w:customStyle="1" w:styleId="ListLabel12">
    <w:name w:val="ListLabel 12"/>
    <w:qFormat/>
    <w:rsid w:val="000E74B0"/>
    <w:rPr>
      <w:rFonts w:cs="Calibri"/>
    </w:rPr>
  </w:style>
  <w:style w:type="character" w:customStyle="1" w:styleId="ListLabel13">
    <w:name w:val="ListLabel 13"/>
    <w:qFormat/>
    <w:rsid w:val="000E74B0"/>
    <w:rPr>
      <w:rFonts w:cs="Courier New"/>
    </w:rPr>
  </w:style>
  <w:style w:type="character" w:customStyle="1" w:styleId="ListLabel14">
    <w:name w:val="ListLabel 14"/>
    <w:qFormat/>
    <w:rsid w:val="000E74B0"/>
    <w:rPr>
      <w:rFonts w:cs="Wingdings"/>
    </w:rPr>
  </w:style>
  <w:style w:type="character" w:customStyle="1" w:styleId="ListLabel15">
    <w:name w:val="ListLabel 15"/>
    <w:qFormat/>
    <w:rsid w:val="000E74B0"/>
    <w:rPr>
      <w:rFonts w:cs="Symbol"/>
    </w:rPr>
  </w:style>
  <w:style w:type="character" w:customStyle="1" w:styleId="ListLabel16">
    <w:name w:val="ListLabel 16"/>
    <w:qFormat/>
    <w:rsid w:val="000E74B0"/>
    <w:rPr>
      <w:rFonts w:cs="Courier New"/>
    </w:rPr>
  </w:style>
  <w:style w:type="character" w:customStyle="1" w:styleId="ListLabel17">
    <w:name w:val="ListLabel 17"/>
    <w:qFormat/>
    <w:rsid w:val="000E74B0"/>
    <w:rPr>
      <w:rFonts w:cs="Wingdings"/>
    </w:rPr>
  </w:style>
  <w:style w:type="character" w:customStyle="1" w:styleId="ListLabel18">
    <w:name w:val="ListLabel 18"/>
    <w:qFormat/>
    <w:rsid w:val="000E74B0"/>
    <w:rPr>
      <w:rFonts w:cs="Symbol"/>
    </w:rPr>
  </w:style>
  <w:style w:type="character" w:customStyle="1" w:styleId="ListLabel19">
    <w:name w:val="ListLabel 19"/>
    <w:qFormat/>
    <w:rsid w:val="000E74B0"/>
    <w:rPr>
      <w:rFonts w:cs="Courier New"/>
    </w:rPr>
  </w:style>
  <w:style w:type="character" w:customStyle="1" w:styleId="ListLabel20">
    <w:name w:val="ListLabel 20"/>
    <w:qFormat/>
    <w:rsid w:val="000E74B0"/>
    <w:rPr>
      <w:rFonts w:cs="Wingdings"/>
    </w:rPr>
  </w:style>
  <w:style w:type="character" w:customStyle="1" w:styleId="ListLabel21">
    <w:name w:val="ListLabel 21"/>
    <w:qFormat/>
    <w:rsid w:val="000E74B0"/>
    <w:rPr>
      <w:rFonts w:cs="Symbol"/>
    </w:rPr>
  </w:style>
  <w:style w:type="character" w:customStyle="1" w:styleId="ListLabel22">
    <w:name w:val="ListLabel 22"/>
    <w:qFormat/>
    <w:rsid w:val="000E74B0"/>
    <w:rPr>
      <w:rFonts w:cs="Courier New"/>
    </w:rPr>
  </w:style>
  <w:style w:type="character" w:customStyle="1" w:styleId="ListLabel23">
    <w:name w:val="ListLabel 23"/>
    <w:qFormat/>
    <w:rsid w:val="000E74B0"/>
    <w:rPr>
      <w:rFonts w:cs="Wingdings"/>
    </w:rPr>
  </w:style>
  <w:style w:type="character" w:customStyle="1" w:styleId="ListLabel24">
    <w:name w:val="ListLabel 24"/>
    <w:qFormat/>
    <w:rsid w:val="000E74B0"/>
    <w:rPr>
      <w:rFonts w:cs="Symbol"/>
    </w:rPr>
  </w:style>
  <w:style w:type="character" w:customStyle="1" w:styleId="ListLabel25">
    <w:name w:val="ListLabel 25"/>
    <w:qFormat/>
    <w:rsid w:val="000E74B0"/>
    <w:rPr>
      <w:rFonts w:cs="Courier New"/>
    </w:rPr>
  </w:style>
  <w:style w:type="character" w:customStyle="1" w:styleId="ListLabel26">
    <w:name w:val="ListLabel 26"/>
    <w:qFormat/>
    <w:rsid w:val="000E74B0"/>
    <w:rPr>
      <w:rFonts w:cs="Wingdings"/>
    </w:rPr>
  </w:style>
  <w:style w:type="character" w:customStyle="1" w:styleId="ListLabel27">
    <w:name w:val="ListLabel 27"/>
    <w:qFormat/>
    <w:rsid w:val="000E74B0"/>
    <w:rPr>
      <w:rFonts w:cs="Symbol"/>
    </w:rPr>
  </w:style>
  <w:style w:type="character" w:customStyle="1" w:styleId="ListLabel28">
    <w:name w:val="ListLabel 28"/>
    <w:qFormat/>
    <w:rsid w:val="000E74B0"/>
    <w:rPr>
      <w:rFonts w:cs="Courier New"/>
    </w:rPr>
  </w:style>
  <w:style w:type="character" w:customStyle="1" w:styleId="ListLabel29">
    <w:name w:val="ListLabel 29"/>
    <w:qFormat/>
    <w:rsid w:val="000E74B0"/>
    <w:rPr>
      <w:rFonts w:cs="Wingdings"/>
    </w:rPr>
  </w:style>
  <w:style w:type="character" w:customStyle="1" w:styleId="ListLabel30">
    <w:name w:val="ListLabel 30"/>
    <w:qFormat/>
    <w:rsid w:val="000E74B0"/>
    <w:rPr>
      <w:rFonts w:cs="OpenSymbol"/>
    </w:rPr>
  </w:style>
  <w:style w:type="character" w:customStyle="1" w:styleId="ListLabel31">
    <w:name w:val="ListLabel 31"/>
    <w:qFormat/>
    <w:rsid w:val="000E74B0"/>
    <w:rPr>
      <w:rFonts w:cs="OpenSymbol"/>
    </w:rPr>
  </w:style>
  <w:style w:type="character" w:customStyle="1" w:styleId="ListLabel32">
    <w:name w:val="ListLabel 32"/>
    <w:qFormat/>
    <w:rsid w:val="000E74B0"/>
    <w:rPr>
      <w:rFonts w:cs="OpenSymbol"/>
    </w:rPr>
  </w:style>
  <w:style w:type="character" w:customStyle="1" w:styleId="ListLabel33">
    <w:name w:val="ListLabel 33"/>
    <w:qFormat/>
    <w:rsid w:val="000E74B0"/>
    <w:rPr>
      <w:rFonts w:cs="OpenSymbol"/>
    </w:rPr>
  </w:style>
  <w:style w:type="character" w:customStyle="1" w:styleId="ListLabel34">
    <w:name w:val="ListLabel 34"/>
    <w:qFormat/>
    <w:rsid w:val="000E74B0"/>
    <w:rPr>
      <w:rFonts w:cs="OpenSymbol"/>
    </w:rPr>
  </w:style>
  <w:style w:type="character" w:customStyle="1" w:styleId="ListLabel35">
    <w:name w:val="ListLabel 35"/>
    <w:qFormat/>
    <w:rsid w:val="000E74B0"/>
    <w:rPr>
      <w:rFonts w:cs="OpenSymbol"/>
    </w:rPr>
  </w:style>
  <w:style w:type="character" w:customStyle="1" w:styleId="ListLabel36">
    <w:name w:val="ListLabel 36"/>
    <w:qFormat/>
    <w:rsid w:val="000E74B0"/>
    <w:rPr>
      <w:rFonts w:cs="OpenSymbol"/>
    </w:rPr>
  </w:style>
  <w:style w:type="character" w:customStyle="1" w:styleId="ListLabel37">
    <w:name w:val="ListLabel 37"/>
    <w:qFormat/>
    <w:rsid w:val="000E74B0"/>
    <w:rPr>
      <w:rFonts w:cs="OpenSymbol"/>
    </w:rPr>
  </w:style>
  <w:style w:type="character" w:customStyle="1" w:styleId="ListLabel38">
    <w:name w:val="ListLabel 38"/>
    <w:qFormat/>
    <w:rsid w:val="000E74B0"/>
    <w:rPr>
      <w:rFonts w:cs="OpenSymbol"/>
    </w:rPr>
  </w:style>
  <w:style w:type="character" w:customStyle="1" w:styleId="ListLabel39">
    <w:name w:val="ListLabel 39"/>
    <w:qFormat/>
    <w:rsid w:val="000E74B0"/>
    <w:rPr>
      <w:rFonts w:cs="OpenSymbol"/>
    </w:rPr>
  </w:style>
  <w:style w:type="character" w:customStyle="1" w:styleId="ListLabel40">
    <w:name w:val="ListLabel 40"/>
    <w:qFormat/>
    <w:rsid w:val="000E74B0"/>
    <w:rPr>
      <w:rFonts w:cs="OpenSymbol"/>
    </w:rPr>
  </w:style>
  <w:style w:type="character" w:customStyle="1" w:styleId="ListLabel41">
    <w:name w:val="ListLabel 41"/>
    <w:qFormat/>
    <w:rsid w:val="000E74B0"/>
    <w:rPr>
      <w:rFonts w:cs="OpenSymbol"/>
    </w:rPr>
  </w:style>
  <w:style w:type="character" w:customStyle="1" w:styleId="ListLabel42">
    <w:name w:val="ListLabel 42"/>
    <w:qFormat/>
    <w:rsid w:val="000E74B0"/>
    <w:rPr>
      <w:rFonts w:cs="OpenSymbol"/>
    </w:rPr>
  </w:style>
  <w:style w:type="character" w:customStyle="1" w:styleId="ListLabel43">
    <w:name w:val="ListLabel 43"/>
    <w:qFormat/>
    <w:rsid w:val="000E74B0"/>
    <w:rPr>
      <w:rFonts w:cs="OpenSymbol"/>
    </w:rPr>
  </w:style>
  <w:style w:type="character" w:customStyle="1" w:styleId="ListLabel44">
    <w:name w:val="ListLabel 44"/>
    <w:qFormat/>
    <w:rsid w:val="000E74B0"/>
    <w:rPr>
      <w:rFonts w:cs="OpenSymbol"/>
    </w:rPr>
  </w:style>
  <w:style w:type="character" w:customStyle="1" w:styleId="ListLabel45">
    <w:name w:val="ListLabel 45"/>
    <w:qFormat/>
    <w:rsid w:val="000E74B0"/>
    <w:rPr>
      <w:rFonts w:cs="OpenSymbol"/>
    </w:rPr>
  </w:style>
  <w:style w:type="character" w:customStyle="1" w:styleId="ListLabel46">
    <w:name w:val="ListLabel 46"/>
    <w:qFormat/>
    <w:rsid w:val="000E74B0"/>
    <w:rPr>
      <w:rFonts w:cs="OpenSymbol"/>
    </w:rPr>
  </w:style>
  <w:style w:type="character" w:customStyle="1" w:styleId="ListLabel47">
    <w:name w:val="ListLabel 47"/>
    <w:qFormat/>
    <w:rsid w:val="000E74B0"/>
    <w:rPr>
      <w:rFonts w:cs="OpenSymbol"/>
    </w:rPr>
  </w:style>
  <w:style w:type="character" w:customStyle="1" w:styleId="ListLabel48">
    <w:name w:val="ListLabel 48"/>
    <w:qFormat/>
    <w:rsid w:val="000E74B0"/>
    <w:rPr>
      <w:rFonts w:cs="OpenSymbol"/>
    </w:rPr>
  </w:style>
  <w:style w:type="character" w:customStyle="1" w:styleId="ListLabel49">
    <w:name w:val="ListLabel 49"/>
    <w:qFormat/>
    <w:rsid w:val="000E74B0"/>
    <w:rPr>
      <w:rFonts w:cs="OpenSymbol"/>
    </w:rPr>
  </w:style>
  <w:style w:type="character" w:customStyle="1" w:styleId="ListLabel50">
    <w:name w:val="ListLabel 50"/>
    <w:qFormat/>
    <w:rsid w:val="000E74B0"/>
    <w:rPr>
      <w:rFonts w:cs="OpenSymbol"/>
    </w:rPr>
  </w:style>
  <w:style w:type="character" w:customStyle="1" w:styleId="ListLabel51">
    <w:name w:val="ListLabel 51"/>
    <w:qFormat/>
    <w:rsid w:val="000E74B0"/>
    <w:rPr>
      <w:rFonts w:cs="OpenSymbol"/>
    </w:rPr>
  </w:style>
  <w:style w:type="character" w:customStyle="1" w:styleId="ListLabel52">
    <w:name w:val="ListLabel 52"/>
    <w:qFormat/>
    <w:rsid w:val="000E74B0"/>
    <w:rPr>
      <w:rFonts w:cs="OpenSymbol"/>
    </w:rPr>
  </w:style>
  <w:style w:type="character" w:customStyle="1" w:styleId="ListLabel53">
    <w:name w:val="ListLabel 53"/>
    <w:qFormat/>
    <w:rsid w:val="000E74B0"/>
    <w:rPr>
      <w:rFonts w:cs="OpenSymbol"/>
    </w:rPr>
  </w:style>
  <w:style w:type="character" w:customStyle="1" w:styleId="ListLabel54">
    <w:name w:val="ListLabel 54"/>
    <w:qFormat/>
    <w:rsid w:val="000E74B0"/>
    <w:rPr>
      <w:rFonts w:cs="OpenSymbol"/>
    </w:rPr>
  </w:style>
  <w:style w:type="character" w:customStyle="1" w:styleId="ListLabel55">
    <w:name w:val="ListLabel 55"/>
    <w:qFormat/>
    <w:rsid w:val="000E74B0"/>
    <w:rPr>
      <w:rFonts w:cs="OpenSymbol"/>
    </w:rPr>
  </w:style>
  <w:style w:type="character" w:customStyle="1" w:styleId="ListLabel56">
    <w:name w:val="ListLabel 56"/>
    <w:qFormat/>
    <w:rsid w:val="000E74B0"/>
    <w:rPr>
      <w:rFonts w:cs="OpenSymbol"/>
    </w:rPr>
  </w:style>
  <w:style w:type="character" w:customStyle="1" w:styleId="ListLabel57">
    <w:name w:val="ListLabel 57"/>
    <w:qFormat/>
    <w:rsid w:val="000E74B0"/>
    <w:rPr>
      <w:rFonts w:cs="OpenSymbol"/>
    </w:rPr>
  </w:style>
  <w:style w:type="character" w:customStyle="1" w:styleId="ListLabel58">
    <w:name w:val="ListLabel 58"/>
    <w:qFormat/>
    <w:rsid w:val="000E74B0"/>
    <w:rPr>
      <w:rFonts w:cs="OpenSymbol"/>
    </w:rPr>
  </w:style>
  <w:style w:type="character" w:customStyle="1" w:styleId="ListLabel59">
    <w:name w:val="ListLabel 59"/>
    <w:qFormat/>
    <w:rsid w:val="000E74B0"/>
    <w:rPr>
      <w:rFonts w:cs="OpenSymbol"/>
    </w:rPr>
  </w:style>
  <w:style w:type="character" w:customStyle="1" w:styleId="ListLabel60">
    <w:name w:val="ListLabel 60"/>
    <w:qFormat/>
    <w:rsid w:val="000E74B0"/>
    <w:rPr>
      <w:rFonts w:cs="OpenSymbol"/>
    </w:rPr>
  </w:style>
  <w:style w:type="character" w:customStyle="1" w:styleId="ListLabel61">
    <w:name w:val="ListLabel 61"/>
    <w:qFormat/>
    <w:rsid w:val="000E74B0"/>
    <w:rPr>
      <w:rFonts w:cs="OpenSymbol"/>
    </w:rPr>
  </w:style>
  <w:style w:type="character" w:customStyle="1" w:styleId="ListLabel62">
    <w:name w:val="ListLabel 62"/>
    <w:qFormat/>
    <w:rsid w:val="000E74B0"/>
    <w:rPr>
      <w:rFonts w:cs="OpenSymbol"/>
    </w:rPr>
  </w:style>
  <w:style w:type="character" w:customStyle="1" w:styleId="ListLabel63">
    <w:name w:val="ListLabel 63"/>
    <w:qFormat/>
    <w:rsid w:val="000E74B0"/>
    <w:rPr>
      <w:rFonts w:cs="OpenSymbol"/>
    </w:rPr>
  </w:style>
  <w:style w:type="character" w:customStyle="1" w:styleId="ListLabel64">
    <w:name w:val="ListLabel 64"/>
    <w:qFormat/>
    <w:rsid w:val="000E74B0"/>
    <w:rPr>
      <w:rFonts w:cs="OpenSymbol"/>
    </w:rPr>
  </w:style>
  <w:style w:type="character" w:customStyle="1" w:styleId="ListLabel65">
    <w:name w:val="ListLabel 65"/>
    <w:qFormat/>
    <w:rsid w:val="000E74B0"/>
    <w:rPr>
      <w:rFonts w:cs="OpenSymbol"/>
    </w:rPr>
  </w:style>
  <w:style w:type="character" w:customStyle="1" w:styleId="ListLabel66">
    <w:name w:val="ListLabel 66"/>
    <w:qFormat/>
    <w:rsid w:val="000E74B0"/>
    <w:rPr>
      <w:rFonts w:cstheme="minorHAnsi"/>
    </w:rPr>
  </w:style>
  <w:style w:type="character" w:customStyle="1" w:styleId="ListLabel67">
    <w:name w:val="ListLabel 67"/>
    <w:qFormat/>
    <w:rsid w:val="000E74B0"/>
  </w:style>
  <w:style w:type="character" w:customStyle="1" w:styleId="ListLabel68">
    <w:name w:val="ListLabel 68"/>
    <w:qFormat/>
    <w:rsid w:val="000E74B0"/>
    <w:rPr>
      <w:rFonts w:cs="Calibri"/>
    </w:rPr>
  </w:style>
  <w:style w:type="paragraph" w:customStyle="1" w:styleId="Heading">
    <w:name w:val="Heading"/>
    <w:basedOn w:val="Normal"/>
    <w:next w:val="BodyText"/>
    <w:qFormat/>
    <w:rsid w:val="000E74B0"/>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0E74B0"/>
    <w:pPr>
      <w:spacing w:after="140" w:line="276" w:lineRule="auto"/>
    </w:pPr>
  </w:style>
  <w:style w:type="character" w:customStyle="1" w:styleId="BodyTextChar">
    <w:name w:val="Body Text Char"/>
    <w:basedOn w:val="DefaultParagraphFont"/>
    <w:link w:val="BodyText"/>
    <w:rsid w:val="000E74B0"/>
    <w:rPr>
      <w:sz w:val="22"/>
      <w:szCs w:val="22"/>
    </w:rPr>
  </w:style>
  <w:style w:type="paragraph" w:styleId="List">
    <w:name w:val="List"/>
    <w:basedOn w:val="BodyText"/>
    <w:rsid w:val="000E74B0"/>
    <w:rPr>
      <w:rFonts w:cs="Lohit Devanagari"/>
    </w:rPr>
  </w:style>
  <w:style w:type="paragraph" w:styleId="Caption">
    <w:name w:val="caption"/>
    <w:basedOn w:val="Normal"/>
    <w:qFormat/>
    <w:rsid w:val="000E74B0"/>
    <w:pPr>
      <w:suppressLineNumbers/>
      <w:spacing w:before="120" w:after="120"/>
    </w:pPr>
    <w:rPr>
      <w:rFonts w:cs="Lohit Devanagari"/>
      <w:i/>
      <w:iCs/>
      <w:sz w:val="24"/>
      <w:szCs w:val="24"/>
    </w:rPr>
  </w:style>
  <w:style w:type="paragraph" w:customStyle="1" w:styleId="Index">
    <w:name w:val="Index"/>
    <w:basedOn w:val="Normal"/>
    <w:qFormat/>
    <w:rsid w:val="000E74B0"/>
    <w:pPr>
      <w:suppressLineNumbers/>
    </w:pPr>
    <w:rPr>
      <w:rFonts w:cs="Lohit Devanagari"/>
    </w:rPr>
  </w:style>
  <w:style w:type="paragraph" w:styleId="Header">
    <w:name w:val="header"/>
    <w:basedOn w:val="Normal"/>
    <w:link w:val="HeaderChar"/>
    <w:uiPriority w:val="99"/>
    <w:unhideWhenUsed/>
    <w:rsid w:val="000E74B0"/>
    <w:pPr>
      <w:tabs>
        <w:tab w:val="center" w:pos="4513"/>
        <w:tab w:val="right" w:pos="9026"/>
      </w:tabs>
      <w:spacing w:after="0" w:line="240" w:lineRule="auto"/>
    </w:pPr>
    <w:rPr>
      <w:sz w:val="24"/>
      <w:szCs w:val="24"/>
    </w:rPr>
  </w:style>
  <w:style w:type="character" w:customStyle="1" w:styleId="HeaderChar1">
    <w:name w:val="Header Char1"/>
    <w:basedOn w:val="DefaultParagraphFont"/>
    <w:uiPriority w:val="99"/>
    <w:semiHidden/>
    <w:rsid w:val="000E74B0"/>
    <w:rPr>
      <w:sz w:val="22"/>
      <w:szCs w:val="22"/>
    </w:rPr>
  </w:style>
  <w:style w:type="paragraph" w:styleId="Footer">
    <w:name w:val="footer"/>
    <w:basedOn w:val="Normal"/>
    <w:link w:val="FooterChar"/>
    <w:uiPriority w:val="99"/>
    <w:unhideWhenUsed/>
    <w:rsid w:val="000E74B0"/>
    <w:pPr>
      <w:tabs>
        <w:tab w:val="center" w:pos="4513"/>
        <w:tab w:val="right" w:pos="9026"/>
      </w:tabs>
      <w:spacing w:after="0" w:line="240" w:lineRule="auto"/>
    </w:pPr>
    <w:rPr>
      <w:sz w:val="24"/>
      <w:szCs w:val="24"/>
    </w:rPr>
  </w:style>
  <w:style w:type="character" w:customStyle="1" w:styleId="FooterChar1">
    <w:name w:val="Footer Char1"/>
    <w:basedOn w:val="DefaultParagraphFont"/>
    <w:uiPriority w:val="99"/>
    <w:semiHidden/>
    <w:rsid w:val="000E74B0"/>
    <w:rPr>
      <w:sz w:val="22"/>
      <w:szCs w:val="22"/>
    </w:rPr>
  </w:style>
  <w:style w:type="paragraph" w:styleId="NoSpacing">
    <w:name w:val="No Spacing"/>
    <w:uiPriority w:val="1"/>
    <w:qFormat/>
    <w:rsid w:val="000E74B0"/>
    <w:rPr>
      <w:sz w:val="22"/>
      <w:szCs w:val="22"/>
    </w:rPr>
  </w:style>
  <w:style w:type="paragraph" w:customStyle="1" w:styleId="Textbody">
    <w:name w:val="Text body"/>
    <w:basedOn w:val="Normal"/>
    <w:qFormat/>
    <w:rsid w:val="000E74B0"/>
    <w:pPr>
      <w:widowControl w:val="0"/>
      <w:suppressAutoHyphens/>
      <w:spacing w:after="140" w:line="276" w:lineRule="auto"/>
      <w:textAlignment w:val="baseline"/>
    </w:pPr>
    <w:rPr>
      <w:rFonts w:ascii="Liberation Serif" w:eastAsia="Noto Sans CJK SC Regular" w:hAnsi="Liberation Serif" w:cs="Lohit Devanagari"/>
      <w:kern w:val="2"/>
      <w:sz w:val="24"/>
      <w:szCs w:val="24"/>
      <w:lang w:eastAsia="zh-CN" w:bidi="hi-IN"/>
    </w:rPr>
  </w:style>
  <w:style w:type="table" w:styleId="TableGrid">
    <w:name w:val="Table Grid"/>
    <w:basedOn w:val="TableNormal"/>
    <w:uiPriority w:val="39"/>
    <w:rsid w:val="000E74B0"/>
    <w:rPr>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74B0"/>
    <w:rPr>
      <w:color w:val="0563C1" w:themeColor="hyperlink"/>
      <w:u w:val="single"/>
    </w:rPr>
  </w:style>
  <w:style w:type="character" w:styleId="CommentReference">
    <w:name w:val="annotation reference"/>
    <w:basedOn w:val="DefaultParagraphFont"/>
    <w:uiPriority w:val="99"/>
    <w:semiHidden/>
    <w:unhideWhenUsed/>
    <w:rsid w:val="000E74B0"/>
    <w:rPr>
      <w:sz w:val="16"/>
      <w:szCs w:val="16"/>
    </w:rPr>
  </w:style>
  <w:style w:type="paragraph" w:styleId="CommentText">
    <w:name w:val="annotation text"/>
    <w:basedOn w:val="Normal"/>
    <w:link w:val="CommentTextChar"/>
    <w:uiPriority w:val="99"/>
    <w:semiHidden/>
    <w:unhideWhenUsed/>
    <w:rsid w:val="000E74B0"/>
    <w:pPr>
      <w:spacing w:line="240" w:lineRule="auto"/>
    </w:pPr>
    <w:rPr>
      <w:sz w:val="20"/>
      <w:szCs w:val="20"/>
    </w:rPr>
  </w:style>
  <w:style w:type="character" w:customStyle="1" w:styleId="CommentTextChar">
    <w:name w:val="Comment Text Char"/>
    <w:basedOn w:val="DefaultParagraphFont"/>
    <w:link w:val="CommentText"/>
    <w:uiPriority w:val="99"/>
    <w:semiHidden/>
    <w:rsid w:val="000E74B0"/>
    <w:rPr>
      <w:sz w:val="20"/>
      <w:szCs w:val="20"/>
    </w:rPr>
  </w:style>
  <w:style w:type="paragraph" w:styleId="CommentSubject">
    <w:name w:val="annotation subject"/>
    <w:basedOn w:val="CommentText"/>
    <w:next w:val="CommentText"/>
    <w:link w:val="CommentSubjectChar"/>
    <w:uiPriority w:val="99"/>
    <w:semiHidden/>
    <w:unhideWhenUsed/>
    <w:rsid w:val="000E74B0"/>
    <w:rPr>
      <w:b/>
      <w:bCs/>
    </w:rPr>
  </w:style>
  <w:style w:type="character" w:customStyle="1" w:styleId="CommentSubjectChar">
    <w:name w:val="Comment Subject Char"/>
    <w:basedOn w:val="CommentTextChar"/>
    <w:link w:val="CommentSubject"/>
    <w:uiPriority w:val="99"/>
    <w:semiHidden/>
    <w:rsid w:val="000E74B0"/>
    <w:rPr>
      <w:b/>
      <w:bCs/>
      <w:sz w:val="20"/>
      <w:szCs w:val="20"/>
    </w:rPr>
  </w:style>
  <w:style w:type="paragraph" w:styleId="BalloonText">
    <w:name w:val="Balloon Text"/>
    <w:basedOn w:val="Normal"/>
    <w:link w:val="BalloonTextChar"/>
    <w:uiPriority w:val="99"/>
    <w:semiHidden/>
    <w:unhideWhenUsed/>
    <w:rsid w:val="000E74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4B0"/>
    <w:rPr>
      <w:rFonts w:ascii="Segoe UI" w:hAnsi="Segoe UI" w:cs="Segoe UI"/>
      <w:sz w:val="18"/>
      <w:szCs w:val="18"/>
    </w:rPr>
  </w:style>
  <w:style w:type="character" w:customStyle="1" w:styleId="UnresolvedMention1">
    <w:name w:val="Unresolved Mention1"/>
    <w:basedOn w:val="DefaultParagraphFont"/>
    <w:uiPriority w:val="99"/>
    <w:semiHidden/>
    <w:unhideWhenUsed/>
    <w:rsid w:val="000E74B0"/>
    <w:rPr>
      <w:color w:val="605E5C"/>
      <w:shd w:val="clear" w:color="auto" w:fill="E1DFDD"/>
    </w:rPr>
  </w:style>
  <w:style w:type="paragraph" w:customStyle="1" w:styleId="Default">
    <w:name w:val="Default"/>
    <w:rsid w:val="000E74B0"/>
    <w:pPr>
      <w:autoSpaceDE w:val="0"/>
      <w:autoSpaceDN w:val="0"/>
      <w:adjustRightInd w:val="0"/>
    </w:pPr>
    <w:rPr>
      <w:rFonts w:ascii="Arial" w:hAnsi="Arial" w:cs="Arial"/>
      <w:color w:val="000000"/>
    </w:rPr>
  </w:style>
  <w:style w:type="paragraph" w:styleId="Revision">
    <w:name w:val="Revision"/>
    <w:hidden/>
    <w:uiPriority w:val="99"/>
    <w:semiHidden/>
    <w:rsid w:val="00E6362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389887">
      <w:bodyDiv w:val="1"/>
      <w:marLeft w:val="0"/>
      <w:marRight w:val="0"/>
      <w:marTop w:val="0"/>
      <w:marBottom w:val="0"/>
      <w:divBdr>
        <w:top w:val="none" w:sz="0" w:space="0" w:color="auto"/>
        <w:left w:val="none" w:sz="0" w:space="0" w:color="auto"/>
        <w:bottom w:val="none" w:sz="0" w:space="0" w:color="auto"/>
        <w:right w:val="none" w:sz="0" w:space="0" w:color="auto"/>
      </w:divBdr>
    </w:div>
    <w:div w:id="196118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A4C4C-0AC3-4A3C-B6D9-A0E2771FF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1638</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Caroline</dc:creator>
  <cp:keywords/>
  <dc:description/>
  <cp:lastModifiedBy>Dale, Caroline</cp:lastModifiedBy>
  <cp:revision>2</cp:revision>
  <dcterms:created xsi:type="dcterms:W3CDTF">2022-08-24T10:12:00Z</dcterms:created>
  <dcterms:modified xsi:type="dcterms:W3CDTF">2022-08-24T10:12:00Z</dcterms:modified>
</cp:coreProperties>
</file>