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27.49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28.33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26.8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27.73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1,80,14,000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26.45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27.55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26.35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27.21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2,00,38,010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24.38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26.91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24.37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26.91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2,81,01,420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22.25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24.38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21.89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24.36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1,97,42,190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24.35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23.27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23.37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1,40,10,000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24.07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24.66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23.84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1,45,38,370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24.69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23.93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24.09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1,13,81,370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24.45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24.68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23.96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1,02,80,850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25.52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24.28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24.54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1,44,39,210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