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FINANCE DEPARTMENT DATA HANDLING AND RECORDS POLICY</w:t>
      </w:r>
    </w:p>
    <w:p>
      <w:pPr>
        <w:jc w:val="center"/>
      </w:pPr>
      <w:r>
        <w:t>Department: Finance</w:t>
        <w:br/>
        <w:t>Version: 1.0  |  Effective: April 2024  |  Review: April 2025</w:t>
      </w:r>
    </w:p>
    <w:p/>
    <w:p>
      <w:r>
        <w:rPr>
          <w:b/>
          <w:sz w:val="22"/>
        </w:rPr>
        <w:t>1. PURPOSE</w:t>
      </w:r>
    </w:p>
    <w:p>
      <w:r>
        <w:t>This document describes how the Finance Department of Nexacore Technologies Sdn Bhd manages financial records, vendor payments, payroll data, and related documentation.</w:t>
      </w:r>
    </w:p>
    <w:p/>
    <w:p>
      <w:r>
        <w:rPr>
          <w:b/>
          <w:sz w:val="22"/>
        </w:rPr>
        <w:t>2. FINANCIAL DATA MANAGED</w:t>
      </w:r>
    </w:p>
    <w:p>
      <w:r>
        <w:t>The Finance Department manages: employee payroll records, vendor payment records, customer invoice records, internal budget reports, tax filings, and financial statements.</w:t>
      </w:r>
    </w:p>
    <w:p/>
    <w:p>
      <w:r>
        <w:rPr>
          <w:b/>
          <w:sz w:val="22"/>
        </w:rPr>
        <w:t>3. PAYMENT AUTHORISATION CONTROLS</w:t>
      </w:r>
    </w:p>
    <w:p>
      <w:r>
        <w:t>3.1 Vendor payments above LKR 500,000 require dual authorisation from two Finance officers.</w:t>
        <w:br/>
        <w:t>3.2 New vendor bank details must be verified by telephone callback before processing.</w:t>
        <w:br/>
        <w:t>3.3 Changes to vendor bank details require Finance Manager approval in writing.</w:t>
        <w:br/>
        <w:t>3.4 Urgent payments require written CFO approval before processing.</w:t>
      </w:r>
    </w:p>
    <w:p/>
    <w:p>
      <w:r>
        <w:rPr>
          <w:b/>
          <w:sz w:val="22"/>
        </w:rPr>
        <w:t>4. PAYROLL PROCESSING</w:t>
      </w:r>
    </w:p>
    <w:p>
      <w:r>
        <w:t>Monthly payroll is processed by the designated payroll officer. Pay slips are sent to employees via email. Payroll errors must be reported to the Finance Manager within 3 business days. Payroll files are transmitted to the bank for salary crediting.</w:t>
      </w:r>
    </w:p>
    <w:p/>
    <w:p>
      <w:r>
        <w:rPr>
          <w:b/>
          <w:sz w:val="22"/>
        </w:rPr>
        <w:t>5. RECORD KEEPING</w:t>
      </w:r>
    </w:p>
    <w:p>
      <w:r>
        <w:t>All financial records are kept for 7 years in accordance with statutory requirements. Records are stored in shared Finance network drives accessible to Finance staff. Physical records are stored in locked filing cabinets in the Finance office.</w:t>
      </w:r>
    </w:p>
    <w:p/>
    <w:p>
      <w:r>
        <w:rPr>
          <w:b/>
          <w:sz w:val="22"/>
        </w:rPr>
        <w:t>6. VENDOR MANAGEMENT</w:t>
      </w:r>
    </w:p>
    <w:p>
      <w:r>
        <w:t>Vendor bank details and contact information are maintained in the accounting system. New vendors are added to the approved vendor register after Finance Manager sign-off.</w:t>
      </w:r>
    </w:p>
    <w:p/>
    <w:p>
      <w:r>
        <w:rPr>
          <w:b/>
          <w:sz w:val="22"/>
        </w:rPr>
        <w:t>7. AUDIT AND REVIEW</w:t>
      </w:r>
    </w:p>
    <w:p>
      <w:r>
        <w:t>Annual external audits are conducted by the appointed external auditor. Internal audit reviews are conducted quarterly to check payment authorisation compliance.</w:t>
      </w:r>
    </w:p>
    <w:p/>
    <w:p>
      <w:r>
        <w:rPr>
          <w:b/>
          <w:sz w:val="22"/>
        </w:rPr>
        <w:t>8. POLICY REVIEW</w:t>
      </w:r>
    </w:p>
    <w:p>
      <w:r>
        <w:t>This policy is reviewed annually by the Finance Director.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