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THIRD-PARTY VENDOR MANAGEMENT POLICY</w:t>
      </w:r>
    </w:p>
    <w:p>
      <w:pPr>
        <w:jc w:val="center"/>
      </w:pPr>
      <w:r>
        <w:t>Department: Procurement / Information Technology</w:t>
        <w:br/>
        <w:t>Version: 1.0  |  Effective: January 2024  |  Review: January 2025</w:t>
      </w:r>
    </w:p>
    <w:p/>
    <w:p>
      <w:r>
        <w:rPr>
          <w:b/>
          <w:sz w:val="22"/>
        </w:rPr>
        <w:t>1. PURPOSE</w:t>
      </w:r>
    </w:p>
    <w:p>
      <w:r>
        <w:t>This policy establishes the process for selecting, engaging, and managing third-party vendors and suppliers that provide goods and services to Nexacore Technologies Sdn Bhd.</w:t>
      </w:r>
    </w:p>
    <w:p/>
    <w:p>
      <w:r>
        <w:rPr>
          <w:b/>
          <w:sz w:val="22"/>
        </w:rPr>
        <w:t>2. VENDOR ONBOARDING</w:t>
      </w:r>
    </w:p>
    <w:p>
      <w:r>
        <w:t>2.1 New vendor requests are submitted to Procurement using the Vendor Request Form.</w:t>
        <w:br/>
        <w:t>2.2 Procurement obtains vendor business registration documents and bank details.</w:t>
        <w:br/>
        <w:t>2.3 Finance approves the vendor for payment processing.</w:t>
        <w:br/>
        <w:t>2.4 Approved vendors are added to the approved vendor register.</w:t>
      </w:r>
    </w:p>
    <w:p/>
    <w:p>
      <w:r>
        <w:rPr>
          <w:b/>
          <w:sz w:val="22"/>
        </w:rPr>
        <w:t>3. VENDOR CONTRACTS</w:t>
      </w:r>
    </w:p>
    <w:p>
      <w:r>
        <w:t>All vendor engagements are formalised through a purchase order or service agreement. Contracts are reviewed by the Legal Department for commercial terms including payment schedules, deliverables, penalties, and termination clauses.</w:t>
      </w:r>
    </w:p>
    <w:p/>
    <w:p>
      <w:r>
        <w:rPr>
          <w:b/>
          <w:sz w:val="22"/>
        </w:rPr>
        <w:t>4. VENDOR SYSTEM ACCESS</w:t>
      </w:r>
    </w:p>
    <w:p>
      <w:r>
        <w:t>Where vendors require system access, IT grants access upon department head request. Vendor accounts are tracked in the IT asset management system and removed when the vendor engagement ends.</w:t>
      </w:r>
    </w:p>
    <w:p/>
    <w:p>
      <w:r>
        <w:rPr>
          <w:b/>
          <w:sz w:val="22"/>
        </w:rPr>
        <w:t>5. ONGOING VENDOR MANAGEMENT</w:t>
      </w:r>
    </w:p>
    <w:p>
      <w:r>
        <w:t>Procurement manages active vendor relationships and handles contract renewals. Annual performance reviews cover delivery, quality, and contractual compliance.</w:t>
      </w:r>
    </w:p>
    <w:p/>
    <w:p>
      <w:r>
        <w:rPr>
          <w:b/>
          <w:sz w:val="22"/>
        </w:rPr>
        <w:t>6. VENDOR TERMINATION</w:t>
      </w:r>
    </w:p>
    <w:p>
      <w:r>
        <w:t>When a vendor engagement ends: Procurement and IT are notified, final invoices are processed, the vendor is marked inactive in the register, and IT removes system access.</w:t>
      </w:r>
    </w:p>
    <w:p/>
    <w:p>
      <w:r>
        <w:rPr>
          <w:b/>
          <w:sz w:val="22"/>
        </w:rPr>
        <w:t>7. POLICY REVIEW</w:t>
      </w:r>
    </w:p>
    <w:p>
      <w:r>
        <w:t>This policy is reviewed annually by the Procurement Director.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