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CYBERSECURITY INCIDENT RESPONSE POLICY AND PROCEDURES</w:t>
      </w:r>
    </w:p>
    <w:p>
      <w:pPr>
        <w:jc w:val="center"/>
      </w:pPr>
      <w:r>
        <w:t>Department: Information Technology / Security Operations</w:t>
        <w:br/>
        <w:t>Version: 2.0  |  Effective: September 2025  |  Review: September 2026</w:t>
      </w:r>
    </w:p>
    <w:p/>
    <w:p>
      <w:r>
        <w:rPr>
          <w:b/>
          <w:sz w:val="22"/>
        </w:rPr>
        <w:t>1. PURPOSE AND SCOPE</w:t>
      </w:r>
    </w:p>
    <w:p>
      <w:r>
        <w:t>This policy establishes the framework for responding to cybersecurity incidents at Nexacore Technologies Sdn Bhd, defining processes for identifying, containing, eradicating, and recovering from security incidents.</w:t>
      </w:r>
    </w:p>
    <w:p/>
    <w:p>
      <w:r>
        <w:rPr>
          <w:b/>
          <w:sz w:val="22"/>
        </w:rPr>
        <w:t>2. INCIDENT CLASSIFICATION</w:t>
      </w:r>
    </w:p>
    <w:p>
      <w:r>
        <w:t>Critical (P1): Active breach, ransomware, confirmed data exfiltration — respond immediately.</w:t>
        <w:br/>
        <w:t>High (P2): Suspected breach, significant unauthorised access — within 1 hour.</w:t>
        <w:br/>
        <w:t>Medium (P3): Policy violation, phishing attempt, minor access anomaly — within 4 hours.</w:t>
        <w:br/>
        <w:t>Low (P4): Suspicious email, anomalous activity, no confirmed breach — within 24 hours.</w:t>
      </w:r>
    </w:p>
    <w:p/>
    <w:p>
      <w:r>
        <w:rPr>
          <w:b/>
          <w:sz w:val="22"/>
        </w:rPr>
        <w:t>3. INCIDENT RESPONSE TEAM</w:t>
      </w:r>
    </w:p>
    <w:p>
      <w:r>
        <w:t>IRT Lead: Head of IT Security. Technical Lead: Senior Security Engineer. Communications Lead: Head of Corporate Communications. Legal: Legal Department representative. All IRT members must be contactable 24/7 via the emergency contact list.</w:t>
      </w:r>
    </w:p>
    <w:p/>
    <w:p>
      <w:r>
        <w:rPr>
          <w:b/>
          <w:sz w:val="22"/>
        </w:rPr>
        <w:t>4. RESPONSE PROCEDURES</w:t>
      </w:r>
    </w:p>
    <w:p>
      <w:r>
        <w:t>4.1 Detection: Staff report incidents to security@nexacore.lk or the incident portal.</w:t>
        <w:br/>
        <w:t>4.2 Containment: Isolate affected systems. Suspend compromised accounts.</w:t>
        <w:br/>
        <w:t>4.3 Eradication: Remove malicious code. Rebuild systems from clean backups.</w:t>
        <w:br/>
        <w:t>4.4 Recovery: Restore systems and monitor for recurrence.</w:t>
        <w:br/>
        <w:t>4.5 Post-Incident Review: Conducted within 5 business days for P1 and P2 incidents.</w:t>
      </w:r>
    </w:p>
    <w:p/>
    <w:p>
      <w:r>
        <w:rPr>
          <w:b/>
          <w:sz w:val="22"/>
        </w:rPr>
        <w:t>5. BREACH NOTIFICATION</w:t>
      </w:r>
    </w:p>
    <w:p>
      <w:r>
        <w:t>Where a confirmed incident involves personal data, the Data Protection Officer is notified within 2 hours. The DPO assesses notification obligations and where required notifies the Personal Data Protection Authority within 72 hours. Affected individuals are notified without undue delay where the breach poses high risk. All breaches are recorded in the Breach Register with full details of actions taken.</w:t>
      </w:r>
    </w:p>
    <w:p/>
    <w:p>
      <w:r>
        <w:rPr>
          <w:b/>
          <w:sz w:val="22"/>
        </w:rPr>
        <w:t>6. EVIDENCE PRESERVATION</w:t>
      </w:r>
    </w:p>
    <w:p>
      <w:r>
        <w:t>Forensic evidence is preserved with chain-of-custody controls. Evidence is stored securely and not modified after collection. Legal is notified for P1 incidents where litigation may follow.</w:t>
      </w:r>
    </w:p>
    <w:p/>
    <w:p>
      <w:r>
        <w:rPr>
          <w:b/>
          <w:sz w:val="22"/>
        </w:rPr>
        <w:t>7. COMMUNICATION</w:t>
      </w:r>
    </w:p>
    <w:p>
      <w:r>
        <w:t>Internal incident communications are limited to need-to-know. External communications are managed by the Communications Lead in consultation with Legal. Staff must not discuss incidents externally or on personal social media.</w:t>
      </w:r>
    </w:p>
    <w:p/>
    <w:p>
      <w:r>
        <w:rPr>
          <w:b/>
          <w:sz w:val="22"/>
        </w:rPr>
        <w:t>8. TRAINING AND TESTING</w:t>
      </w:r>
    </w:p>
    <w:p>
      <w:r>
        <w:t>Annual phishing awareness training for all staff. Annual IRT tabletop exercise. Full red team simulation every 2 years.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