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INFORMATION TECHNOLOGY SECURITY POLICY</w:t>
      </w:r>
    </w:p>
    <w:p>
      <w:pPr>
        <w:jc w:val="center"/>
      </w:pPr>
      <w:r>
        <w:t>Department: Information Technology</w:t>
        <w:br/>
        <w:t>Version: 2.3  |  Effective: January 2026  |  Review: January 2027</w:t>
      </w:r>
    </w:p>
    <w:p/>
    <w:p>
      <w:r>
        <w:rPr>
          <w:b/>
          <w:sz w:val="22"/>
        </w:rPr>
        <w:t>1. PURPOSE AND SCOPE</w:t>
      </w:r>
    </w:p>
    <w:p>
      <w:r>
        <w:t>This policy establishes technical security requirements for all IT systems, networks, and devices owned by Nexacore Technologies Sdn Bhd. It applies to all employees, contractors, and third-party providers who access company IT infrastructure.</w:t>
      </w:r>
    </w:p>
    <w:p/>
    <w:p>
      <w:r>
        <w:rPr>
          <w:b/>
          <w:sz w:val="22"/>
        </w:rPr>
        <w:t>2. ACCESS CONTROL</w:t>
      </w:r>
    </w:p>
    <w:p>
      <w:r>
        <w:t>2.1 User accounts are provisioned on a role basis determined by the line manager.</w:t>
        <w:br/>
        <w:t>2.2 Multi-factor authentication (MFA) is mandatory for all remote and privileged access.</w:t>
        <w:br/>
        <w:t>2.3 Inactive accounts are disabled after 90 days and reviewed quarterly.</w:t>
        <w:br/>
        <w:t>2.4 Shared accounts are prohibited. All system access must be individually authenticated.</w:t>
        <w:br/>
        <w:t>2.5 System audit logs record login events and configuration changes.</w:t>
      </w:r>
    </w:p>
    <w:p/>
    <w:p>
      <w:r>
        <w:rPr>
          <w:b/>
          <w:sz w:val="22"/>
        </w:rPr>
        <w:t>3. PASSWORD REQUIREMENTS</w:t>
      </w:r>
    </w:p>
    <w:p>
      <w:r>
        <w:t>Passwords must be a minimum of 12 characters including uppercase, lowercase, numeric, and special characters. Passwords must not be reused within the last 12 cycles. Passwords must be changed every 90 days. Plain-text password storage is prohibited. Approved hashing algorithms: bcrypt or Argon2.</w:t>
      </w:r>
    </w:p>
    <w:p/>
    <w:p>
      <w:r>
        <w:rPr>
          <w:b/>
          <w:sz w:val="22"/>
        </w:rPr>
        <w:t>4. ENDPOINT SECURITY</w:t>
      </w:r>
    </w:p>
    <w:p>
      <w:r>
        <w:t>4.1 All devices must have approved antivirus and endpoint detection software installed.</w:t>
        <w:br/>
        <w:t>4.2 OS and application patches must be applied within 14 days of release.</w:t>
        <w:br/>
        <w:t>4.3 Critical security patches must be applied within 72 hours of release.</w:t>
        <w:br/>
        <w:t>4.4 USB and removable media require IT Department approval before use.</w:t>
        <w:br/>
        <w:t>4.5 Screen lock activates after 5 minutes of inactivity on all devices.</w:t>
      </w:r>
    </w:p>
    <w:p/>
    <w:p>
      <w:r>
        <w:rPr>
          <w:b/>
          <w:sz w:val="22"/>
        </w:rPr>
        <w:t>5. NETWORK SECURITY</w:t>
      </w:r>
    </w:p>
    <w:p>
      <w:r>
        <w:t>5.1 Remote access requires use of the company-approved VPN.</w:t>
        <w:br/>
        <w:t>5.2 Connection to unsecured public Wi-Fi using company devices is prohibited.</w:t>
        <w:br/>
        <w:t>5.3 Network traffic is monitored by the IT Security team for anomalies.</w:t>
        <w:br/>
        <w:t>5.4 Firewall rules are reviewed and updated quarterly.</w:t>
      </w:r>
    </w:p>
    <w:p/>
    <w:p>
      <w:r>
        <w:rPr>
          <w:b/>
          <w:sz w:val="22"/>
        </w:rPr>
        <w:t>6. SECURITY MONITORING</w:t>
      </w:r>
    </w:p>
    <w:p>
      <w:r>
        <w:t>The IT Security team monitors system logs, network traffic, and endpoint activity to detect security threats. Monitoring tools record login events, access attempts, and configuration changes. Logs are retained for two years.</w:t>
      </w:r>
    </w:p>
    <w:p/>
    <w:p>
      <w:r>
        <w:rPr>
          <w:b/>
          <w:sz w:val="22"/>
        </w:rPr>
        <w:t>7. INCIDENT RESPONSE</w:t>
      </w:r>
    </w:p>
    <w:p>
      <w:r>
        <w:t>Security incidents must be reported to IT Security immediately via the incident portal. The IT Security team acknowledges within 1 hour, begins investigation within 4 hours, and escalates to the IT Director for critical incidents. All incidents are logged.</w:t>
      </w:r>
    </w:p>
    <w:p/>
    <w:p>
      <w:r>
        <w:rPr>
          <w:b/>
          <w:sz w:val="22"/>
        </w:rPr>
        <w:t>8. DEVICE DISPOSAL</w:t>
      </w:r>
    </w:p>
    <w:p>
      <w:r>
        <w:t>Devices are securely wiped per NIST 800-88 before disposal or reassignment. Hard drives that cannot be wiped are physically destroyed. Disposal is logged in the asset register.</w:t>
      </w:r>
    </w:p>
    <w:p/>
    <w:p>
      <w:r>
        <w:rPr>
          <w:b/>
          <w:sz w:val="22"/>
        </w:rPr>
        <w:t>9. COMPLIANCE</w:t>
      </w:r>
    </w:p>
    <w:p>
      <w:r>
        <w:t>Violations of this policy may result in disciplinary action up to termination. Annual security awareness training is mandatory for all staff.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