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i w:val="0"/>
          <w:color w:val="FB6107"/>
          <w:sz w:val="17"/>
        </w:rPr>
        <w:t>EXECUTIVE BRIEF  ·  MAVUNO HOME &amp; CARE  ·  Q3 2026 VS Q3 2025</w:t>
      </w:r>
    </w:p>
    <w:p>
      <w:pPr>
        <w:spacing w:after="80"/>
      </w:pPr>
      <w:r>
        <w:rPr>
          <w:rFonts w:ascii="Liberation Sans" w:hAnsi="Liberation Sans"/>
          <w:b/>
          <w:color w:val="27241B"/>
          <w:sz w:val="34"/>
        </w:rPr>
        <w:t>Revenue fell 10.7% — not because we lost customers, but because we lost trips</w:t>
      </w:r>
    </w:p>
    <w:p>
      <w:pPr>
        <w:spacing w:after="120" w:before="0"/>
        <w:pBdr>
          <w:bottom w:val="single" w:sz="16" w:space="6" w:color="FB6107"/>
        </w:pBdr>
      </w:pPr>
    </w:p>
    <w:p>
      <w:pPr>
        <w:spacing w:after="200"/>
      </w:pPr>
      <w:r>
        <w:rPr>
          <w:rFonts w:ascii="Liberation Sans" w:hAnsi="Liberation Sans"/>
          <w:b w:val="0"/>
          <w:i w:val="0"/>
          <w:color w:val="89877B"/>
          <w:sz w:val="17"/>
        </w:rPr>
        <w:t xml:space="preserve">Prepared </w:t>
      </w:r>
      <w:r>
        <w:rPr>
          <w:rFonts w:ascii="Liberation Sans" w:hAnsi="Liberation Sans"/>
          <w:b/>
          <w:i w:val="0"/>
          <w:color w:val="89877B"/>
          <w:sz w:val="17"/>
        </w:rPr>
        <w:t>2026-10-05</w:t>
      </w:r>
      <w:r>
        <w:rPr>
          <w:rFonts w:ascii="Liberation Sans" w:hAnsi="Liberation Sans"/>
          <w:b w:val="0"/>
          <w:i w:val="0"/>
          <w:color w:val="89877B"/>
          <w:sz w:val="17"/>
        </w:rPr>
        <w:t xml:space="preserve">  ·  Analysis by </w:t>
      </w:r>
      <w:r>
        <w:rPr>
          <w:rFonts w:ascii="Liberation Sans" w:hAnsi="Liberation Sans"/>
          <w:b/>
          <w:i w:val="0"/>
          <w:color w:val="89877B"/>
          <w:sz w:val="17"/>
        </w:rPr>
        <w:t>Senior Data Analyst</w:t>
      </w:r>
      <w:r>
        <w:rPr>
          <w:rFonts w:ascii="Liberation Sans" w:hAnsi="Liberation Sans"/>
          <w:b w:val="0"/>
          <w:i w:val="0"/>
          <w:color w:val="89877B"/>
          <w:sz w:val="17"/>
        </w:rPr>
        <w:t xml:space="preserve">  ·  </w:t>
      </w:r>
      <w:r>
        <w:rPr>
          <w:rFonts w:ascii="Liberation Sans" w:hAnsi="Liberation Sans"/>
          <w:b w:val="0"/>
          <w:i w:val="0"/>
          <w:color w:val="89877B"/>
          <w:sz w:val="17"/>
        </w:rPr>
        <w:t>Internal — Commercial leadership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FFEFD5"/>
          <w:left w:val="single" w:sz="8" w:space="0" w:color="FFEFD5"/>
          <w:bottom w:val="single" w:sz="8" w:space="0" w:color="FFEFD5"/>
          <w:right w:val="single" w:sz="8" w:space="0" w:color="FFEFD5"/>
          <w:insideH w:val="single" w:sz="8" w:space="0" w:color="FFEFD5"/>
          <w:insideV w:val="single" w:sz="8" w:space="0" w:color="FFEFD5"/>
        </w:tblBorders>
      </w:tblPr>
      <w:tblGrid>
        <w:gridCol w:w="3345"/>
        <w:gridCol w:w="3345"/>
        <w:gridCol w:w="3345"/>
      </w:tblGrid>
      <w:tr>
        <w:tc>
          <w:tcPr>
            <w:tcW w:type="dxa" w:w="3072"/>
            <w:shd w:val="clear" w:color="auto" w:fill="FFFDF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spacing w:after="20"/>
            </w:pPr>
            <w:r/>
            <w:r>
              <w:rPr>
                <w:rFonts w:ascii="Liberation Sans" w:hAnsi="Liberation Sans"/>
                <w:b/>
                <w:color w:val="89877B"/>
                <w:sz w:val="15"/>
              </w:rPr>
              <w:t>NET REVENUE</w:t>
            </w:r>
          </w:p>
          <w:p>
            <w:pPr>
              <w:spacing w:after="20"/>
            </w:pPr>
            <w:r>
              <w:rPr>
                <w:rFonts w:ascii="Liberation Sans" w:hAnsi="Liberation Sans"/>
                <w:b/>
                <w:color w:val="FB6107"/>
                <w:sz w:val="30"/>
              </w:rPr>
              <w:t>KSh 43.65M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FB6107"/>
                <w:sz w:val="19"/>
              </w:rPr>
              <w:t>-10.7%</w:t>
            </w:r>
            <w:r>
              <w:rPr>
                <w:rFonts w:ascii="Liberation Sans" w:hAnsi="Liberation Sans"/>
                <w:color w:val="89877B"/>
                <w:sz w:val="16"/>
              </w:rPr>
              <w:t xml:space="preserve">   from KSh 48.86M in Q3 2025</w:t>
            </w:r>
          </w:p>
        </w:tc>
        <w:tc>
          <w:tcPr>
            <w:tcW w:type="dxa" w:w="3072"/>
            <w:shd w:val="clear" w:color="auto" w:fill="FFFDF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spacing w:after="20"/>
            </w:pPr>
            <w:r/>
            <w:r>
              <w:rPr>
                <w:rFonts w:ascii="Liberation Sans" w:hAnsi="Liberation Sans"/>
                <w:b/>
                <w:color w:val="89877B"/>
                <w:sz w:val="15"/>
              </w:rPr>
              <w:t>GROSS MARGIN</w:t>
            </w:r>
          </w:p>
          <w:p>
            <w:pPr>
              <w:spacing w:after="20"/>
            </w:pPr>
            <w:r>
              <w:rPr>
                <w:rFonts w:ascii="Liberation Sans" w:hAnsi="Liberation Sans"/>
                <w:b/>
                <w:color w:val="FB6107"/>
                <w:sz w:val="30"/>
              </w:rPr>
              <w:t>18.57%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FB6107"/>
                <w:sz w:val="19"/>
              </w:rPr>
              <w:t>-1.38pp</w:t>
            </w:r>
            <w:r>
              <w:rPr>
                <w:rFonts w:ascii="Liberation Sans" w:hAnsi="Liberation Sans"/>
                <w:color w:val="89877B"/>
                <w:sz w:val="16"/>
              </w:rPr>
              <w:t xml:space="preserve">   gross profit KSh 8.04M</w:t>
            </w:r>
          </w:p>
        </w:tc>
        <w:tc>
          <w:tcPr>
            <w:tcW w:type="dxa" w:w="3072"/>
            <w:shd w:val="clear" w:color="auto" w:fill="FFFDF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spacing w:after="20"/>
            </w:pPr>
            <w:r/>
            <w:r>
              <w:rPr>
                <w:rFonts w:ascii="Liberation Sans" w:hAnsi="Liberation Sans"/>
                <w:b/>
                <w:color w:val="89877B"/>
                <w:sz w:val="15"/>
              </w:rPr>
              <w:t>ORDERS PER CUSTOMER</w:t>
            </w:r>
          </w:p>
          <w:p>
            <w:pPr>
              <w:spacing w:after="20"/>
            </w:pPr>
            <w:r>
              <w:rPr>
                <w:rFonts w:ascii="Liberation Sans" w:hAnsi="Liberation Sans"/>
                <w:b/>
                <w:color w:val="FB6107"/>
                <w:sz w:val="30"/>
              </w:rPr>
              <w:t>4.82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FB6107"/>
                <w:sz w:val="19"/>
              </w:rPr>
              <w:t>-11.4%</w:t>
            </w:r>
            <w:r>
              <w:rPr>
                <w:rFonts w:ascii="Liberation Sans" w:hAnsi="Liberation Sans"/>
                <w:color w:val="89877B"/>
                <w:sz w:val="16"/>
              </w:rPr>
              <w:t xml:space="preserve">   the engine of the decline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2"/>
      </w:pPr>
      <w:r>
        <w:t>The answer in one paragraph</w:t>
      </w:r>
    </w:p>
    <w:p>
      <w:pPr>
        <w:spacing w:after="120"/>
      </w:pPr>
      <w:r>
        <w:rPr>
          <w:rFonts w:ascii="Liberation Sans" w:hAnsi="Liberation Sans"/>
          <w:b w:val="0"/>
          <w:i w:val="0"/>
          <w:color w:val="27241B"/>
          <w:sz w:val="21"/>
        </w:rPr>
        <w:t>Group net revenue fell KSh 5.21M (10.7%). We did not lose customers — active customers rose +5.5%. We lost trips (-11.4% orders per customer) and basket (-4.5% average order value), and 71% of the damage sits in two of six stores.</w:t>
      </w:r>
    </w:p>
    <w:p>
      <w:pPr>
        <w:pStyle w:val="Heading2"/>
      </w:pPr>
      <w:r>
        <w:t>The four ranked, owned problems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FE6D3"/>
          <w:left w:val="single" w:sz="4" w:space="0" w:color="EFE6D3"/>
          <w:bottom w:val="single" w:sz="4" w:space="0" w:color="EFE6D3"/>
          <w:right w:val="single" w:sz="4" w:space="0" w:color="EFE6D3"/>
          <w:insideH w:val="single" w:sz="4" w:space="0" w:color="EFE6D3"/>
          <w:insideV w:val="single" w:sz="4" w:space="0" w:color="EFE6D3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403"/>
            <w:shd w:val="clear" w:color="auto" w:fill="FFEFD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b/>
                <w:color w:val="27241B"/>
                <w:sz w:val="17"/>
              </w:rPr>
              <w:t>#</w:t>
            </w:r>
          </w:p>
        </w:tc>
        <w:tc>
          <w:tcPr>
            <w:tcW w:type="dxa" w:w="2045"/>
            <w:shd w:val="clear" w:color="auto" w:fill="FFEFD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b/>
                <w:color w:val="27241B"/>
                <w:sz w:val="17"/>
              </w:rPr>
              <w:t>Owner</w:t>
            </w:r>
          </w:p>
        </w:tc>
        <w:tc>
          <w:tcPr>
            <w:tcW w:type="dxa" w:w="4680"/>
            <w:shd w:val="clear" w:color="auto" w:fill="FFEFD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b/>
                <w:color w:val="27241B"/>
                <w:sz w:val="17"/>
              </w:rPr>
              <w:t>The problem, in one line</w:t>
            </w:r>
          </w:p>
        </w:tc>
        <w:tc>
          <w:tcPr>
            <w:tcW w:type="dxa" w:w="1080"/>
            <w:shd w:val="clear" w:color="auto" w:fill="FFEFD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b/>
                <w:color w:val="27241B"/>
                <w:sz w:val="17"/>
              </w:rPr>
              <w:t>Cost</w:t>
            </w:r>
          </w:p>
        </w:tc>
        <w:tc>
          <w:tcPr>
            <w:tcW w:type="dxa" w:w="864"/>
            <w:shd w:val="clear" w:color="auto" w:fill="FFEFD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b/>
                <w:color w:val="27241B"/>
                <w:sz w:val="17"/>
              </w:rPr>
              <w:t>Share</w:t>
            </w:r>
          </w:p>
        </w:tc>
      </w:tr>
      <w:tr>
        <w:tc>
          <w:tcPr>
            <w:tcW w:type="dxa" w:w="403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1</w:t>
            </w:r>
          </w:p>
        </w:tc>
        <w:tc>
          <w:tcPr>
            <w:tcW w:type="dxa" w:w="204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Supply Chain &amp; Merchandising</w:t>
            </w:r>
          </w:p>
        </w:tc>
        <w:tc>
          <w:tcPr>
            <w:tcW w:type="dxa" w:w="468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Hero SKUs out of stock 6 weeks (Mombasa Nyali)</w:t>
            </w:r>
          </w:p>
        </w:tc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KSh -2.16M</w:t>
            </w:r>
          </w:p>
        </w:tc>
        <w:tc>
          <w:tcPr>
            <w:tcW w:type="dxa" w:w="86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41%</w:t>
            </w:r>
          </w:p>
        </w:tc>
      </w:tr>
      <w:tr>
        <w:tc>
          <w:tcPr>
            <w:tcW w:type="dxa" w:w="403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2</w:t>
            </w:r>
          </w:p>
        </w:tc>
        <w:tc>
          <w:tcPr>
            <w:tcW w:type="dxa" w:w="2045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Retail Operations (Thika Road)</w:t>
            </w:r>
          </w:p>
        </w:tc>
        <w:tc>
          <w:tcPr>
            <w:tcW w:type="dxa" w:w="46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Thika Road footfall cut for the quarter</w:t>
            </w:r>
          </w:p>
        </w:tc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KSh -1.49M</w:t>
            </w:r>
          </w:p>
        </w:tc>
        <w:tc>
          <w:tcPr>
            <w:tcW w:type="dxa" w:w="864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29%</w:t>
            </w:r>
          </w:p>
        </w:tc>
      </w:tr>
      <w:tr>
        <w:tc>
          <w:tcPr>
            <w:tcW w:type="dxa" w:w="403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3</w:t>
            </w:r>
          </w:p>
        </w:tc>
        <w:tc>
          <w:tcPr>
            <w:tcW w:type="dxa" w:w="204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CRM / Loyalty &amp; Assortment</w:t>
            </w:r>
          </w:p>
        </w:tc>
        <w:tc>
          <w:tcPr>
            <w:tcW w:type="dxa" w:w="468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Fewer trips and slimmer baskets chain-wide</w:t>
            </w:r>
          </w:p>
        </w:tc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KSh -0.97M</w:t>
            </w:r>
          </w:p>
        </w:tc>
        <w:tc>
          <w:tcPr>
            <w:tcW w:type="dxa" w:w="86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19%</w:t>
            </w:r>
          </w:p>
        </w:tc>
      </w:tr>
      <w:tr>
        <w:tc>
          <w:tcPr>
            <w:tcW w:type="dxa" w:w="403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4</w:t>
            </w:r>
          </w:p>
        </w:tc>
        <w:tc>
          <w:tcPr>
            <w:tcW w:type="dxa" w:w="2045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Pricing &amp; Category Management</w:t>
            </w:r>
          </w:p>
        </w:tc>
        <w:tc>
          <w:tcPr>
            <w:tcW w:type="dxa" w:w="46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Beverage discount depth deepened outside those stores</w:t>
            </w:r>
          </w:p>
        </w:tc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KSh -0.55M</w:t>
            </w:r>
          </w:p>
        </w:tc>
        <w:tc>
          <w:tcPr>
            <w:tcW w:type="dxa" w:w="864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7"/>
              </w:rPr>
              <w:t>11%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2"/>
      </w:pPr>
      <w:r>
        <w:t>What the analysis found</w:t>
      </w:r>
    </w:p>
    <w:p>
      <w:pPr>
        <w:spacing w:after="100"/>
      </w:pPr>
      <w:r>
        <w:rPr>
          <w:rFonts w:ascii="Liberation Sans" w:hAnsi="Liberation Sans"/>
          <w:b/>
          <w:i w:val="0"/>
          <w:color w:val="27241B"/>
          <w:sz w:val="19"/>
        </w:rPr>
        <w:t xml:space="preserve">1. We did not lose customers — we lost trips and basket size  </w:t>
      </w:r>
      <w:r>
        <w:rPr>
          <w:rFonts w:ascii="Liberation Sans" w:hAnsi="Liberation Sans"/>
          <w:b w:val="0"/>
          <w:i w:val="0"/>
          <w:color w:val="27241B"/>
          <w:sz w:val="19"/>
        </w:rPr>
        <w:t>Active customers rose +5.5%, so acquisition is working. But orders per customer fell -11.4% and average order value fell -4.5%. The engine failed, not the funnel — and that single distinction changes who is accountable and what the fix is.</w:t>
      </w:r>
      <w:r>
        <w:rPr>
          <w:rFonts w:ascii="Liberation Sans" w:hAnsi="Liberation Sans"/>
          <w:b w:val="0"/>
          <w:i/>
          <w:color w:val="89877B"/>
          <w:sz w:val="19"/>
        </w:rPr>
        <w:t xml:space="preserve">  A funnel problem would be fixed in marketing. A frequency and basket problem is fixed in CRM, assortment and availability.</w:t>
      </w:r>
    </w:p>
    <w:p>
      <w:pPr>
        <w:spacing w:after="100"/>
      </w:pPr>
      <w:r>
        <w:rPr>
          <w:rFonts w:ascii="Liberation Sans" w:hAnsi="Liberation Sans"/>
          <w:b/>
          <w:i w:val="0"/>
          <w:color w:val="27241B"/>
          <w:sz w:val="19"/>
        </w:rPr>
        <w:t xml:space="preserve">2. Two of six stores carry 71% of the decline  </w:t>
      </w:r>
      <w:r>
        <w:rPr>
          <w:rFonts w:ascii="Liberation Sans" w:hAnsi="Liberation Sans"/>
          <w:b w:val="0"/>
          <w:i w:val="0"/>
          <w:color w:val="27241B"/>
          <w:sz w:val="19"/>
        </w:rPr>
        <w:t>Mombasa Nyali (-27.0%) and Thika Road (-18.7%) are not a chain-wide trend. They are two local, separately-diagnosable events inside one quarter.</w:t>
      </w:r>
      <w:r>
        <w:rPr>
          <w:rFonts w:ascii="Liberation Sans" w:hAnsi="Liberation Sans"/>
          <w:b w:val="0"/>
          <w:i/>
          <w:color w:val="89877B"/>
          <w:sz w:val="19"/>
        </w:rPr>
        <w:t xml:space="preserve">  Treating this as a chain-wide trend would spread a thin fix across six stores instead of a targeted fix on two.</w:t>
      </w:r>
    </w:p>
    <w:p>
      <w:pPr>
        <w:spacing w:after="100"/>
      </w:pPr>
      <w:r>
        <w:rPr>
          <w:rFonts w:ascii="Liberation Sans" w:hAnsi="Liberation Sans"/>
          <w:b/>
          <w:i w:val="0"/>
          <w:color w:val="27241B"/>
          <w:sz w:val="19"/>
        </w:rPr>
        <w:t xml:space="preserve">3. The largest single cost has a date, a store and an owner  </w:t>
      </w:r>
      <w:r>
        <w:rPr>
          <w:rFonts w:ascii="Liberation Sans" w:hAnsi="Liberation Sans"/>
          <w:b w:val="0"/>
          <w:i w:val="0"/>
          <w:color w:val="27241B"/>
          <w:sz w:val="19"/>
        </w:rPr>
        <w:t>Two hero Personal Care SKUs sat off the shelf at Mombasa Nyali for 76 days (9.5% shelf availability). It cost KSh 2.16M. Only KSh 0.45M of that is Personal Care revenue — KSh 1.71M is baskets that were never started.</w:t>
      </w:r>
      <w:r>
        <w:rPr>
          <w:rFonts w:ascii="Liberation Sans" w:hAnsi="Liberation Sans"/>
          <w:b w:val="0"/>
          <w:i/>
          <w:color w:val="89877B"/>
          <w:sz w:val="19"/>
        </w:rPr>
        <w:t xml:space="preserve">  Measuring only the affected category understates the event by roughly 4.8x. Availability failures are basket failures, not category failures.</w:t>
      </w:r>
    </w:p>
    <w:p>
      <w:pPr>
        <w:spacing w:after="100"/>
      </w:pPr>
      <w:r>
        <w:rPr>
          <w:rFonts w:ascii="Liberation Sans" w:hAnsi="Liberation Sans"/>
          <w:b/>
          <w:i w:val="0"/>
          <w:color w:val="27241B"/>
          <w:sz w:val="19"/>
        </w:rPr>
        <w:t xml:space="preserve">4. Discounting, not pricing, is the second lever  </w:t>
      </w:r>
      <w:r>
        <w:rPr>
          <w:rFonts w:ascii="Liberation Sans" w:hAnsi="Liberation Sans"/>
          <w:b w:val="0"/>
          <w:i w:val="0"/>
          <w:color w:val="27241B"/>
          <w:sz w:val="19"/>
        </w:rPr>
        <w:t>List price per unit rose +4.3% while discount depth went from 4.80% to 7.82% of gross — roughly an extra KSh 1.43M given away in the quarter, concentrated in Beverages (+13.05pp).</w:t>
      </w:r>
      <w:r>
        <w:rPr>
          <w:rFonts w:ascii="Liberation Sans" w:hAnsi="Liberation Sans"/>
          <w:b w:val="0"/>
          <w:i/>
          <w:color w:val="89877B"/>
          <w:sz w:val="19"/>
        </w:rPr>
        <w:t xml:space="preserve">  Gross profit fell faster than revenue. Price rises are being handed straight back through promotions, so margin — not just revenue — is the thing at risk.</w:t>
      </w:r>
    </w:p>
    <w:p>
      <w:pPr>
        <w:spacing w:after="100"/>
      </w:pPr>
      <w:r>
        <w:rPr>
          <w:rFonts w:ascii="Liberation Sans" w:hAnsi="Liberation Sans"/>
          <w:b/>
          <w:i w:val="0"/>
          <w:color w:val="27241B"/>
          <w:sz w:val="19"/>
        </w:rPr>
        <w:t xml:space="preserve">5. Retention is healthy; the leak is trip frequency  </w:t>
      </w:r>
      <w:r>
        <w:rPr>
          <w:rFonts w:ascii="Liberation Sans" w:hAnsi="Liberation Sans"/>
          <w:b w:val="0"/>
          <w:i w:val="0"/>
          <w:color w:val="27241B"/>
          <w:sz w:val="19"/>
        </w:rPr>
        <w:t>4,410 of 5,265 Q3 2025 customers returned (83.8%), and 1,145 new customers arrived. Churn is not the problem — the people we keep are simply shopping less often.</w:t>
      </w:r>
      <w:r>
        <w:rPr>
          <w:rFonts w:ascii="Liberation Sans" w:hAnsi="Liberation Sans"/>
          <w:b w:val="0"/>
          <w:i/>
          <w:color w:val="89877B"/>
          <w:sz w:val="19"/>
        </w:rPr>
        <w:t xml:space="preserve">  Win-back for the 855 lapsed customers is worth doing, but the money is in raising frequency among the customers who already come back.</w:t>
      </w:r>
    </w:p>
    <w:p>
      <w:pPr>
        <w:pStyle w:val="Heading2"/>
      </w:pPr>
      <w:r>
        <w:t>What we recommend — owners, impact and review dates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FE6D3"/>
          <w:left w:val="single" w:sz="4" w:space="0" w:color="EFE6D3"/>
          <w:bottom w:val="single" w:sz="4" w:space="0" w:color="EFE6D3"/>
          <w:right w:val="single" w:sz="4" w:space="0" w:color="EFE6D3"/>
          <w:insideH w:val="single" w:sz="4" w:space="0" w:color="EFE6D3"/>
          <w:insideV w:val="single" w:sz="4" w:space="0" w:color="EFE6D3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374"/>
            <w:shd w:val="clear" w:color="auto" w:fill="FFEFD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b/>
                <w:color w:val="27241B"/>
                <w:sz w:val="16"/>
              </w:rPr>
              <w:t>#</w:t>
            </w:r>
          </w:p>
        </w:tc>
        <w:tc>
          <w:tcPr>
            <w:tcW w:type="dxa" w:w="5112"/>
            <w:shd w:val="clear" w:color="auto" w:fill="FFEFD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b/>
                <w:color w:val="27241B"/>
                <w:sz w:val="16"/>
              </w:rPr>
              <w:t>Action</w:t>
            </w:r>
          </w:p>
        </w:tc>
        <w:tc>
          <w:tcPr>
            <w:tcW w:type="dxa" w:w="1411"/>
            <w:shd w:val="clear" w:color="auto" w:fill="FFEFD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b/>
                <w:color w:val="27241B"/>
                <w:sz w:val="16"/>
              </w:rPr>
              <w:t>Owner</w:t>
            </w:r>
          </w:p>
        </w:tc>
        <w:tc>
          <w:tcPr>
            <w:tcW w:type="dxa" w:w="1267"/>
            <w:shd w:val="clear" w:color="auto" w:fill="FFEFD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b/>
                <w:color w:val="27241B"/>
                <w:sz w:val="16"/>
              </w:rPr>
              <w:t>Expected gross-profit recovery</w:t>
            </w:r>
          </w:p>
        </w:tc>
        <w:tc>
          <w:tcPr>
            <w:tcW w:type="dxa" w:w="1152"/>
            <w:shd w:val="clear" w:color="auto" w:fill="FFEFD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b/>
                <w:color w:val="27241B"/>
                <w:sz w:val="16"/>
              </w:rPr>
              <w:t>Review</w:t>
            </w:r>
          </w:p>
        </w:tc>
      </w:tr>
      <w:tr>
        <w:tc>
          <w:tcPr>
            <w:tcW w:type="dxa" w:w="37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1</w:t>
            </w:r>
          </w:p>
        </w:tc>
        <w:tc>
          <w:tcPr>
            <w:tcW w:type="dxa" w:w="51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Rebuild safety stock on the hero SKUs; qualify a second supplier</w:t>
            </w:r>
          </w:p>
        </w:tc>
        <w:tc>
          <w:tcPr>
            <w:tcW w:type="dxa" w:w="141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Supply Chain</w:t>
            </w:r>
          </w:p>
        </w:tc>
        <w:tc>
          <w:tcPr>
            <w:tcW w:type="dxa" w:w="126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KSh 1.51M – KSh 2.16M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2026-11-04 (+30d)</w:t>
            </w:r>
          </w:p>
        </w:tc>
      </w:tr>
      <w:tr>
        <w:tc>
          <w:tcPr>
            <w:tcW w:type="dxa" w:w="374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2</w:t>
            </w:r>
          </w:p>
        </w:tc>
        <w:tc>
          <w:tcPr>
            <w:tcW w:type="dxa" w:w="5112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Rebuild the Mombasa basket: substitutes, adjacency, staff script</w:t>
            </w:r>
          </w:p>
        </w:tc>
        <w:tc>
          <w:tcPr>
            <w:tcW w:type="dxa" w:w="1411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Merchandising</w:t>
            </w:r>
          </w:p>
        </w:tc>
        <w:tc>
          <w:tcPr>
            <w:tcW w:type="dxa" w:w="1267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KSh 0.18M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2026-11-19 (+45d)</w:t>
            </w:r>
          </w:p>
        </w:tc>
      </w:tr>
      <w:tr>
        <w:tc>
          <w:tcPr>
            <w:tcW w:type="dxa" w:w="37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3</w:t>
            </w:r>
          </w:p>
        </w:tc>
        <w:tc>
          <w:tcPr>
            <w:tcW w:type="dxa" w:w="51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Thika Road access recovery with the landlord and county</w:t>
            </w:r>
          </w:p>
        </w:tc>
        <w:tc>
          <w:tcPr>
            <w:tcW w:type="dxa" w:w="141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Retail Operations</w:t>
            </w:r>
          </w:p>
        </w:tc>
        <w:tc>
          <w:tcPr>
            <w:tcW w:type="dxa" w:w="126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KSh 0.89M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2026-12-04 (+60d)</w:t>
            </w:r>
          </w:p>
        </w:tc>
      </w:tr>
      <w:tr>
        <w:tc>
          <w:tcPr>
            <w:tcW w:type="dxa" w:w="374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4</w:t>
            </w:r>
          </w:p>
        </w:tc>
        <w:tc>
          <w:tcPr>
            <w:tcW w:type="dxa" w:w="5112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Cap beverage discount depth; gate approvals above 4.8%</w:t>
            </w:r>
          </w:p>
        </w:tc>
        <w:tc>
          <w:tcPr>
            <w:tcW w:type="dxa" w:w="1411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Pricing &amp; Category Management</w:t>
            </w:r>
          </w:p>
        </w:tc>
        <w:tc>
          <w:tcPr>
            <w:tcW w:type="dxa" w:w="1267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KSh 0.27M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2026-10-26 (+21d)</w:t>
            </w:r>
          </w:p>
        </w:tc>
      </w:tr>
      <w:tr>
        <w:tc>
          <w:tcPr>
            <w:tcW w:type="dxa" w:w="374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5</w:t>
            </w:r>
          </w:p>
        </w:tc>
        <w:tc>
          <w:tcPr>
            <w:tcW w:type="dxa" w:w="511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Win back lapsed customers; nudge a second purchase</w:t>
            </w:r>
          </w:p>
        </w:tc>
        <w:tc>
          <w:tcPr>
            <w:tcW w:type="dxa" w:w="141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CRM / Loyalty</w:t>
            </w:r>
          </w:p>
        </w:tc>
        <w:tc>
          <w:tcPr>
            <w:tcW w:type="dxa" w:w="126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KSh 0.49M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2027-01-03 (+90d)</w:t>
            </w:r>
          </w:p>
        </w:tc>
      </w:tr>
      <w:tr>
        <w:tc>
          <w:tcPr>
            <w:tcW w:type="dxa" w:w="374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6</w:t>
            </w:r>
          </w:p>
        </w:tc>
        <w:tc>
          <w:tcPr>
            <w:tcW w:type="dxa" w:w="5112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Capture a customer ID on every sale; log supplier lead times</w:t>
            </w:r>
          </w:p>
        </w:tc>
        <w:tc>
          <w:tcPr>
            <w:tcW w:type="dxa" w:w="1411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Data / POS &amp; Supply Chain</w:t>
            </w:r>
          </w:p>
        </w:tc>
        <w:tc>
          <w:tcPr>
            <w:tcW w:type="dxa" w:w="1267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No direct revenue; removes both blind spots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FFFDF0"/>
          </w:tcPr>
          <w:p>
            <w:pPr>
              <w:spacing w:after="40" w:before="40"/>
              <w:jc w:val="right"/>
            </w:pPr>
            <w:r/>
            <w:r>
              <w:rPr>
                <w:rFonts w:ascii="Liberation Sans" w:hAnsi="Liberation Sans"/>
                <w:color w:val="27241B"/>
                <w:sz w:val="16"/>
              </w:rPr>
              <w:t>2027-01-03 (next quarter)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FB6107"/>
          <w:left w:val="single" w:sz="10" w:space="0" w:color="FB6107"/>
          <w:bottom w:val="single" w:sz="10" w:space="0" w:color="FB6107"/>
          <w:right w:val="single" w:sz="10" w:space="0" w:color="FB6107"/>
          <w:insideH w:val="single" w:sz="10" w:space="0" w:color="FB6107"/>
          <w:insideV w:val="single" w:sz="10" w:space="0" w:color="FB6107"/>
        </w:tblBorders>
      </w:tblPr>
      <w:tblGrid>
        <w:gridCol w:w="10036"/>
      </w:tblGrid>
      <w:tr>
        <w:tc>
          <w:tcPr>
            <w:tcW w:type="dxa" w:w="9216"/>
            <w:shd w:val="clear" w:color="auto" w:fill="FFEFD5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FB6107"/>
                <w:sz w:val="20"/>
              </w:rPr>
              <w:t>What would change this conclusion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7241B"/>
                <w:sz w:val="19"/>
              </w:rPr>
              <w:t>0.76% of revenue carries no customer identifier (KSh 0.70M of anonymous walk-ins). Every segment-level conclusion therefore reconciles to 99.24% of revenue, not 100%. The reconciliation is shown as its own line rather than hidden in an 'Other' bucket.  ·  The annualised figure is a stated run-rate (KSh -20.83M, the quarter's change x 4), not a forecast. It assumes the Mombasa Nyali incident does not repeat and ignores Q4 seasonality.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24" w:right="1102" w:bottom="1040" w:left="11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Liberation Sans" w:hAnsi="Liberation Sans"/>
        <w:color w:val="89877B"/>
        <w:sz w:val="16"/>
      </w:rPr>
      <w:t>Mavuno Home &amp; Care  ·  Revenue Decline Diagnostic  ·  Q3 2026 vs Q3 2025</w:t>
    </w:r>
    <w:r>
      <w:tab/>
      <w:tab/>
    </w:r>
    <w:r>
      <w:rPr>
        <w:rFonts w:ascii="Liberation Sans" w:hAnsi="Liberation Sans"/>
        <w:color w:val="89877B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end"/>
    </w:r>
    <w:r>
      <w:rPr>
        <w:rFonts w:ascii="Liberation Sans" w:hAnsi="Liberation Sans"/>
        <w:color w:val="89877B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Liberation Sans" w:hAnsi="Liberation Sans"/>
      <w:color w:val="2724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i w:val="0"/>
      <w:caps w:val="0"/>
      <w:color w:val="1B6B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i w:val="0"/>
      <w:color w:val="2724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i w:val="0"/>
      <w:color w:val="FB610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