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sz w:val="120"/>
        </w:rPr>
      </w:r>
    </w:p>
    <w:p>
      <w:pPr>
        <w:spacing w:after="40"/>
      </w:pPr>
      <w:r>
        <w:rPr>
          <w:rFonts w:ascii="Liberation Sans" w:hAnsi="Liberation Sans"/>
          <w:b/>
          <w:i w:val="0"/>
          <w:color w:val="FB6107"/>
          <w:sz w:val="17"/>
        </w:rPr>
        <w:t>MAVUNO HOME &amp; CARE</w:t>
      </w:r>
    </w:p>
    <w:p>
      <w:pPr>
        <w:spacing w:after="40"/>
      </w:pPr>
      <w:r>
        <w:rPr>
          <w:rFonts w:ascii="Liberation Sans" w:hAnsi="Liberation Sans"/>
          <w:b/>
          <w:color w:val="1B6B34"/>
          <w:sz w:val="60"/>
        </w:rPr>
        <w:t>Revenue Decline Diagnostic</w:t>
      </w:r>
    </w:p>
    <w:p>
      <w:pPr>
        <w:spacing w:after="200"/>
      </w:pPr>
      <w:r>
        <w:rPr>
          <w:rFonts w:ascii="Liberation Sans" w:hAnsi="Liberation Sans"/>
          <w:color w:val="27241B"/>
          <w:sz w:val="27"/>
        </w:rPr>
        <w:t>Why group revenue fell 10.7% — and who owns each cause</w:t>
      </w:r>
    </w:p>
    <w:p>
      <w:pPr>
        <w:spacing w:after="120" w:before="0"/>
        <w:pBdr>
          <w:bottom w:val="single" w:sz="24" w:space="6" w:color="FB6107"/>
        </w:pBdr>
      </w:pP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4889"/>
        <w:gridCol w:w="4889"/>
      </w:tblGrid>
      <w:tr>
        <w:trPr>
          <w:tblHeader w:val="true"/>
        </w:trPr>
        <w:tc>
          <w:tcPr>
            <w:tcW w:type="dxa" w:w="2736"/>
            <w:shd w:val="clear" w:color="auto" w:fill="FFEFD5"/>
            <w:tcMar>
              <w:top w:w="60" w:type="dxa"/>
              <w:left w:w="110" w:type="dxa"/>
              <w:bottom w:w="60" w:type="dxa"/>
              <w:right w:w="110" w:type="dxa"/>
            </w:tcMar>
          </w:tcPr>
          <w:p>
            <w:pPr>
              <w:spacing w:after="40" w:before="40"/>
            </w:pPr>
            <w:r/>
            <w:r>
              <w:rPr>
                <w:rFonts w:ascii="Liberation Sans" w:hAnsi="Liberation Sans"/>
                <w:b/>
                <w:color w:val="27241B"/>
                <w:sz w:val="19"/>
              </w:rPr>
            </w:r>
          </w:p>
        </w:tc>
        <w:tc>
          <w:tcPr>
            <w:tcW w:type="dxa" w:w="6480"/>
            <w:shd w:val="clear" w:color="auto" w:fill="FFEFD5"/>
            <w:tcMar>
              <w:top w:w="60" w:type="dxa"/>
              <w:left w:w="110" w:type="dxa"/>
              <w:bottom w:w="60" w:type="dxa"/>
              <w:right w:w="110" w:type="dxa"/>
            </w:tcMar>
          </w:tcPr>
          <w:p>
            <w:pPr>
              <w:spacing w:after="40" w:before="40"/>
            </w:pPr>
            <w:r/>
            <w:r>
              <w:rPr>
                <w:rFonts w:ascii="Liberation Sans" w:hAnsi="Liberation Sans"/>
                <w:b/>
                <w:color w:val="27241B"/>
                <w:sz w:val="19"/>
              </w:rPr>
            </w:r>
          </w:p>
        </w:tc>
      </w:tr>
      <w:tr>
        <w:tc>
          <w:tcPr>
            <w:tcW w:type="dxa" w:w="2736"/>
            <w:tcMar>
              <w:top w:w="60" w:type="dxa"/>
              <w:left w:w="110" w:type="dxa"/>
              <w:bottom w:w="60" w:type="dxa"/>
              <w:right w:w="110" w:type="dxa"/>
            </w:tcMar>
          </w:tcPr>
          <w:p>
            <w:pPr>
              <w:spacing w:after="40" w:before="40"/>
            </w:pPr>
            <w:r/>
            <w:r>
              <w:rPr>
                <w:rFonts w:ascii="Liberation Sans" w:hAnsi="Liberation Sans"/>
                <w:color w:val="27241B"/>
                <w:sz w:val="19"/>
              </w:rPr>
              <w:t>Comparison period</w:t>
            </w:r>
          </w:p>
        </w:tc>
        <w:tc>
          <w:tcPr>
            <w:tcW w:type="dxa" w:w="6480"/>
            <w:tcMar>
              <w:top w:w="60" w:type="dxa"/>
              <w:left w:w="110" w:type="dxa"/>
              <w:bottom w:w="60" w:type="dxa"/>
              <w:right w:w="110" w:type="dxa"/>
            </w:tcMar>
          </w:tcPr>
          <w:p>
            <w:pPr>
              <w:spacing w:after="40" w:before="40"/>
            </w:pPr>
            <w:r/>
            <w:r>
              <w:rPr>
                <w:rFonts w:ascii="Liberation Sans" w:hAnsi="Liberation Sans"/>
                <w:color w:val="27241B"/>
                <w:sz w:val="19"/>
              </w:rPr>
              <w:t>Q3 2026 vs Q3 2025</w:t>
            </w:r>
          </w:p>
        </w:tc>
      </w:tr>
      <w:tr>
        <w:tc>
          <w:tcPr>
            <w:tcW w:type="dxa" w:w="2736"/>
            <w:tcMar>
              <w:top w:w="60" w:type="dxa"/>
              <w:left w:w="110" w:type="dxa"/>
              <w:bottom w:w="60" w:type="dxa"/>
              <w:right w:w="110" w:type="dxa"/>
            </w:tcMar>
          </w:tcPr>
          <w:p>
            <w:pPr>
              <w:spacing w:after="40" w:before="40"/>
            </w:pPr>
            <w:r/>
            <w:r>
              <w:rPr>
                <w:rFonts w:ascii="Liberation Sans" w:hAnsi="Liberation Sans"/>
                <w:color w:val="27241B"/>
                <w:sz w:val="19"/>
              </w:rPr>
              <w:t>Prepared</w:t>
            </w:r>
          </w:p>
        </w:tc>
        <w:tc>
          <w:tcPr>
            <w:tcW w:type="dxa" w:w="6480"/>
            <w:tcMar>
              <w:top w:w="60" w:type="dxa"/>
              <w:left w:w="110" w:type="dxa"/>
              <w:bottom w:w="60" w:type="dxa"/>
              <w:right w:w="110" w:type="dxa"/>
            </w:tcMar>
          </w:tcPr>
          <w:p>
            <w:pPr>
              <w:spacing w:after="40" w:before="40"/>
            </w:pPr>
            <w:r/>
            <w:r>
              <w:rPr>
                <w:rFonts w:ascii="Liberation Sans" w:hAnsi="Liberation Sans"/>
                <w:color w:val="27241B"/>
                <w:sz w:val="19"/>
              </w:rPr>
              <w:t>2026-10-05</w:t>
            </w:r>
          </w:p>
        </w:tc>
      </w:tr>
      <w:tr>
        <w:tc>
          <w:tcPr>
            <w:tcW w:type="dxa" w:w="2736"/>
            <w:tcMar>
              <w:top w:w="60" w:type="dxa"/>
              <w:left w:w="110" w:type="dxa"/>
              <w:bottom w:w="60" w:type="dxa"/>
              <w:right w:w="110" w:type="dxa"/>
            </w:tcMar>
          </w:tcPr>
          <w:p>
            <w:pPr>
              <w:spacing w:after="40" w:before="40"/>
            </w:pPr>
            <w:r/>
            <w:r>
              <w:rPr>
                <w:rFonts w:ascii="Liberation Sans" w:hAnsi="Liberation Sans"/>
                <w:color w:val="27241B"/>
                <w:sz w:val="19"/>
              </w:rPr>
              <w:t>Prepared by</w:t>
            </w:r>
          </w:p>
        </w:tc>
        <w:tc>
          <w:tcPr>
            <w:tcW w:type="dxa" w:w="6480"/>
            <w:tcMar>
              <w:top w:w="60" w:type="dxa"/>
              <w:left w:w="110" w:type="dxa"/>
              <w:bottom w:w="60" w:type="dxa"/>
              <w:right w:w="110" w:type="dxa"/>
            </w:tcMar>
          </w:tcPr>
          <w:p>
            <w:pPr>
              <w:spacing w:after="40" w:before="40"/>
            </w:pPr>
            <w:r/>
            <w:r>
              <w:rPr>
                <w:rFonts w:ascii="Liberation Sans" w:hAnsi="Liberation Sans"/>
                <w:color w:val="27241B"/>
                <w:sz w:val="19"/>
              </w:rPr>
              <w:t>Senior Data Analyst</w:t>
            </w:r>
          </w:p>
        </w:tc>
      </w:tr>
      <w:tr>
        <w:tc>
          <w:tcPr>
            <w:tcW w:type="dxa" w:w="2736"/>
            <w:tcMar>
              <w:top w:w="60" w:type="dxa"/>
              <w:left w:w="110" w:type="dxa"/>
              <w:bottom w:w="60" w:type="dxa"/>
              <w:right w:w="110" w:type="dxa"/>
            </w:tcMar>
          </w:tcPr>
          <w:p>
            <w:pPr>
              <w:spacing w:after="40" w:before="40"/>
            </w:pPr>
            <w:r/>
            <w:r>
              <w:rPr>
                <w:rFonts w:ascii="Liberation Sans" w:hAnsi="Liberation Sans"/>
                <w:color w:val="27241B"/>
                <w:sz w:val="19"/>
              </w:rPr>
              <w:t>Classification</w:t>
            </w:r>
          </w:p>
        </w:tc>
        <w:tc>
          <w:tcPr>
            <w:tcW w:type="dxa" w:w="6480"/>
            <w:tcMar>
              <w:top w:w="60" w:type="dxa"/>
              <w:left w:w="110" w:type="dxa"/>
              <w:bottom w:w="60" w:type="dxa"/>
              <w:right w:w="110" w:type="dxa"/>
            </w:tcMar>
          </w:tcPr>
          <w:p>
            <w:pPr>
              <w:spacing w:after="40" w:before="40"/>
            </w:pPr>
            <w:r/>
            <w:r>
              <w:rPr>
                <w:rFonts w:ascii="Liberation Sans" w:hAnsi="Liberation Sans"/>
                <w:color w:val="27241B"/>
                <w:sz w:val="19"/>
              </w:rPr>
              <w:t>Internal — Commercial leadership</w:t>
            </w:r>
          </w:p>
        </w:tc>
      </w:tr>
      <w:tr>
        <w:tc>
          <w:tcPr>
            <w:tcW w:type="dxa" w:w="2736"/>
            <w:tcMar>
              <w:top w:w="60" w:type="dxa"/>
              <w:left w:w="110" w:type="dxa"/>
              <w:bottom w:w="60" w:type="dxa"/>
              <w:right w:w="110" w:type="dxa"/>
            </w:tcMar>
          </w:tcPr>
          <w:p>
            <w:pPr>
              <w:spacing w:after="40" w:before="40"/>
            </w:pPr>
            <w:r/>
            <w:r>
              <w:rPr>
                <w:rFonts w:ascii="Liberation Sans" w:hAnsi="Liberation Sans"/>
                <w:color w:val="27241B"/>
                <w:sz w:val="19"/>
              </w:rPr>
              <w:t>Reproduce with</w:t>
            </w:r>
          </w:p>
        </w:tc>
        <w:tc>
          <w:tcPr>
            <w:tcW w:type="dxa" w:w="6480"/>
            <w:tcMar>
              <w:top w:w="60" w:type="dxa"/>
              <w:left w:w="110" w:type="dxa"/>
              <w:bottom w:w="60" w:type="dxa"/>
              <w:right w:w="110" w:type="dxa"/>
            </w:tcMar>
          </w:tcPr>
          <w:p>
            <w:pPr>
              <w:spacing w:after="40" w:before="40"/>
            </w:pPr>
            <w:r/>
            <w:r>
              <w:rPr>
                <w:rFonts w:ascii="Liberation Sans" w:hAnsi="Liberation Sans"/>
                <w:color w:val="27241B"/>
                <w:sz w:val="19"/>
              </w:rPr>
              <w:t>python3 src/run_pipeline.py</w:t>
            </w:r>
          </w:p>
        </w:tc>
      </w:tr>
    </w:tbl>
    <w:p>
      <w:pPr>
        <w:spacing w:after="0" w:before="0" w:line="240" w:lineRule="auto"/>
      </w:pPr>
      <w:r>
        <w:rPr>
          <w:sz w:val="36"/>
        </w:rPr>
      </w:r>
    </w:p>
    <w:tbl>
      <w:tblPr>
        <w:tblW w:type="auto" w:w="0"/>
        <w:tblLayout w:type="fixed"/>
        <w:tblLook w:firstColumn="1" w:firstRow="1" w:lastColumn="0" w:lastRow="0" w:noHBand="0" w:noVBand="1" w:val="04A0"/>
        <w:tblBorders>
          <w:top w:val="single" w:sz="10" w:space="0" w:color="259741"/>
          <w:left w:val="single" w:sz="10" w:space="0" w:color="259741"/>
          <w:bottom w:val="single" w:sz="10" w:space="0" w:color="259741"/>
          <w:right w:val="single" w:sz="10" w:space="0" w:color="259741"/>
          <w:insideH w:val="single" w:sz="10" w:space="0" w:color="259741"/>
          <w:insideV w:val="single" w:sz="10" w:space="0" w:color="259741"/>
        </w:tblBorders>
      </w:tblPr>
      <w:tblGrid>
        <w:gridCol w:w="9778"/>
      </w:tblGrid>
      <w:tr>
        <w:tc>
          <w:tcPr>
            <w:tcW w:type="dxa" w:w="9216"/>
            <w:shd w:val="clear" w:color="auto" w:fill="FFEFD5"/>
            <w:tcMar>
              <w:top w:w="120" w:type="dxa"/>
              <w:left w:w="160" w:type="dxa"/>
              <w:bottom w:w="120" w:type="dxa"/>
              <w:right w:w="160" w:type="dxa"/>
            </w:tcMar>
          </w:tcPr>
          <w:p>
            <w:pPr>
              <w:spacing w:after="60"/>
            </w:pPr>
            <w:r/>
            <w:r>
              <w:rPr>
                <w:rFonts w:ascii="Liberation Sans" w:hAnsi="Liberation Sans"/>
                <w:b/>
                <w:color w:val="259741"/>
                <w:sz w:val="20"/>
              </w:rPr>
              <w:t>The question this answers</w:t>
            </w:r>
          </w:p>
          <w:p>
            <w:pPr>
              <w:spacing w:after="0"/>
            </w:pPr>
            <w:r>
              <w:rPr>
                <w:rFonts w:ascii="Liberation Sans" w:hAnsi="Liberation Sans"/>
                <w:color w:val="27241B"/>
                <w:sz w:val="19"/>
              </w:rPr>
              <w:t>Whose plan gets rewritten next quarter — retention, pricing, or merchandising?</w:t>
            </w:r>
          </w:p>
        </w:tc>
      </w:tr>
    </w:tbl>
    <w:p>
      <w:pPr>
        <w:spacing w:after="0" w:before="0" w:line="240" w:lineRule="auto"/>
      </w:pPr>
      <w:r>
        <w:rPr>
          <w:sz w:val="20"/>
        </w:rPr>
      </w:r>
    </w:p>
    <w:p>
      <w:pPr>
        <w:spacing w:after="140"/>
      </w:pPr>
      <w:r>
        <w:rPr>
          <w:rFonts w:ascii="Liberation Sans" w:hAnsi="Liberation Sans"/>
          <w:b w:val="0"/>
          <w:i w:val="0"/>
          <w:color w:val="27241B"/>
          <w:sz w:val="22"/>
        </w:rPr>
        <w:t>Group net revenue fell KSh 5.21M (10.7%). We did not lose customers — active customers rose +5.5%. We lost trips (-11.4% orders per customer) and basket (-4.5% average order value), and 71% of the damage sits in two of six stores.</w:t>
      </w:r>
    </w:p>
    <w:p>
      <w:r>
        <w:br w:type="page"/>
      </w:r>
    </w:p>
    <w:p>
      <w:pPr>
        <w:pStyle w:val="Heading1"/>
      </w:pPr>
      <w:r>
        <w:t>Contents</w:t>
      </w:r>
    </w:p>
    <w:p>
      <w:pPr>
        <w:spacing w:after="60"/>
      </w:pPr>
      <w:r>
        <w:rPr>
          <w:rFonts w:ascii="Liberation Sans" w:hAnsi="Liberation Sans"/>
          <w:b w:val="0"/>
          <w:i w:val="0"/>
          <w:color w:val="27241B"/>
          <w:sz w:val="20"/>
        </w:rPr>
        <w:t>1.  Executive summary</w:t>
      </w:r>
    </w:p>
    <w:p>
      <w:pPr>
        <w:spacing w:after="60"/>
      </w:pPr>
      <w:r>
        <w:rPr>
          <w:rFonts w:ascii="Liberation Sans" w:hAnsi="Liberation Sans"/>
          <w:b w:val="0"/>
          <w:i w:val="0"/>
          <w:color w:val="27241B"/>
          <w:sz w:val="20"/>
        </w:rPr>
        <w:t>2.  The decision this supports</w:t>
      </w:r>
    </w:p>
    <w:p>
      <w:pPr>
        <w:spacing w:after="60"/>
      </w:pPr>
      <w:r>
        <w:rPr>
          <w:rFonts w:ascii="Liberation Sans" w:hAnsi="Liberation Sans"/>
          <w:b w:val="0"/>
          <w:i w:val="0"/>
          <w:color w:val="27241B"/>
          <w:sz w:val="20"/>
        </w:rPr>
        <w:t>3.  What the data is, and what it is not</w:t>
      </w:r>
    </w:p>
    <w:p>
      <w:pPr>
        <w:spacing w:after="60"/>
      </w:pPr>
      <w:r>
        <w:rPr>
          <w:rFonts w:ascii="Liberation Sans" w:hAnsi="Liberation Sans"/>
          <w:b w:val="0"/>
          <w:i w:val="0"/>
          <w:color w:val="27241B"/>
          <w:sz w:val="20"/>
        </w:rPr>
        <w:t>4.  Descriptive — what happened</w:t>
      </w:r>
    </w:p>
    <w:p>
      <w:pPr>
        <w:spacing w:after="60"/>
      </w:pPr>
      <w:r>
        <w:rPr>
          <w:rFonts w:ascii="Liberation Sans" w:hAnsi="Liberation Sans"/>
          <w:b w:val="0"/>
          <w:i w:val="0"/>
          <w:color w:val="27241B"/>
          <w:sz w:val="20"/>
        </w:rPr>
        <w:t>5.  Diagnostic, part 1 — the mechanism</w:t>
      </w:r>
    </w:p>
    <w:p>
      <w:pPr>
        <w:spacing w:after="60"/>
      </w:pPr>
      <w:r>
        <w:rPr>
          <w:rFonts w:ascii="Liberation Sans" w:hAnsi="Liberation Sans"/>
          <w:b w:val="0"/>
          <w:i w:val="0"/>
          <w:color w:val="27241B"/>
          <w:sz w:val="20"/>
        </w:rPr>
        <w:t>6.  Diagnostic, part 2 — the structure, and who owns what</w:t>
      </w:r>
    </w:p>
    <w:p>
      <w:pPr>
        <w:spacing w:after="60"/>
      </w:pPr>
      <w:r>
        <w:rPr>
          <w:rFonts w:ascii="Liberation Sans" w:hAnsi="Liberation Sans"/>
          <w:b w:val="0"/>
          <w:i w:val="0"/>
          <w:color w:val="27241B"/>
          <w:sz w:val="20"/>
        </w:rPr>
        <w:t>7.  The intersection — which store x product x segment</w:t>
      </w:r>
    </w:p>
    <w:p>
      <w:pPr>
        <w:spacing w:after="60"/>
      </w:pPr>
      <w:r>
        <w:rPr>
          <w:rFonts w:ascii="Liberation Sans" w:hAnsi="Liberation Sans"/>
          <w:b w:val="0"/>
          <w:i w:val="0"/>
          <w:color w:val="27241B"/>
          <w:sz w:val="20"/>
        </w:rPr>
        <w:t>8.  Segments and retention</w:t>
      </w:r>
    </w:p>
    <w:p>
      <w:pPr>
        <w:spacing w:after="60"/>
      </w:pPr>
      <w:r>
        <w:rPr>
          <w:rFonts w:ascii="Liberation Sans" w:hAnsi="Liberation Sans"/>
          <w:b w:val="0"/>
          <w:i w:val="0"/>
          <w:color w:val="27241B"/>
          <w:sz w:val="20"/>
        </w:rPr>
        <w:t>9.  The supply event, with dates</w:t>
      </w:r>
    </w:p>
    <w:p>
      <w:pPr>
        <w:spacing w:after="60"/>
      </w:pPr>
      <w:r>
        <w:rPr>
          <w:rFonts w:ascii="Liberation Sans" w:hAnsi="Liberation Sans"/>
          <w:b w:val="0"/>
          <w:i w:val="0"/>
          <w:color w:val="27241B"/>
          <w:sz w:val="20"/>
        </w:rPr>
        <w:t>10. Pricing, mix and margin</w:t>
      </w:r>
    </w:p>
    <w:p>
      <w:pPr>
        <w:spacing w:after="60"/>
      </w:pPr>
      <w:r>
        <w:rPr>
          <w:rFonts w:ascii="Liberation Sans" w:hAnsi="Liberation Sans"/>
          <w:b w:val="0"/>
          <w:i w:val="0"/>
          <w:color w:val="27241B"/>
          <w:sz w:val="20"/>
        </w:rPr>
        <w:t>11. Facts, hypotheses, and the edge of what we know</w:t>
      </w:r>
    </w:p>
    <w:p>
      <w:pPr>
        <w:spacing w:after="60"/>
      </w:pPr>
      <w:r>
        <w:rPr>
          <w:rFonts w:ascii="Liberation Sans" w:hAnsi="Liberation Sans"/>
          <w:b w:val="0"/>
          <w:i w:val="0"/>
          <w:color w:val="27241B"/>
          <w:sz w:val="20"/>
        </w:rPr>
        <w:t>12. Predictive — the run-rate if nothing changes</w:t>
      </w:r>
    </w:p>
    <w:p>
      <w:pPr>
        <w:spacing w:after="60"/>
      </w:pPr>
      <w:r>
        <w:rPr>
          <w:rFonts w:ascii="Liberation Sans" w:hAnsi="Liberation Sans"/>
          <w:b w:val="0"/>
          <w:i w:val="0"/>
          <w:color w:val="27241B"/>
          <w:sz w:val="20"/>
        </w:rPr>
        <w:t>13. Prescriptive — what to do</w:t>
      </w:r>
    </w:p>
    <w:p>
      <w:pPr>
        <w:spacing w:after="60"/>
      </w:pPr>
      <w:r>
        <w:rPr>
          <w:rFonts w:ascii="Liberation Sans" w:hAnsi="Liberation Sans"/>
          <w:b w:val="0"/>
          <w:i w:val="0"/>
          <w:color w:val="27241B"/>
          <w:sz w:val="20"/>
        </w:rPr>
        <w:t>14. How we will know whether it worked</w:t>
      </w:r>
    </w:p>
    <w:p>
      <w:pPr>
        <w:spacing w:after="60"/>
      </w:pPr>
      <w:r>
        <w:rPr>
          <w:rFonts w:ascii="Liberation Sans" w:hAnsi="Liberation Sans"/>
          <w:b w:val="0"/>
          <w:i w:val="0"/>
          <w:color w:val="27241B"/>
          <w:sz w:val="20"/>
        </w:rPr>
        <w:t>Appendix A — method, provenance and reproducibility</w:t>
      </w:r>
    </w:p>
    <w:p>
      <w:pPr>
        <w:spacing w:after="60"/>
      </w:pPr>
      <w:r>
        <w:rPr>
          <w:rFonts w:ascii="Liberation Sans" w:hAnsi="Liberation Sans"/>
          <w:b w:val="0"/>
          <w:i w:val="0"/>
          <w:color w:val="27241B"/>
          <w:sz w:val="20"/>
        </w:rPr>
        <w:t>Appendix B — index of charts</w:t>
      </w:r>
    </w:p>
    <w:p>
      <w:pPr>
        <w:spacing w:after="60"/>
      </w:pPr>
      <w:r>
        <w:rPr>
          <w:rFonts w:ascii="Liberation Sans" w:hAnsi="Liberation Sans"/>
          <w:b w:val="0"/>
          <w:i w:val="0"/>
          <w:color w:val="27241B"/>
          <w:sz w:val="20"/>
        </w:rPr>
        <w:t>Appendix C — the evidential 5-Whys</w:t>
      </w:r>
    </w:p>
    <w:p>
      <w:r>
        <w:br w:type="page"/>
      </w:r>
    </w:p>
    <w:p>
      <w:pPr>
        <w:spacing w:after="40"/>
      </w:pPr>
      <w:r>
        <w:rPr>
          <w:rFonts w:ascii="Liberation Sans" w:hAnsi="Liberation Sans"/>
          <w:b/>
          <w:i w:val="0"/>
          <w:color w:val="FB6107"/>
          <w:sz w:val="17"/>
        </w:rPr>
        <w:t>SECTION 1</w:t>
      </w:r>
    </w:p>
    <w:p>
      <w:pPr>
        <w:pStyle w:val="Heading1"/>
      </w:pPr>
      <w:r>
        <w:t>Executive summary</w:t>
      </w:r>
    </w:p>
    <w:tbl>
      <w:tblPr>
        <w:tblW w:type="auto" w:w="0"/>
        <w:jc w:val="center"/>
        <w:tblLayout w:type="fixed"/>
        <w:tblLook w:firstColumn="1" w:firstRow="1" w:lastColumn="0" w:lastRow="0" w:noHBand="0" w:noVBand="1" w:val="04A0"/>
        <w:tblBorders>
          <w:top w:val="single" w:sz="8" w:space="0" w:color="FFEFD5"/>
          <w:left w:val="single" w:sz="8" w:space="0" w:color="FFEFD5"/>
          <w:bottom w:val="single" w:sz="8" w:space="0" w:color="FFEFD5"/>
          <w:right w:val="single" w:sz="8" w:space="0" w:color="FFEFD5"/>
          <w:insideH w:val="single" w:sz="8" w:space="0" w:color="FFEFD5"/>
          <w:insideV w:val="single" w:sz="8" w:space="0" w:color="FFEFD5"/>
        </w:tblBorders>
      </w:tblPr>
      <w:tblGrid>
        <w:gridCol w:w="3259"/>
        <w:gridCol w:w="3259"/>
        <w:gridCol w:w="3259"/>
      </w:tblGrid>
      <w:tr>
        <w:tc>
          <w:tcPr>
            <w:tcW w:type="dxa" w:w="3072"/>
            <w:shd w:val="clear" w:color="auto" w:fill="FFFDF0"/>
            <w:tcMar>
              <w:top w:w="110" w:type="dxa"/>
              <w:left w:w="130" w:type="dxa"/>
              <w:bottom w:w="110" w:type="dxa"/>
              <w:right w:w="130" w:type="dxa"/>
            </w:tcMar>
          </w:tcPr>
          <w:p>
            <w:pPr>
              <w:spacing w:after="20"/>
            </w:pPr>
            <w:r/>
            <w:r>
              <w:rPr>
                <w:rFonts w:ascii="Liberation Sans" w:hAnsi="Liberation Sans"/>
                <w:b/>
                <w:color w:val="89877B"/>
                <w:sz w:val="15"/>
              </w:rPr>
              <w:t>NET REVENUE</w:t>
            </w:r>
          </w:p>
          <w:p>
            <w:pPr>
              <w:spacing w:after="20"/>
            </w:pPr>
            <w:r>
              <w:rPr>
                <w:rFonts w:ascii="Liberation Sans" w:hAnsi="Liberation Sans"/>
                <w:b/>
                <w:color w:val="FB6107"/>
                <w:sz w:val="30"/>
              </w:rPr>
              <w:t>KSh 43.65M</w:t>
            </w:r>
          </w:p>
          <w:p>
            <w:pPr>
              <w:spacing w:after="0"/>
            </w:pPr>
            <w:r>
              <w:rPr>
                <w:rFonts w:ascii="Liberation Sans" w:hAnsi="Liberation Sans"/>
                <w:b/>
                <w:color w:val="FB6107"/>
                <w:sz w:val="19"/>
              </w:rPr>
              <w:t>-10.7%</w:t>
            </w:r>
            <w:r>
              <w:rPr>
                <w:rFonts w:ascii="Liberation Sans" w:hAnsi="Liberation Sans"/>
                <w:color w:val="89877B"/>
                <w:sz w:val="16"/>
              </w:rPr>
              <w:t xml:space="preserve">   from KSh 48.86M in Q3 2025</w:t>
            </w:r>
          </w:p>
        </w:tc>
        <w:tc>
          <w:tcPr>
            <w:tcW w:type="dxa" w:w="3072"/>
            <w:shd w:val="clear" w:color="auto" w:fill="FFFDF0"/>
            <w:tcMar>
              <w:top w:w="110" w:type="dxa"/>
              <w:left w:w="130" w:type="dxa"/>
              <w:bottom w:w="110" w:type="dxa"/>
              <w:right w:w="130" w:type="dxa"/>
            </w:tcMar>
          </w:tcPr>
          <w:p>
            <w:pPr>
              <w:spacing w:after="20"/>
            </w:pPr>
            <w:r/>
            <w:r>
              <w:rPr>
                <w:rFonts w:ascii="Liberation Sans" w:hAnsi="Liberation Sans"/>
                <w:b/>
                <w:color w:val="89877B"/>
                <w:sz w:val="15"/>
              </w:rPr>
              <w:t>GROSS MARGIN</w:t>
            </w:r>
          </w:p>
          <w:p>
            <w:pPr>
              <w:spacing w:after="20"/>
            </w:pPr>
            <w:r>
              <w:rPr>
                <w:rFonts w:ascii="Liberation Sans" w:hAnsi="Liberation Sans"/>
                <w:b/>
                <w:color w:val="FB6107"/>
                <w:sz w:val="30"/>
              </w:rPr>
              <w:t>18.57%</w:t>
            </w:r>
          </w:p>
          <w:p>
            <w:pPr>
              <w:spacing w:after="0"/>
            </w:pPr>
            <w:r>
              <w:rPr>
                <w:rFonts w:ascii="Liberation Sans" w:hAnsi="Liberation Sans"/>
                <w:b/>
                <w:color w:val="FB6107"/>
                <w:sz w:val="19"/>
              </w:rPr>
              <w:t>-1.38pp</w:t>
            </w:r>
            <w:r>
              <w:rPr>
                <w:rFonts w:ascii="Liberation Sans" w:hAnsi="Liberation Sans"/>
                <w:color w:val="89877B"/>
                <w:sz w:val="16"/>
              </w:rPr>
              <w:t xml:space="preserve">   gross profit KSh 8.04M</w:t>
            </w:r>
          </w:p>
        </w:tc>
        <w:tc>
          <w:tcPr>
            <w:tcW w:type="dxa" w:w="3072"/>
            <w:shd w:val="clear" w:color="auto" w:fill="FFFDF0"/>
            <w:tcMar>
              <w:top w:w="110" w:type="dxa"/>
              <w:left w:w="130" w:type="dxa"/>
              <w:bottom w:w="110" w:type="dxa"/>
              <w:right w:w="130" w:type="dxa"/>
            </w:tcMar>
          </w:tcPr>
          <w:p>
            <w:pPr>
              <w:spacing w:after="20"/>
            </w:pPr>
            <w:r/>
            <w:r>
              <w:rPr>
                <w:rFonts w:ascii="Liberation Sans" w:hAnsi="Liberation Sans"/>
                <w:b/>
                <w:color w:val="89877B"/>
                <w:sz w:val="15"/>
              </w:rPr>
              <w:t>ORDERS PER CUSTOMER</w:t>
            </w:r>
          </w:p>
          <w:p>
            <w:pPr>
              <w:spacing w:after="20"/>
            </w:pPr>
            <w:r>
              <w:rPr>
                <w:rFonts w:ascii="Liberation Sans" w:hAnsi="Liberation Sans"/>
                <w:b/>
                <w:color w:val="FB6107"/>
                <w:sz w:val="30"/>
              </w:rPr>
              <w:t>4.82</w:t>
            </w:r>
          </w:p>
          <w:p>
            <w:pPr>
              <w:spacing w:after="0"/>
            </w:pPr>
            <w:r>
              <w:rPr>
                <w:rFonts w:ascii="Liberation Sans" w:hAnsi="Liberation Sans"/>
                <w:b/>
                <w:color w:val="FB6107"/>
                <w:sz w:val="19"/>
              </w:rPr>
              <w:t>-11.4%</w:t>
            </w:r>
            <w:r>
              <w:rPr>
                <w:rFonts w:ascii="Liberation Sans" w:hAnsi="Liberation Sans"/>
                <w:color w:val="89877B"/>
                <w:sz w:val="16"/>
              </w:rPr>
              <w:t xml:space="preserve">   the engine of the decline</w:t>
            </w:r>
          </w:p>
        </w:tc>
      </w:tr>
      <w:tr>
        <w:tc>
          <w:tcPr>
            <w:tcW w:type="dxa" w:w="3072"/>
            <w:shd w:val="clear" w:color="auto" w:fill="FFFDF0"/>
            <w:tcMar>
              <w:top w:w="110" w:type="dxa"/>
              <w:left w:w="130" w:type="dxa"/>
              <w:bottom w:w="110" w:type="dxa"/>
              <w:right w:w="130" w:type="dxa"/>
            </w:tcMar>
          </w:tcPr>
          <w:p>
            <w:pPr>
              <w:spacing w:after="20"/>
            </w:pPr>
            <w:r/>
            <w:r>
              <w:rPr>
                <w:rFonts w:ascii="Liberation Sans" w:hAnsi="Liberation Sans"/>
                <w:b/>
                <w:color w:val="89877B"/>
                <w:sz w:val="15"/>
              </w:rPr>
              <w:t>AVERAGE ORDER VALUE</w:t>
            </w:r>
          </w:p>
          <w:p>
            <w:pPr>
              <w:spacing w:after="20"/>
            </w:pPr>
            <w:r>
              <w:rPr>
                <w:rFonts w:ascii="Liberation Sans" w:hAnsi="Liberation Sans"/>
                <w:b/>
                <w:color w:val="FB6107"/>
                <w:sz w:val="30"/>
              </w:rPr>
              <w:t>KSh 1,619</w:t>
            </w:r>
          </w:p>
          <w:p>
            <w:pPr>
              <w:spacing w:after="0"/>
            </w:pPr>
            <w:r>
              <w:rPr>
                <w:rFonts w:ascii="Liberation Sans" w:hAnsi="Liberation Sans"/>
                <w:b/>
                <w:color w:val="FB6107"/>
                <w:sz w:val="19"/>
              </w:rPr>
              <w:t>-4.5%</w:t>
            </w:r>
            <w:r>
              <w:rPr>
                <w:rFonts w:ascii="Liberation Sans" w:hAnsi="Liberation Sans"/>
                <w:color w:val="89877B"/>
                <w:sz w:val="16"/>
              </w:rPr>
              <w:t xml:space="preserve">   3.40 lines per order</w:t>
            </w:r>
          </w:p>
        </w:tc>
        <w:tc>
          <w:tcPr>
            <w:tcW w:type="dxa" w:w="3072"/>
            <w:shd w:val="clear" w:color="auto" w:fill="FFFDF0"/>
            <w:tcMar>
              <w:top w:w="110" w:type="dxa"/>
              <w:left w:w="130" w:type="dxa"/>
              <w:bottom w:w="110" w:type="dxa"/>
              <w:right w:w="130" w:type="dxa"/>
            </w:tcMar>
          </w:tcPr>
          <w:p>
            <w:pPr>
              <w:spacing w:after="20"/>
            </w:pPr>
            <w:r/>
            <w:r>
              <w:rPr>
                <w:rFonts w:ascii="Liberation Sans" w:hAnsi="Liberation Sans"/>
                <w:b/>
                <w:color w:val="89877B"/>
                <w:sz w:val="15"/>
              </w:rPr>
              <w:t>ACTIVE CUSTOMERS</w:t>
            </w:r>
          </w:p>
          <w:p>
            <w:pPr>
              <w:spacing w:after="20"/>
            </w:pPr>
            <w:r>
              <w:rPr>
                <w:rFonts w:ascii="Liberation Sans" w:hAnsi="Liberation Sans"/>
                <w:b/>
                <w:color w:val="259741"/>
                <w:sz w:val="30"/>
              </w:rPr>
              <w:t>5,555</w:t>
            </w:r>
          </w:p>
          <w:p>
            <w:pPr>
              <w:spacing w:after="0"/>
            </w:pPr>
            <w:r>
              <w:rPr>
                <w:rFonts w:ascii="Liberation Sans" w:hAnsi="Liberation Sans"/>
                <w:b/>
                <w:color w:val="259741"/>
                <w:sz w:val="19"/>
              </w:rPr>
              <w:t>+5.5%</w:t>
            </w:r>
            <w:r>
              <w:rPr>
                <w:rFonts w:ascii="Liberation Sans" w:hAnsi="Liberation Sans"/>
                <w:color w:val="89877B"/>
                <w:sz w:val="16"/>
              </w:rPr>
              <w:t xml:space="preserve">   acquisition is NOT the problem</w:t>
            </w:r>
          </w:p>
        </w:tc>
        <w:tc>
          <w:tcPr>
            <w:tcW w:type="dxa" w:w="3072"/>
            <w:shd w:val="clear" w:color="auto" w:fill="FFFDF0"/>
            <w:tcMar>
              <w:top w:w="110" w:type="dxa"/>
              <w:left w:w="130" w:type="dxa"/>
              <w:bottom w:w="110" w:type="dxa"/>
              <w:right w:w="130" w:type="dxa"/>
            </w:tcMar>
          </w:tcPr>
          <w:p>
            <w:pPr>
              <w:spacing w:after="20"/>
            </w:pPr>
            <w:r/>
            <w:r>
              <w:rPr>
                <w:rFonts w:ascii="Liberation Sans" w:hAnsi="Liberation Sans"/>
                <w:b/>
                <w:color w:val="89877B"/>
                <w:sz w:val="15"/>
              </w:rPr>
              <w:t>REVENUE WITH NO CUSTOMER ID</w:t>
            </w:r>
          </w:p>
          <w:p>
            <w:pPr>
              <w:spacing w:after="20"/>
            </w:pPr>
            <w:r>
              <w:rPr>
                <w:rFonts w:ascii="Liberation Sans" w:hAnsi="Liberation Sans"/>
                <w:b/>
                <w:color w:val="27241B"/>
                <w:sz w:val="30"/>
              </w:rPr>
              <w:t>0.76%</w:t>
            </w:r>
          </w:p>
          <w:p>
            <w:pPr>
              <w:spacing w:after="0"/>
            </w:pPr>
            <w:r>
              <w:rPr>
                <w:rFonts w:ascii="Liberation Sans" w:hAnsi="Liberation Sans"/>
                <w:b/>
                <w:color w:val="89877B"/>
                <w:sz w:val="19"/>
              </w:rPr>
              <w:t>KSh 0.70M</w:t>
            </w:r>
            <w:r>
              <w:rPr>
                <w:rFonts w:ascii="Liberation Sans" w:hAnsi="Liberation Sans"/>
                <w:color w:val="89877B"/>
                <w:sz w:val="16"/>
              </w:rPr>
              <w:t xml:space="preserve">   the declared coverage limit</w:t>
            </w:r>
          </w:p>
        </w:tc>
      </w:tr>
    </w:tbl>
    <w:p>
      <w:pPr>
        <w:spacing w:after="0" w:before="0" w:line="240" w:lineRule="auto"/>
      </w:pPr>
      <w:r>
        <w:rPr>
          <w:sz w:val="12"/>
        </w:rPr>
      </w:r>
    </w:p>
    <w:p>
      <w:pPr>
        <w:spacing w:after="140"/>
      </w:pPr>
      <w:r>
        <w:rPr>
          <w:rFonts w:ascii="Liberation Sans" w:hAnsi="Liberation Sans"/>
          <w:b w:val="0"/>
          <w:i w:val="0"/>
          <w:color w:val="27241B"/>
          <w:sz w:val="22"/>
        </w:rPr>
        <w:t>Group net revenue fell KSh 5.21M (10.7%). We did not lose customers — active customers rose +5.5%. We lost trips (-11.4% orders per customer) and basket (-4.5% average order value), and 71% of the damage sits in two of six stores.</w:t>
      </w:r>
    </w:p>
    <w:p>
      <w:pPr>
        <w:spacing w:after="140"/>
      </w:pPr>
      <w:r>
        <w:rPr>
          <w:rFonts w:ascii="Liberation Sans" w:hAnsi="Liberation Sans"/>
          <w:b w:val="0"/>
          <w:i w:val="0"/>
          <w:color w:val="27241B"/>
          <w:sz w:val="21"/>
        </w:rPr>
        <w:t>Gross profit fell 16.9% against a 10.7% revenue fall, because gross margin compressed 1.38pp to 18.57%. Revenue is not profit: every recommendation below is therefore priced in gross profit, not revenue.</w:t>
      </w:r>
    </w:p>
    <w:p>
      <w:pPr>
        <w:pStyle w:val="Heading2"/>
      </w:pPr>
      <w:r>
        <w:t>The four findings, ranked by how much of the decline they own</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1956"/>
        <w:gridCol w:w="1956"/>
        <w:gridCol w:w="1956"/>
        <w:gridCol w:w="1956"/>
        <w:gridCol w:w="1956"/>
      </w:tblGrid>
      <w:tr>
        <w:trPr>
          <w:tblHeader w:val="true"/>
        </w:trPr>
        <w:tc>
          <w:tcPr>
            <w:tcW w:type="dxa" w:w="50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w:t>
            </w:r>
          </w:p>
        </w:tc>
        <w:tc>
          <w:tcPr>
            <w:tcW w:type="dxa" w:w="2160"/>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Owner</w:t>
            </w:r>
          </w:p>
        </w:tc>
        <w:tc>
          <w:tcPr>
            <w:tcW w:type="dxa" w:w="4104"/>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The problem</w:t>
            </w:r>
          </w:p>
        </w:tc>
        <w:tc>
          <w:tcPr>
            <w:tcW w:type="dxa" w:w="122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Cost</w:t>
            </w:r>
          </w:p>
        </w:tc>
        <w:tc>
          <w:tcPr>
            <w:tcW w:type="dxa" w:w="122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Share</w:t>
            </w:r>
          </w:p>
        </w:tc>
      </w:tr>
      <w:tr>
        <w:tc>
          <w:tcPr>
            <w:tcW w:type="dxa" w:w="504"/>
            <w:tcMar>
              <w:top w:w="60" w:type="dxa"/>
              <w:left w:w="110" w:type="dxa"/>
              <w:bottom w:w="60" w:type="dxa"/>
              <w:right w:w="110" w:type="dxa"/>
            </w:tcMar>
          </w:tcPr>
          <w:p>
            <w:pPr>
              <w:spacing w:after="40" w:before="40"/>
              <w:jc w:val="right"/>
            </w:pPr>
            <w:r/>
            <w:r>
              <w:rPr>
                <w:rFonts w:ascii="Liberation Sans" w:hAnsi="Liberation Sans"/>
                <w:color w:val="27241B"/>
                <w:sz w:val="17"/>
              </w:rPr>
              <w:t>1</w:t>
            </w:r>
          </w:p>
        </w:tc>
        <w:tc>
          <w:tcPr>
            <w:tcW w:type="dxa" w:w="2160"/>
            <w:tcMar>
              <w:top w:w="60" w:type="dxa"/>
              <w:left w:w="110" w:type="dxa"/>
              <w:bottom w:w="60" w:type="dxa"/>
              <w:right w:w="110" w:type="dxa"/>
            </w:tcMar>
          </w:tcPr>
          <w:p>
            <w:pPr>
              <w:spacing w:after="40" w:before="40"/>
            </w:pPr>
            <w:r/>
            <w:r>
              <w:rPr>
                <w:rFonts w:ascii="Liberation Sans" w:hAnsi="Liberation Sans"/>
                <w:color w:val="27241B"/>
                <w:sz w:val="17"/>
              </w:rPr>
              <w:t>Supply Chain &amp; Merchandising</w:t>
            </w:r>
          </w:p>
        </w:tc>
        <w:tc>
          <w:tcPr>
            <w:tcW w:type="dxa" w:w="4104"/>
            <w:tcMar>
              <w:top w:w="60" w:type="dxa"/>
              <w:left w:w="110" w:type="dxa"/>
              <w:bottom w:w="60" w:type="dxa"/>
              <w:right w:w="110" w:type="dxa"/>
            </w:tcMar>
          </w:tcPr>
          <w:p>
            <w:pPr>
              <w:spacing w:after="40" w:before="40"/>
            </w:pPr>
            <w:r/>
            <w:r>
              <w:rPr>
                <w:rFonts w:ascii="Liberation Sans" w:hAnsi="Liberation Sans"/>
                <w:color w:val="27241B"/>
                <w:sz w:val="17"/>
              </w:rPr>
              <w:t>Two hero Personal Care SKUs out of stock for six weeks at Mombasa Nyali; the damage spread to whole baskets</w:t>
            </w:r>
          </w:p>
        </w:tc>
        <w:tc>
          <w:tcPr>
            <w:tcW w:type="dxa" w:w="1224"/>
            <w:tcMar>
              <w:top w:w="60" w:type="dxa"/>
              <w:left w:w="110" w:type="dxa"/>
              <w:bottom w:w="60" w:type="dxa"/>
              <w:right w:w="110" w:type="dxa"/>
            </w:tcMar>
          </w:tcPr>
          <w:p>
            <w:pPr>
              <w:spacing w:after="40" w:before="40"/>
              <w:jc w:val="right"/>
            </w:pPr>
            <w:r/>
            <w:r>
              <w:rPr>
                <w:rFonts w:ascii="Liberation Sans" w:hAnsi="Liberation Sans"/>
                <w:color w:val="27241B"/>
                <w:sz w:val="17"/>
              </w:rPr>
              <w:t>KSh -2.16M</w:t>
            </w:r>
          </w:p>
        </w:tc>
        <w:tc>
          <w:tcPr>
            <w:tcW w:type="dxa" w:w="1224"/>
            <w:tcMar>
              <w:top w:w="60" w:type="dxa"/>
              <w:left w:w="110" w:type="dxa"/>
              <w:bottom w:w="60" w:type="dxa"/>
              <w:right w:w="110" w:type="dxa"/>
            </w:tcMar>
          </w:tcPr>
          <w:p>
            <w:pPr>
              <w:spacing w:after="40" w:before="40"/>
              <w:jc w:val="right"/>
            </w:pPr>
            <w:r/>
            <w:r>
              <w:rPr>
                <w:rFonts w:ascii="Liberation Sans" w:hAnsi="Liberation Sans"/>
                <w:color w:val="27241B"/>
                <w:sz w:val="17"/>
              </w:rPr>
              <w:t>41%</w:t>
            </w:r>
          </w:p>
        </w:tc>
      </w:tr>
      <w:tr>
        <w:tc>
          <w:tcPr>
            <w:tcW w:type="dxa" w:w="50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w:t>
            </w:r>
          </w:p>
        </w:tc>
        <w:tc>
          <w:tcPr>
            <w:tcW w:type="dxa" w:w="216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Retail Operations (Thika Road)</w:t>
            </w:r>
          </w:p>
        </w:tc>
        <w:tc>
          <w:tcPr>
            <w:tcW w:type="dxa" w:w="4104"/>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Thika Road footfall cut for the full quarter — visits per customer well below every other store</w:t>
            </w:r>
          </w:p>
        </w:tc>
        <w:tc>
          <w:tcPr>
            <w:tcW w:type="dxa" w:w="122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-1.49M</w:t>
            </w:r>
          </w:p>
        </w:tc>
        <w:tc>
          <w:tcPr>
            <w:tcW w:type="dxa" w:w="122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29%</w:t>
            </w:r>
          </w:p>
        </w:tc>
      </w:tr>
      <w:tr>
        <w:tc>
          <w:tcPr>
            <w:tcW w:type="dxa" w:w="504"/>
            <w:tcMar>
              <w:top w:w="60" w:type="dxa"/>
              <w:left w:w="110" w:type="dxa"/>
              <w:bottom w:w="60" w:type="dxa"/>
              <w:right w:w="110" w:type="dxa"/>
            </w:tcMar>
          </w:tcPr>
          <w:p>
            <w:pPr>
              <w:spacing w:after="40" w:before="40"/>
              <w:jc w:val="right"/>
            </w:pPr>
            <w:r/>
            <w:r>
              <w:rPr>
                <w:rFonts w:ascii="Liberation Sans" w:hAnsi="Liberation Sans"/>
                <w:color w:val="27241B"/>
                <w:sz w:val="17"/>
              </w:rPr>
              <w:t>3</w:t>
            </w:r>
          </w:p>
        </w:tc>
        <w:tc>
          <w:tcPr>
            <w:tcW w:type="dxa" w:w="2160"/>
            <w:tcMar>
              <w:top w:w="60" w:type="dxa"/>
              <w:left w:w="110" w:type="dxa"/>
              <w:bottom w:w="60" w:type="dxa"/>
              <w:right w:w="110" w:type="dxa"/>
            </w:tcMar>
          </w:tcPr>
          <w:p>
            <w:pPr>
              <w:spacing w:after="40" w:before="40"/>
            </w:pPr>
            <w:r/>
            <w:r>
              <w:rPr>
                <w:rFonts w:ascii="Liberation Sans" w:hAnsi="Liberation Sans"/>
                <w:color w:val="27241B"/>
                <w:sz w:val="17"/>
              </w:rPr>
              <w:t>CRM / Loyalty &amp; Assortment</w:t>
            </w:r>
          </w:p>
        </w:tc>
        <w:tc>
          <w:tcPr>
            <w:tcW w:type="dxa" w:w="4104"/>
            <w:tcMar>
              <w:top w:w="60" w:type="dxa"/>
              <w:left w:w="110" w:type="dxa"/>
              <w:bottom w:w="60" w:type="dxa"/>
              <w:right w:w="110" w:type="dxa"/>
            </w:tcMar>
          </w:tcPr>
          <w:p>
            <w:pPr>
              <w:spacing w:after="40" w:before="40"/>
            </w:pPr>
            <w:r/>
            <w:r>
              <w:rPr>
                <w:rFonts w:ascii="Liberation Sans" w:hAnsi="Liberation Sans"/>
                <w:color w:val="27241B"/>
                <w:sz w:val="17"/>
              </w:rPr>
              <w:t>Residual: fewer trips per customer and slimmer baskets right across the chain</w:t>
            </w:r>
          </w:p>
        </w:tc>
        <w:tc>
          <w:tcPr>
            <w:tcW w:type="dxa" w:w="1224"/>
            <w:tcMar>
              <w:top w:w="60" w:type="dxa"/>
              <w:left w:w="110" w:type="dxa"/>
              <w:bottom w:w="60" w:type="dxa"/>
              <w:right w:w="110" w:type="dxa"/>
            </w:tcMar>
          </w:tcPr>
          <w:p>
            <w:pPr>
              <w:spacing w:after="40" w:before="40"/>
              <w:jc w:val="right"/>
            </w:pPr>
            <w:r/>
            <w:r>
              <w:rPr>
                <w:rFonts w:ascii="Liberation Sans" w:hAnsi="Liberation Sans"/>
                <w:color w:val="27241B"/>
                <w:sz w:val="17"/>
              </w:rPr>
              <w:t>KSh -0.97M</w:t>
            </w:r>
          </w:p>
        </w:tc>
        <w:tc>
          <w:tcPr>
            <w:tcW w:type="dxa" w:w="1224"/>
            <w:tcMar>
              <w:top w:w="60" w:type="dxa"/>
              <w:left w:w="110" w:type="dxa"/>
              <w:bottom w:w="60" w:type="dxa"/>
              <w:right w:w="110" w:type="dxa"/>
            </w:tcMar>
          </w:tcPr>
          <w:p>
            <w:pPr>
              <w:spacing w:after="40" w:before="40"/>
              <w:jc w:val="right"/>
            </w:pPr>
            <w:r/>
            <w:r>
              <w:rPr>
                <w:rFonts w:ascii="Liberation Sans" w:hAnsi="Liberation Sans"/>
                <w:color w:val="27241B"/>
                <w:sz w:val="17"/>
              </w:rPr>
              <w:t>19%</w:t>
            </w:r>
          </w:p>
        </w:tc>
      </w:tr>
      <w:tr>
        <w:tc>
          <w:tcPr>
            <w:tcW w:type="dxa" w:w="50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4</w:t>
            </w:r>
          </w:p>
        </w:tc>
        <w:tc>
          <w:tcPr>
            <w:tcW w:type="dxa" w:w="216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Pricing &amp; Category Management</w:t>
            </w:r>
          </w:p>
        </w:tc>
        <w:tc>
          <w:tcPr>
            <w:tcW w:type="dxa" w:w="4104"/>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Beverage promotional depth deepened sharply outside the two affected stores</w:t>
            </w:r>
          </w:p>
        </w:tc>
        <w:tc>
          <w:tcPr>
            <w:tcW w:type="dxa" w:w="122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-0.55M</w:t>
            </w:r>
          </w:p>
        </w:tc>
        <w:tc>
          <w:tcPr>
            <w:tcW w:type="dxa" w:w="122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11%</w:t>
            </w:r>
          </w:p>
        </w:tc>
      </w:tr>
    </w:tbl>
    <w:p>
      <w:pPr>
        <w:spacing w:after="0" w:before="0" w:line="240" w:lineRule="auto"/>
      </w:pPr>
      <w:r>
        <w:rPr>
          <w:sz w:val="8"/>
        </w:rPr>
      </w:r>
    </w:p>
    <w:p>
      <w:pPr>
        <w:spacing w:after="60"/>
        <w:jc w:val="center"/>
      </w:pPr>
      <w:r>
        <w:drawing>
          <wp:inline xmlns:a="http://schemas.openxmlformats.org/drawingml/2006/main" xmlns:pic="http://schemas.openxmlformats.org/drawingml/2006/picture">
            <wp:extent cx="4617720" cy="2882850"/>
            <wp:docPr id="1" name="Picture 1"/>
            <wp:cNvGraphicFramePr>
              <a:graphicFrameLocks noChangeAspect="1"/>
            </wp:cNvGraphicFramePr>
            <a:graphic>
              <a:graphicData uri="http://schemas.openxmlformats.org/drawingml/2006/picture">
                <pic:pic>
                  <pic:nvPicPr>
                    <pic:cNvPr id="0" name="01_headline_waterfall.png"/>
                    <pic:cNvPicPr/>
                  </pic:nvPicPr>
                  <pic:blipFill>
                    <a:blip r:embed="rId10"/>
                    <a:stretch>
                      <a:fillRect/>
                    </a:stretch>
                  </pic:blipFill>
                  <pic:spPr>
                    <a:xfrm>
                      <a:off x="0" y="0"/>
                      <a:ext cx="4617720" cy="2882850"/>
                    </a:xfrm>
                    <a:prstGeom prst="rect"/>
                  </pic:spPr>
                </pic:pic>
              </a:graphicData>
            </a:graphic>
          </wp:inline>
        </w:drawing>
      </w:r>
    </w:p>
    <w:p>
      <w:pPr>
        <w:spacing w:after="40"/>
        <w:jc w:val="center"/>
      </w:pPr>
      <w:r>
        <w:rPr>
          <w:rFonts w:ascii="Liberation Sans" w:hAnsi="Liberation Sans"/>
          <w:b w:val="0"/>
          <w:i/>
          <w:color w:val="27241B"/>
          <w:sz w:val="18"/>
        </w:rPr>
        <w:t>The 10.7% fall is one customer gain against two larger losses — it is not one event.</w:t>
      </w:r>
    </w:p>
    <w:p>
      <w:pPr>
        <w:spacing w:after="200"/>
        <w:jc w:val="center"/>
      </w:pPr>
      <w:r>
        <w:rPr>
          <w:rFonts w:ascii="Liberation Sans" w:hAnsi="Liberation Sans"/>
          <w:b w:val="0"/>
          <w:i w:val="0"/>
          <w:color w:val="89877B"/>
          <w:sz w:val="16"/>
        </w:rPr>
        <w:t>Figure 1 — the revenue bridge: one gain, two larger losses.</w:t>
      </w:r>
    </w:p>
    <w:p>
      <w:pPr>
        <w:spacing w:after="40"/>
      </w:pPr>
      <w:r>
        <w:rPr>
          <w:rFonts w:ascii="Liberation Sans" w:hAnsi="Liberation Sans"/>
          <w:b/>
          <w:i w:val="0"/>
          <w:color w:val="FB6107"/>
          <w:sz w:val="17"/>
        </w:rPr>
        <w:t>SECTION 2</w:t>
      </w:r>
    </w:p>
    <w:p>
      <w:pPr>
        <w:pStyle w:val="Heading1"/>
      </w:pPr>
      <w:r>
        <w:t>The decision this supports</w:t>
      </w:r>
    </w:p>
    <w:tbl>
      <w:tblPr>
        <w:tblW w:type="auto" w:w="0"/>
        <w:tblLayout w:type="fixed"/>
        <w:tblLook w:firstColumn="1" w:firstRow="1" w:lastColumn="0" w:lastRow="0" w:noHBand="0" w:noVBand="1" w:val="04A0"/>
        <w:tblBorders>
          <w:top w:val="single" w:sz="10" w:space="0" w:color="259741"/>
          <w:left w:val="single" w:sz="10" w:space="0" w:color="259741"/>
          <w:bottom w:val="single" w:sz="10" w:space="0" w:color="259741"/>
          <w:right w:val="single" w:sz="10" w:space="0" w:color="259741"/>
          <w:insideH w:val="single" w:sz="10" w:space="0" w:color="259741"/>
          <w:insideV w:val="single" w:sz="10" w:space="0" w:color="259741"/>
        </w:tblBorders>
      </w:tblPr>
      <w:tblGrid>
        <w:gridCol w:w="9778"/>
      </w:tblGrid>
      <w:tr>
        <w:tc>
          <w:tcPr>
            <w:tcW w:type="dxa" w:w="9216"/>
            <w:shd w:val="clear" w:color="auto" w:fill="FFEFD5"/>
            <w:tcMar>
              <w:top w:w="120" w:type="dxa"/>
              <w:left w:w="160" w:type="dxa"/>
              <w:bottom w:w="120" w:type="dxa"/>
              <w:right w:w="160" w:type="dxa"/>
            </w:tcMar>
          </w:tcPr>
          <w:p>
            <w:pPr>
              <w:spacing w:after="60"/>
            </w:pPr>
            <w:r/>
            <w:r>
              <w:rPr>
                <w:rFonts w:ascii="Liberation Sans" w:hAnsi="Liberation Sans"/>
                <w:b/>
                <w:color w:val="259741"/>
                <w:sz w:val="20"/>
              </w:rPr>
              <w:t>The question</w:t>
            </w:r>
          </w:p>
          <w:p>
            <w:pPr>
              <w:spacing w:after="0"/>
            </w:pPr>
            <w:r>
              <w:rPr>
                <w:rFonts w:ascii="Liberation Sans" w:hAnsi="Liberation Sans"/>
                <w:color w:val="27241B"/>
                <w:sz w:val="19"/>
              </w:rPr>
              <w:t>Whose plan gets rewritten next quarter — retention, pricing, or merchandising?</w:t>
            </w:r>
          </w:p>
        </w:tc>
      </w:tr>
    </w:tbl>
    <w:p>
      <w:pPr>
        <w:spacing w:after="0" w:before="0" w:line="240" w:lineRule="auto"/>
      </w:pPr>
      <w:r>
        <w:rPr>
          <w:sz w:val="12"/>
        </w:rPr>
      </w:r>
    </w:p>
    <w:p>
      <w:pPr>
        <w:spacing w:after="140"/>
      </w:pPr>
      <w:r>
        <w:rPr>
          <w:rFonts w:ascii="Liberation Sans" w:hAnsi="Liberation Sans"/>
          <w:b w:val="0"/>
          <w:i w:val="0"/>
          <w:color w:val="27241B"/>
          <w:sz w:val="21"/>
        </w:rPr>
        <w:t>An analysis is only worth reading to the extent it changes who does what on Monday. This one converts a single headline — revenue fell — into four named owners with a quantified problem, an expected recovery and a review date. If it does not change someone's plan next quarter, it has failed.</w:t>
      </w:r>
    </w:p>
    <w:p>
      <w:pPr>
        <w:pStyle w:val="Heading2"/>
      </w:pPr>
      <w:r>
        <w:t>What this report is, and what a dashboard is</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3259"/>
        <w:gridCol w:w="3259"/>
        <w:gridCol w:w="3259"/>
      </w:tblGrid>
      <w:tr>
        <w:trPr>
          <w:tblHeader w:val="true"/>
        </w:trPr>
        <w:tc>
          <w:tcPr>
            <w:tcW w:type="dxa" w:w="1584"/>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r>
          </w:p>
        </w:tc>
        <w:tc>
          <w:tcPr>
            <w:tcW w:type="dxa" w:w="3888"/>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t>This report</w:t>
            </w:r>
          </w:p>
        </w:tc>
        <w:tc>
          <w:tcPr>
            <w:tcW w:type="dxa" w:w="3744"/>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t>The dashboard that follows it</w:t>
            </w:r>
          </w:p>
        </w:tc>
      </w:tr>
      <w:tr>
        <w:tc>
          <w:tcPr>
            <w:tcW w:type="dxa" w:w="1584"/>
            <w:tcMar>
              <w:top w:w="60" w:type="dxa"/>
              <w:left w:w="110" w:type="dxa"/>
              <w:bottom w:w="60" w:type="dxa"/>
              <w:right w:w="110" w:type="dxa"/>
            </w:tcMar>
          </w:tcPr>
          <w:p>
            <w:pPr>
              <w:spacing w:after="40" w:before="40"/>
            </w:pPr>
            <w:r/>
            <w:r>
              <w:rPr>
                <w:rFonts w:ascii="Liberation Sans" w:hAnsi="Liberation Sans"/>
                <w:color w:val="27241B"/>
                <w:sz w:val="18"/>
              </w:rPr>
              <w:t>Job</w:t>
            </w:r>
          </w:p>
        </w:tc>
        <w:tc>
          <w:tcPr>
            <w:tcW w:type="dxa" w:w="3888"/>
            <w:tcMar>
              <w:top w:w="60" w:type="dxa"/>
              <w:left w:w="110" w:type="dxa"/>
              <w:bottom w:w="60" w:type="dxa"/>
              <w:right w:w="110" w:type="dxa"/>
            </w:tcMar>
          </w:tcPr>
          <w:p>
            <w:pPr>
              <w:spacing w:after="40" w:before="40"/>
            </w:pPr>
            <w:r/>
            <w:r>
              <w:rPr>
                <w:rFonts w:ascii="Liberation Sans" w:hAnsi="Liberation Sans"/>
                <w:color w:val="27241B"/>
                <w:sz w:val="18"/>
              </w:rPr>
              <w:t>explain a change and support a decision</w:t>
            </w:r>
          </w:p>
        </w:tc>
        <w:tc>
          <w:tcPr>
            <w:tcW w:type="dxa" w:w="3744"/>
            <w:tcMar>
              <w:top w:w="60" w:type="dxa"/>
              <w:left w:w="110" w:type="dxa"/>
              <w:bottom w:w="60" w:type="dxa"/>
              <w:right w:w="110" w:type="dxa"/>
            </w:tcMar>
          </w:tcPr>
          <w:p>
            <w:pPr>
              <w:spacing w:after="40" w:before="40"/>
            </w:pPr>
            <w:r/>
            <w:r>
              <w:rPr>
                <w:rFonts w:ascii="Liberation Sans" w:hAnsi="Liberation Sans"/>
                <w:color w:val="27241B"/>
                <w:sz w:val="18"/>
              </w:rPr>
              <w:t>monitor the KPIs the analysis identified</w:t>
            </w:r>
          </w:p>
        </w:tc>
      </w:tr>
      <w:tr>
        <w:tc>
          <w:tcPr>
            <w:tcW w:type="dxa" w:w="158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Question</w:t>
            </w:r>
          </w:p>
        </w:tc>
        <w:tc>
          <w:tcPr>
            <w:tcW w:type="dxa" w:w="3888"/>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“why, and what should we do?”</w:t>
            </w:r>
          </w:p>
        </w:tc>
        <w:tc>
          <w:tcPr>
            <w:tcW w:type="dxa" w:w="374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“are we OK?”</w:t>
            </w:r>
          </w:p>
        </w:tc>
      </w:tr>
      <w:tr>
        <w:tc>
          <w:tcPr>
            <w:tcW w:type="dxa" w:w="1584"/>
            <w:tcMar>
              <w:top w:w="60" w:type="dxa"/>
              <w:left w:w="110" w:type="dxa"/>
              <w:bottom w:w="60" w:type="dxa"/>
              <w:right w:w="110" w:type="dxa"/>
            </w:tcMar>
          </w:tcPr>
          <w:p>
            <w:pPr>
              <w:spacing w:after="40" w:before="40"/>
            </w:pPr>
            <w:r/>
            <w:r>
              <w:rPr>
                <w:rFonts w:ascii="Liberation Sans" w:hAnsi="Liberation Sans"/>
                <w:color w:val="27241B"/>
                <w:sz w:val="18"/>
              </w:rPr>
              <w:t>Cadence</w:t>
            </w:r>
          </w:p>
        </w:tc>
        <w:tc>
          <w:tcPr>
            <w:tcW w:type="dxa" w:w="3888"/>
            <w:tcMar>
              <w:top w:w="60" w:type="dxa"/>
              <w:left w:w="110" w:type="dxa"/>
              <w:bottom w:w="60" w:type="dxa"/>
              <w:right w:w="110" w:type="dxa"/>
            </w:tcMar>
          </w:tcPr>
          <w:p>
            <w:pPr>
              <w:spacing w:after="40" w:before="40"/>
            </w:pPr>
            <w:r/>
            <w:r>
              <w:rPr>
                <w:rFonts w:ascii="Liberation Sans" w:hAnsi="Liberation Sans"/>
                <w:color w:val="27241B"/>
                <w:sz w:val="18"/>
              </w:rPr>
              <w:t>one-off, on demand</w:t>
            </w:r>
          </w:p>
        </w:tc>
        <w:tc>
          <w:tcPr>
            <w:tcW w:type="dxa" w:w="3744"/>
            <w:tcMar>
              <w:top w:w="60" w:type="dxa"/>
              <w:left w:w="110" w:type="dxa"/>
              <w:bottom w:w="60" w:type="dxa"/>
              <w:right w:w="110" w:type="dxa"/>
            </w:tcMar>
          </w:tcPr>
          <w:p>
            <w:pPr>
              <w:spacing w:after="40" w:before="40"/>
            </w:pPr>
            <w:r/>
            <w:r>
              <w:rPr>
                <w:rFonts w:ascii="Liberation Sans" w:hAnsi="Liberation Sans"/>
                <w:color w:val="27241B"/>
                <w:sz w:val="18"/>
              </w:rPr>
              <w:t>monthly, always-on</w:t>
            </w:r>
          </w:p>
        </w:tc>
      </w:tr>
      <w:tr>
        <w:tc>
          <w:tcPr>
            <w:tcW w:type="dxa" w:w="158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Output</w:t>
            </w:r>
          </w:p>
        </w:tc>
        <w:tc>
          <w:tcPr>
            <w:tcW w:type="dxa" w:w="3888"/>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findings + recommendations, with owners</w:t>
            </w:r>
          </w:p>
        </w:tc>
        <w:tc>
          <w:tcPr>
            <w:tcW w:type="dxa" w:w="374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tiles, trends, exceptions</w:t>
            </w:r>
          </w:p>
        </w:tc>
      </w:tr>
    </w:tbl>
    <w:p>
      <w:pPr>
        <w:spacing w:after="0" w:before="0" w:line="240" w:lineRule="auto"/>
      </w:pPr>
      <w:r>
        <w:rPr>
          <w:sz w:val="8"/>
        </w:rPr>
      </w:r>
    </w:p>
    <w:p>
      <w:pPr>
        <w:spacing w:after="140"/>
      </w:pPr>
      <w:r>
        <w:rPr>
          <w:rFonts w:ascii="Liberation Sans" w:hAnsi="Liberation Sans"/>
          <w:b w:val="0"/>
          <w:i w:val="0"/>
          <w:color w:val="89877B"/>
          <w:sz w:val="19"/>
        </w:rPr>
        <w:t>The dashboard ships after the thinking and monitors what this report concluded. Its build specification, including the DAX measures and the targets below, is docs/07_dashboard_spec.md.</w:t>
      </w:r>
    </w:p>
    <w:p>
      <w:pPr>
        <w:spacing w:after="40"/>
      </w:pPr>
      <w:r>
        <w:rPr>
          <w:rFonts w:ascii="Liberation Sans" w:hAnsi="Liberation Sans"/>
          <w:b/>
          <w:i w:val="0"/>
          <w:color w:val="FB6107"/>
          <w:sz w:val="17"/>
        </w:rPr>
        <w:t>SECTION 3</w:t>
      </w:r>
    </w:p>
    <w:p>
      <w:pPr>
        <w:pStyle w:val="Heading1"/>
      </w:pPr>
      <w:r>
        <w:t>What the data is, and what it is not</w:t>
      </w:r>
    </w:p>
    <w:p>
      <w:pPr>
        <w:spacing w:after="140"/>
      </w:pPr>
      <w:r>
        <w:rPr>
          <w:rFonts w:ascii="Liberation Sans" w:hAnsi="Liberation Sans"/>
          <w:b w:val="0"/>
          <w:i w:val="0"/>
          <w:color w:val="27241B"/>
          <w:sz w:val="21"/>
        </w:rPr>
        <w:t>Line-item grain: one row = one line item on one customer receipt — 195,224 lines across 55,431 invoices in the two quarters, plus a separate branch x SKU x day shelf-availability table that makes the supply event provable rather than plausible.</w:t>
      </w:r>
    </w:p>
    <w:p>
      <w:pPr>
        <w:pStyle w:val="Heading2"/>
      </w:pPr>
      <w:r>
        <w:t>Declared limits — limits on the conclusions, not footnotes</w:t>
      </w:r>
    </w:p>
    <w:p>
      <w:pPr>
        <w:pStyle w:val="ListBullet"/>
        <w:spacing w:after="80"/>
      </w:pPr>
      <w:r>
        <w:rPr>
          <w:rFonts w:ascii="Liberation Sans" w:hAnsi="Liberation Sans"/>
          <w:color w:val="27241B"/>
          <w:sz w:val="19"/>
        </w:rPr>
        <w:t>0.76% of revenue carries no customer identifier (KSh 0.70M of anonymous walk-ins). Every segment-level conclusion therefore reconciles to 99.24% of revenue, not 100%. The reconciliation is shown as its own line rather than hidden in an 'Other' bucket.</w:t>
      </w:r>
    </w:p>
    <w:p>
      <w:pPr>
        <w:pStyle w:val="ListBullet"/>
        <w:spacing w:after="80"/>
      </w:pPr>
      <w:r>
        <w:rPr>
          <w:rFonts w:ascii="Liberation Sans" w:hAnsi="Liberation Sans"/>
          <w:color w:val="27241B"/>
          <w:sz w:val="19"/>
        </w:rPr>
        <w:t>The dataset is simulated from a documented mechanism (docs/00_ground_truth.md). That is deliberate: it lets the diagnosis be graded. See outputs/validation_report.md — 14/14 checks pass against the sealed answer key.</w:t>
      </w:r>
    </w:p>
    <w:p>
      <w:pPr>
        <w:pStyle w:val="ListBullet"/>
        <w:spacing w:after="80"/>
      </w:pPr>
      <w:r>
        <w:rPr>
          <w:rFonts w:ascii="Liberation Sans" w:hAnsi="Liberation Sans"/>
          <w:color w:val="27241B"/>
          <w:sz w:val="19"/>
        </w:rPr>
        <w:t>No procurement, lead-time or supplier-performance data exists in this extract. The fifth why therefore stops at a data-capture recommendation instead of a guess.</w:t>
      </w:r>
    </w:p>
    <w:p>
      <w:pPr>
        <w:pStyle w:val="ListBullet"/>
        <w:spacing w:after="80"/>
      </w:pPr>
      <w:r>
        <w:rPr>
          <w:rFonts w:ascii="Liberation Sans" w:hAnsi="Liberation Sans"/>
          <w:color w:val="27241B"/>
          <w:sz w:val="19"/>
        </w:rPr>
        <w:t>The annualised figure is a stated run-rate (KSh -20.83M, the quarter's change x 4), not a forecast. It assumes the Mombasa Nyali incident does not repeat and ignores Q4 seasonality.</w:t>
      </w:r>
    </w:p>
    <w:p>
      <w:pPr>
        <w:spacing w:after="0" w:before="0" w:line="240" w:lineRule="auto"/>
      </w:pPr>
      <w:r>
        <w:rPr>
          <w:sz w:val="8"/>
        </w:rPr>
      </w:r>
    </w:p>
    <w:p>
      <w:pPr>
        <w:spacing w:after="140"/>
      </w:pPr>
      <w:r>
        <w:rPr>
          <w:rFonts w:ascii="Liberation Sans" w:hAnsi="Liberation Sans"/>
          <w:b w:val="0"/>
          <w:i w:val="0"/>
          <w:color w:val="89877B"/>
          <w:sz w:val="19"/>
        </w:rPr>
        <w:t>Method in one line: decompose by mechanism first (customers x frequency x basket), then by structure (store, category, segment, channel), then intersect the three, then ask why five times with a number attached to every answer. The attribution is log-mean Divisia, audited so the driver partition covers the decline exactly.</w:t>
      </w:r>
    </w:p>
    <w:p>
      <w:pPr>
        <w:spacing w:after="40"/>
      </w:pPr>
      <w:r>
        <w:rPr>
          <w:rFonts w:ascii="Liberation Sans" w:hAnsi="Liberation Sans"/>
          <w:b/>
          <w:i w:val="0"/>
          <w:color w:val="FB6107"/>
          <w:sz w:val="17"/>
        </w:rPr>
        <w:t>SECTION 4</w:t>
      </w:r>
    </w:p>
    <w:p>
      <w:pPr>
        <w:pStyle w:val="Heading1"/>
      </w:pPr>
      <w:r>
        <w:t>Descriptive — what happened</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2444"/>
        <w:gridCol w:w="2444"/>
        <w:gridCol w:w="2444"/>
        <w:gridCol w:w="2444"/>
      </w:tblGrid>
      <w:tr>
        <w:trPr>
          <w:tblHeader w:val="true"/>
        </w:trPr>
        <w:tc>
          <w:tcPr>
            <w:tcW w:type="dxa" w:w="3600"/>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t>Metric</w:t>
            </w:r>
          </w:p>
        </w:tc>
        <w:tc>
          <w:tcPr>
            <w:tcW w:type="dxa" w:w="194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Q3 2025</w:t>
            </w:r>
          </w:p>
        </w:tc>
        <w:tc>
          <w:tcPr>
            <w:tcW w:type="dxa" w:w="194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Q3 2026</w:t>
            </w:r>
          </w:p>
        </w:tc>
        <w:tc>
          <w:tcPr>
            <w:tcW w:type="dxa" w:w="1728"/>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Change</w:t>
            </w:r>
          </w:p>
        </w:tc>
      </w:tr>
      <w:tr>
        <w:tc>
          <w:tcPr>
            <w:tcW w:type="dxa" w:w="3600"/>
            <w:tcMar>
              <w:top w:w="60" w:type="dxa"/>
              <w:left w:w="110" w:type="dxa"/>
              <w:bottom w:w="60" w:type="dxa"/>
              <w:right w:w="110" w:type="dxa"/>
            </w:tcMar>
          </w:tcPr>
          <w:p>
            <w:pPr>
              <w:spacing w:after="40" w:before="40"/>
            </w:pPr>
            <w:r/>
            <w:r>
              <w:rPr>
                <w:rFonts w:ascii="Liberation Sans" w:hAnsi="Liberation Sans"/>
                <w:color w:val="27241B"/>
                <w:sz w:val="18"/>
              </w:rPr>
              <w:t>Net revenue</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KSh 48.86M</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KSh 43.65M</w:t>
            </w:r>
          </w:p>
        </w:tc>
        <w:tc>
          <w:tcPr>
            <w:tcW w:type="dxa" w:w="1728"/>
            <w:tcMar>
              <w:top w:w="60" w:type="dxa"/>
              <w:left w:w="110" w:type="dxa"/>
              <w:bottom w:w="60" w:type="dxa"/>
              <w:right w:w="110" w:type="dxa"/>
            </w:tcMar>
          </w:tcPr>
          <w:p>
            <w:pPr>
              <w:spacing w:after="40" w:before="40"/>
              <w:jc w:val="right"/>
            </w:pPr>
            <w:r/>
            <w:r>
              <w:rPr>
                <w:rFonts w:ascii="Liberation Sans" w:hAnsi="Liberation Sans"/>
                <w:color w:val="27241B"/>
                <w:sz w:val="18"/>
              </w:rPr>
              <w:t>-10.7%</w:t>
            </w:r>
          </w:p>
        </w:tc>
      </w:tr>
      <w:tr>
        <w:tc>
          <w:tcPr>
            <w:tcW w:type="dxa" w:w="3600"/>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Gross profit</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KSh 9.68M</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KSh 8.04M</w:t>
            </w:r>
          </w:p>
        </w:tc>
        <w:tc>
          <w:tcPr>
            <w:tcW w:type="dxa" w:w="1728"/>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-16.9%</w:t>
            </w:r>
          </w:p>
        </w:tc>
      </w:tr>
      <w:tr>
        <w:tc>
          <w:tcPr>
            <w:tcW w:type="dxa" w:w="3600"/>
            <w:tcMar>
              <w:top w:w="60" w:type="dxa"/>
              <w:left w:w="110" w:type="dxa"/>
              <w:bottom w:w="60" w:type="dxa"/>
              <w:right w:w="110" w:type="dxa"/>
            </w:tcMar>
          </w:tcPr>
          <w:p>
            <w:pPr>
              <w:spacing w:after="40" w:before="40"/>
            </w:pPr>
            <w:r/>
            <w:r>
              <w:rPr>
                <w:rFonts w:ascii="Liberation Sans" w:hAnsi="Liberation Sans"/>
                <w:color w:val="27241B"/>
                <w:sz w:val="18"/>
              </w:rPr>
              <w:t>Gross margin</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19.95%</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18.57%</w:t>
            </w:r>
          </w:p>
        </w:tc>
        <w:tc>
          <w:tcPr>
            <w:tcW w:type="dxa" w:w="1728"/>
            <w:tcMar>
              <w:top w:w="60" w:type="dxa"/>
              <w:left w:w="110" w:type="dxa"/>
              <w:bottom w:w="60" w:type="dxa"/>
              <w:right w:w="110" w:type="dxa"/>
            </w:tcMar>
          </w:tcPr>
          <w:p>
            <w:pPr>
              <w:spacing w:after="40" w:before="40"/>
              <w:jc w:val="right"/>
            </w:pPr>
            <w:r/>
            <w:r>
              <w:rPr>
                <w:rFonts w:ascii="Liberation Sans" w:hAnsi="Liberation Sans"/>
                <w:color w:val="27241B"/>
                <w:sz w:val="18"/>
              </w:rPr>
              <w:t>-1.38pp</w:t>
            </w:r>
          </w:p>
        </w:tc>
      </w:tr>
      <w:tr>
        <w:tc>
          <w:tcPr>
            <w:tcW w:type="dxa" w:w="3600"/>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Active customers</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5,265</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5,555</w:t>
            </w:r>
          </w:p>
        </w:tc>
        <w:tc>
          <w:tcPr>
            <w:tcW w:type="dxa" w:w="1728"/>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+5.5%</w:t>
            </w:r>
          </w:p>
        </w:tc>
      </w:tr>
      <w:tr>
        <w:tc>
          <w:tcPr>
            <w:tcW w:type="dxa" w:w="3600"/>
            <w:tcMar>
              <w:top w:w="60" w:type="dxa"/>
              <w:left w:w="110" w:type="dxa"/>
              <w:bottom w:w="60" w:type="dxa"/>
              <w:right w:w="110" w:type="dxa"/>
            </w:tcMar>
          </w:tcPr>
          <w:p>
            <w:pPr>
              <w:spacing w:after="40" w:before="40"/>
            </w:pPr>
            <w:r/>
            <w:r>
              <w:rPr>
                <w:rFonts w:ascii="Liberation Sans" w:hAnsi="Liberation Sans"/>
                <w:color w:val="27241B"/>
                <w:sz w:val="18"/>
              </w:rPr>
              <w:t>Orders</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28,618</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26,764</w:t>
            </w:r>
          </w:p>
        </w:tc>
        <w:tc>
          <w:tcPr>
            <w:tcW w:type="dxa" w:w="1728"/>
            <w:tcMar>
              <w:top w:w="60" w:type="dxa"/>
              <w:left w:w="110" w:type="dxa"/>
              <w:bottom w:w="60" w:type="dxa"/>
              <w:right w:w="110" w:type="dxa"/>
            </w:tcMar>
          </w:tcPr>
          <w:p>
            <w:pPr>
              <w:spacing w:after="40" w:before="40"/>
              <w:jc w:val="right"/>
            </w:pPr>
            <w:r/>
            <w:r>
              <w:rPr>
                <w:rFonts w:ascii="Liberation Sans" w:hAnsi="Liberation Sans"/>
                <w:color w:val="27241B"/>
                <w:sz w:val="18"/>
              </w:rPr>
              <w:t>-6.5%</w:t>
            </w:r>
          </w:p>
        </w:tc>
      </w:tr>
      <w:tr>
        <w:tc>
          <w:tcPr>
            <w:tcW w:type="dxa" w:w="3600"/>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Orders per customer</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5.44</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4.82</w:t>
            </w:r>
          </w:p>
        </w:tc>
        <w:tc>
          <w:tcPr>
            <w:tcW w:type="dxa" w:w="1728"/>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-11.4%</w:t>
            </w:r>
          </w:p>
        </w:tc>
      </w:tr>
      <w:tr>
        <w:tc>
          <w:tcPr>
            <w:tcW w:type="dxa" w:w="3600"/>
            <w:tcMar>
              <w:top w:w="60" w:type="dxa"/>
              <w:left w:w="110" w:type="dxa"/>
              <w:bottom w:w="60" w:type="dxa"/>
              <w:right w:w="110" w:type="dxa"/>
            </w:tcMar>
          </w:tcPr>
          <w:p>
            <w:pPr>
              <w:spacing w:after="40" w:before="40"/>
            </w:pPr>
            <w:r/>
            <w:r>
              <w:rPr>
                <w:rFonts w:ascii="Liberation Sans" w:hAnsi="Liberation Sans"/>
                <w:color w:val="27241B"/>
                <w:sz w:val="18"/>
              </w:rPr>
              <w:t>Average order value</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KSh 1,694</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KSh 1,619</w:t>
            </w:r>
          </w:p>
        </w:tc>
        <w:tc>
          <w:tcPr>
            <w:tcW w:type="dxa" w:w="1728"/>
            <w:tcMar>
              <w:top w:w="60" w:type="dxa"/>
              <w:left w:w="110" w:type="dxa"/>
              <w:bottom w:w="60" w:type="dxa"/>
              <w:right w:w="110" w:type="dxa"/>
            </w:tcMar>
          </w:tcPr>
          <w:p>
            <w:pPr>
              <w:spacing w:after="40" w:before="40"/>
              <w:jc w:val="right"/>
            </w:pPr>
            <w:r/>
            <w:r>
              <w:rPr>
                <w:rFonts w:ascii="Liberation Sans" w:hAnsi="Liberation Sans"/>
                <w:color w:val="27241B"/>
                <w:sz w:val="18"/>
              </w:rPr>
              <w:t>-4.5%</w:t>
            </w:r>
          </w:p>
        </w:tc>
      </w:tr>
      <w:tr>
        <w:tc>
          <w:tcPr>
            <w:tcW w:type="dxa" w:w="3600"/>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Lines per order</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3.59</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3.40</w:t>
            </w:r>
          </w:p>
        </w:tc>
        <w:tc>
          <w:tcPr>
            <w:tcW w:type="dxa" w:w="1728"/>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-5.2%</w:t>
            </w:r>
          </w:p>
        </w:tc>
      </w:tr>
      <w:tr>
        <w:tc>
          <w:tcPr>
            <w:tcW w:type="dxa" w:w="3600"/>
            <w:tcMar>
              <w:top w:w="60" w:type="dxa"/>
              <w:left w:w="110" w:type="dxa"/>
              <w:bottom w:w="60" w:type="dxa"/>
              <w:right w:w="110" w:type="dxa"/>
            </w:tcMar>
          </w:tcPr>
          <w:p>
            <w:pPr>
              <w:spacing w:after="40" w:before="40"/>
            </w:pPr>
            <w:r/>
            <w:r>
              <w:rPr>
                <w:rFonts w:ascii="Liberation Sans" w:hAnsi="Liberation Sans"/>
                <w:color w:val="27241B"/>
                <w:sz w:val="18"/>
              </w:rPr>
              <w:t>List price per unit</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KSh 312</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KSh 326</w:t>
            </w:r>
          </w:p>
        </w:tc>
        <w:tc>
          <w:tcPr>
            <w:tcW w:type="dxa" w:w="1728"/>
            <w:tcMar>
              <w:top w:w="60" w:type="dxa"/>
              <w:left w:w="110" w:type="dxa"/>
              <w:bottom w:w="60" w:type="dxa"/>
              <w:right w:w="110" w:type="dxa"/>
            </w:tcMar>
          </w:tcPr>
          <w:p>
            <w:pPr>
              <w:spacing w:after="40" w:before="40"/>
              <w:jc w:val="right"/>
            </w:pPr>
            <w:r/>
            <w:r>
              <w:rPr>
                <w:rFonts w:ascii="Liberation Sans" w:hAnsi="Liberation Sans"/>
                <w:color w:val="27241B"/>
                <w:sz w:val="18"/>
              </w:rPr>
              <w:t>+4.3%</w:t>
            </w:r>
          </w:p>
        </w:tc>
      </w:tr>
      <w:tr>
        <w:tc>
          <w:tcPr>
            <w:tcW w:type="dxa" w:w="3600"/>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Discount depth (% of gross)</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4.80%</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7.82%</w:t>
            </w:r>
          </w:p>
        </w:tc>
        <w:tc>
          <w:tcPr>
            <w:tcW w:type="dxa" w:w="1728"/>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+3.02pp</w:t>
            </w:r>
          </w:p>
        </w:tc>
      </w:tr>
    </w:tbl>
    <w:p>
      <w:pPr>
        <w:spacing w:after="0" w:before="0" w:line="240" w:lineRule="auto"/>
      </w:pPr>
      <w:r>
        <w:rPr>
          <w:sz w:val="8"/>
        </w:rPr>
      </w:r>
    </w:p>
    <w:p>
      <w:pPr>
        <w:spacing w:after="140"/>
      </w:pPr>
      <w:r>
        <w:rPr>
          <w:rFonts w:ascii="Liberation Sans" w:hAnsi="Liberation Sans"/>
          <w:b w:val="0"/>
          <w:i w:val="0"/>
          <w:color w:val="89877B"/>
          <w:sz w:val="18"/>
        </w:rPr>
        <w:t>Every figure in this table is reproduced from outputs/kpis.json, which the pipeline regenerates. Nothing here is typed by hand.</w:t>
      </w:r>
    </w:p>
    <w:p>
      <w:pPr>
        <w:spacing w:after="60"/>
        <w:jc w:val="center"/>
      </w:pPr>
      <w:r>
        <w:drawing>
          <wp:inline xmlns:a="http://schemas.openxmlformats.org/drawingml/2006/main" xmlns:pic="http://schemas.openxmlformats.org/drawingml/2006/picture">
            <wp:extent cx="4617720" cy="2882850"/>
            <wp:docPr id="2" name="Picture 2"/>
            <wp:cNvGraphicFramePr>
              <a:graphicFrameLocks noChangeAspect="1"/>
            </wp:cNvGraphicFramePr>
            <a:graphic>
              <a:graphicData uri="http://schemas.openxmlformats.org/drawingml/2006/picture">
                <pic:pic>
                  <pic:nvPicPr>
                    <pic:cNvPr id="0" name="01_headline_waterfall.png"/>
                    <pic:cNvPicPr/>
                  </pic:nvPicPr>
                  <pic:blipFill>
                    <a:blip r:embed="rId10"/>
                    <a:stretch>
                      <a:fillRect/>
                    </a:stretch>
                  </pic:blipFill>
                  <pic:spPr>
                    <a:xfrm>
                      <a:off x="0" y="0"/>
                      <a:ext cx="4617720" cy="2882850"/>
                    </a:xfrm>
                    <a:prstGeom prst="rect"/>
                  </pic:spPr>
                </pic:pic>
              </a:graphicData>
            </a:graphic>
          </wp:inline>
        </w:drawing>
      </w:r>
    </w:p>
    <w:p>
      <w:pPr>
        <w:spacing w:after="40"/>
        <w:jc w:val="center"/>
      </w:pPr>
      <w:r>
        <w:rPr>
          <w:rFonts w:ascii="Liberation Sans" w:hAnsi="Liberation Sans"/>
          <w:b w:val="0"/>
          <w:i/>
          <w:color w:val="27241B"/>
          <w:sz w:val="18"/>
        </w:rPr>
        <w:t>One customer gain against two larger losses. This is not one event.</w:t>
      </w:r>
    </w:p>
    <w:p>
      <w:pPr>
        <w:spacing w:after="200"/>
        <w:jc w:val="center"/>
      </w:pPr>
      <w:r>
        <w:rPr>
          <w:rFonts w:ascii="Liberation Sans" w:hAnsi="Liberation Sans"/>
          <w:b w:val="0"/>
          <w:i w:val="0"/>
          <w:color w:val="89877B"/>
          <w:sz w:val="16"/>
        </w:rPr>
        <w:t>Figure 1 — the revenue bridge.</w:t>
      </w:r>
    </w:p>
    <w:p>
      <w:pPr>
        <w:spacing w:after="40"/>
      </w:pPr>
      <w:r>
        <w:rPr>
          <w:rFonts w:ascii="Liberation Sans" w:hAnsi="Liberation Sans"/>
          <w:b/>
          <w:i w:val="0"/>
          <w:color w:val="FB6107"/>
          <w:sz w:val="17"/>
        </w:rPr>
        <w:t>SECTION 5</w:t>
      </w:r>
    </w:p>
    <w:p>
      <w:pPr>
        <w:pStyle w:val="Heading1"/>
      </w:pPr>
      <w:r>
        <w:t>Diagnostic, part 1 — the mechanism</w:t>
      </w:r>
    </w:p>
    <w:p>
      <w:pPr>
        <w:spacing w:after="140"/>
      </w:pPr>
      <w:r>
        <w:rPr>
          <w:rFonts w:ascii="Liberation Sans" w:hAnsi="Liberation Sans"/>
          <w:b/>
          <w:i w:val="0"/>
          <w:color w:val="27241B"/>
          <w:sz w:val="20"/>
        </w:rPr>
        <w:t>Revenue = Customers x Frequency x Average order value.</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3259"/>
        <w:gridCol w:w="3259"/>
        <w:gridCol w:w="3259"/>
      </w:tblGrid>
      <w:tr>
        <w:trPr>
          <w:tblHeader w:val="true"/>
        </w:trPr>
        <w:tc>
          <w:tcPr>
            <w:tcW w:type="dxa" w:w="3456"/>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t>Driver</w:t>
            </w:r>
          </w:p>
        </w:tc>
        <w:tc>
          <w:tcPr>
            <w:tcW w:type="dxa" w:w="3168"/>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Effect on revenue</w:t>
            </w:r>
          </w:p>
        </w:tc>
        <w:tc>
          <w:tcPr>
            <w:tcW w:type="dxa" w:w="230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YoY move</w:t>
            </w:r>
          </w:p>
        </w:tc>
      </w:tr>
      <w:tr>
        <w:tc>
          <w:tcPr>
            <w:tcW w:type="dxa" w:w="3456"/>
            <w:tcMar>
              <w:top w:w="60" w:type="dxa"/>
              <w:left w:w="110" w:type="dxa"/>
              <w:bottom w:w="60" w:type="dxa"/>
              <w:right w:w="110" w:type="dxa"/>
            </w:tcMar>
          </w:tcPr>
          <w:p>
            <w:pPr>
              <w:spacing w:after="40" w:before="40"/>
            </w:pPr>
            <w:r/>
            <w:r>
              <w:rPr>
                <w:rFonts w:ascii="Liberation Sans" w:hAnsi="Liberation Sans"/>
                <w:color w:val="27241B"/>
                <w:sz w:val="18"/>
              </w:rPr>
              <w:t>Customers</w:t>
            </w:r>
          </w:p>
        </w:tc>
        <w:tc>
          <w:tcPr>
            <w:tcW w:type="dxa" w:w="3168"/>
            <w:tcMar>
              <w:top w:w="60" w:type="dxa"/>
              <w:left w:w="110" w:type="dxa"/>
              <w:bottom w:w="60" w:type="dxa"/>
              <w:right w:w="110" w:type="dxa"/>
            </w:tcMar>
          </w:tcPr>
          <w:p>
            <w:pPr>
              <w:spacing w:after="40" w:before="40"/>
              <w:jc w:val="right"/>
            </w:pPr>
            <w:r/>
            <w:r>
              <w:rPr>
                <w:rFonts w:ascii="Liberation Sans" w:hAnsi="Liberation Sans"/>
                <w:color w:val="27241B"/>
                <w:sz w:val="18"/>
              </w:rPr>
              <w:t>KSh +2.46M</w:t>
            </w:r>
          </w:p>
        </w:tc>
        <w:tc>
          <w:tcPr>
            <w:tcW w:type="dxa" w:w="2304"/>
            <w:tcMar>
              <w:top w:w="60" w:type="dxa"/>
              <w:left w:w="110" w:type="dxa"/>
              <w:bottom w:w="60" w:type="dxa"/>
              <w:right w:w="110" w:type="dxa"/>
            </w:tcMar>
          </w:tcPr>
          <w:p>
            <w:pPr>
              <w:spacing w:after="40" w:before="40"/>
              <w:jc w:val="right"/>
            </w:pPr>
            <w:r/>
            <w:r>
              <w:rPr>
                <w:rFonts w:ascii="Liberation Sans" w:hAnsi="Liberation Sans"/>
                <w:color w:val="27241B"/>
                <w:sz w:val="18"/>
              </w:rPr>
              <w:t>+5.5%</w:t>
            </w:r>
          </w:p>
        </w:tc>
      </w:tr>
      <w:tr>
        <w:tc>
          <w:tcPr>
            <w:tcW w:type="dxa" w:w="3456"/>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Orders per customer</w:t>
            </w:r>
          </w:p>
        </w:tc>
        <w:tc>
          <w:tcPr>
            <w:tcW w:type="dxa" w:w="3168"/>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KSh -5.53M</w:t>
            </w:r>
          </w:p>
        </w:tc>
        <w:tc>
          <w:tcPr>
            <w:tcW w:type="dxa" w:w="230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-11.4%</w:t>
            </w:r>
          </w:p>
        </w:tc>
      </w:tr>
      <w:tr>
        <w:tc>
          <w:tcPr>
            <w:tcW w:type="dxa" w:w="3456"/>
            <w:tcMar>
              <w:top w:w="60" w:type="dxa"/>
              <w:left w:w="110" w:type="dxa"/>
              <w:bottom w:w="60" w:type="dxa"/>
              <w:right w:w="110" w:type="dxa"/>
            </w:tcMar>
          </w:tcPr>
          <w:p>
            <w:pPr>
              <w:spacing w:after="40" w:before="40"/>
            </w:pPr>
            <w:r/>
            <w:r>
              <w:rPr>
                <w:rFonts w:ascii="Liberation Sans" w:hAnsi="Liberation Sans"/>
                <w:color w:val="27241B"/>
                <w:sz w:val="18"/>
              </w:rPr>
              <w:t>Average order value</w:t>
            </w:r>
          </w:p>
        </w:tc>
        <w:tc>
          <w:tcPr>
            <w:tcW w:type="dxa" w:w="3168"/>
            <w:tcMar>
              <w:top w:w="60" w:type="dxa"/>
              <w:left w:w="110" w:type="dxa"/>
              <w:bottom w:w="60" w:type="dxa"/>
              <w:right w:w="110" w:type="dxa"/>
            </w:tcMar>
          </w:tcPr>
          <w:p>
            <w:pPr>
              <w:spacing w:after="40" w:before="40"/>
              <w:jc w:val="right"/>
            </w:pPr>
            <w:r/>
            <w:r>
              <w:rPr>
                <w:rFonts w:ascii="Liberation Sans" w:hAnsi="Liberation Sans"/>
                <w:color w:val="27241B"/>
                <w:sz w:val="18"/>
              </w:rPr>
              <w:t>KSh -2.10M</w:t>
            </w:r>
          </w:p>
        </w:tc>
        <w:tc>
          <w:tcPr>
            <w:tcW w:type="dxa" w:w="2304"/>
            <w:tcMar>
              <w:top w:w="60" w:type="dxa"/>
              <w:left w:w="110" w:type="dxa"/>
              <w:bottom w:w="60" w:type="dxa"/>
              <w:right w:w="110" w:type="dxa"/>
            </w:tcMar>
          </w:tcPr>
          <w:p>
            <w:pPr>
              <w:spacing w:after="40" w:before="40"/>
              <w:jc w:val="right"/>
            </w:pPr>
            <w:r/>
            <w:r>
              <w:rPr>
                <w:rFonts w:ascii="Liberation Sans" w:hAnsi="Liberation Sans"/>
                <w:color w:val="27241B"/>
                <w:sz w:val="18"/>
              </w:rPr>
              <w:t>-4.5%</w:t>
            </w:r>
          </w:p>
        </w:tc>
      </w:tr>
      <w:tr>
        <w:tc>
          <w:tcPr>
            <w:tcW w:type="dxa" w:w="3456"/>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Total</w:t>
            </w:r>
          </w:p>
        </w:tc>
        <w:tc>
          <w:tcPr>
            <w:tcW w:type="dxa" w:w="3168"/>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KSh -5.21M</w:t>
            </w:r>
          </w:p>
        </w:tc>
        <w:tc>
          <w:tcPr>
            <w:tcW w:type="dxa" w:w="230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-10.7%</w:t>
            </w:r>
          </w:p>
        </w:tc>
      </w:tr>
    </w:tbl>
    <w:p>
      <w:pPr>
        <w:spacing w:after="0" w:before="0" w:line="240" w:lineRule="auto"/>
      </w:pPr>
      <w:r>
        <w:rPr>
          <w:sz w:val="8"/>
        </w:rPr>
      </w:r>
    </w:p>
    <w:p>
      <w:pPr>
        <w:spacing w:after="140"/>
      </w:pPr>
      <w:r>
        <w:rPr>
          <w:rFonts w:ascii="Liberation Sans" w:hAnsi="Liberation Sans"/>
          <w:b w:val="0"/>
          <w:i w:val="0"/>
          <w:color w:val="27241B"/>
          <w:sz w:val="19"/>
        </w:rPr>
        <w:t>Attribution is log-mean Divisia, so the ranking does not depend on the order in which the three factors are multiplied. The frequency effect is the largest under every ordering — that is the robust part of the result.</w:t>
      </w:r>
    </w:p>
    <w:p>
      <w:pPr>
        <w:spacing w:after="140"/>
      </w:pPr>
      <w:r>
        <w:rPr>
          <w:rFonts w:ascii="Liberation Sans" w:hAnsi="Liberation Sans"/>
          <w:b w:val="0"/>
          <w:i w:val="0"/>
          <w:color w:val="89877B"/>
          <w:sz w:val="18"/>
        </w:rPr>
        <w:t>Sequential-order sensitivity band: customers KSh 2.26M to KSh 2.67M; frequency KSh -5.81M to KSh -5.26M; aov KSh -2.17M to KSh -2.03M.</w:t>
      </w:r>
    </w:p>
    <w:p>
      <w:pPr>
        <w:spacing w:after="60"/>
        <w:jc w:val="center"/>
      </w:pPr>
      <w:r>
        <w:drawing>
          <wp:inline xmlns:a="http://schemas.openxmlformats.org/drawingml/2006/main" xmlns:pic="http://schemas.openxmlformats.org/drawingml/2006/picture">
            <wp:extent cx="4617720" cy="2771297"/>
            <wp:docPr id="3" name="Picture 3"/>
            <wp:cNvGraphicFramePr>
              <a:graphicFrameLocks noChangeAspect="1"/>
            </wp:cNvGraphicFramePr>
            <a:graphic>
              <a:graphicData uri="http://schemas.openxmlformats.org/drawingml/2006/picture">
                <pic:pic>
                  <pic:nvPicPr>
                    <pic:cNvPr id="0" name="02_mechanism_identity.png"/>
                    <pic:cNvPicPr/>
                  </pic:nvPicPr>
                  <pic:blipFill>
                    <a:blip r:embed="rId11"/>
                    <a:stretch>
                      <a:fillRect/>
                    </a:stretch>
                  </pic:blipFill>
                  <pic:spPr>
                    <a:xfrm>
                      <a:off x="0" y="0"/>
                      <a:ext cx="4617720" cy="2771297"/>
                    </a:xfrm>
                    <a:prstGeom prst="rect"/>
                  </pic:spPr>
                </pic:pic>
              </a:graphicData>
            </a:graphic>
          </wp:inline>
        </w:drawing>
      </w:r>
    </w:p>
    <w:p>
      <w:pPr>
        <w:spacing w:after="40"/>
        <w:jc w:val="center"/>
      </w:pPr>
      <w:r>
        <w:rPr>
          <w:rFonts w:ascii="Liberation Sans" w:hAnsi="Liberation Sans"/>
          <w:b w:val="0"/>
          <w:i/>
          <w:color w:val="27241B"/>
          <w:sz w:val="18"/>
        </w:rPr>
        <w:t>Customers grew. Orders per customer and basket value did not. Any report that stops at “fewer customers” is wrong.</w:t>
      </w:r>
    </w:p>
    <w:p>
      <w:pPr>
        <w:spacing w:after="200"/>
        <w:jc w:val="center"/>
      </w:pPr>
      <w:r>
        <w:rPr>
          <w:rFonts w:ascii="Liberation Sans" w:hAnsi="Liberation Sans"/>
          <w:b w:val="0"/>
          <w:i w:val="0"/>
          <w:color w:val="89877B"/>
          <w:sz w:val="16"/>
        </w:rPr>
        <w:t>Figure 2 — the same three drivers indexed to the base quarter.</w:t>
      </w:r>
    </w:p>
    <w:p>
      <w:r>
        <w:br w:type="page"/>
      </w:r>
    </w:p>
    <w:p>
      <w:pPr>
        <w:spacing w:after="40"/>
      </w:pPr>
      <w:r>
        <w:rPr>
          <w:rFonts w:ascii="Liberation Sans" w:hAnsi="Liberation Sans"/>
          <w:b/>
          <w:i w:val="0"/>
          <w:color w:val="FB6107"/>
          <w:sz w:val="17"/>
        </w:rPr>
        <w:t>SECTION 6</w:t>
      </w:r>
    </w:p>
    <w:p>
      <w:pPr>
        <w:pStyle w:val="Heading1"/>
      </w:pPr>
      <w:r>
        <w:t>Diagnostic, part 2 — the structure, and who owns what</w:t>
      </w:r>
    </w:p>
    <w:p>
      <w:pPr>
        <w:pStyle w:val="Heading3"/>
      </w:pPr>
      <w:r>
        <w:t>By store</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1956"/>
        <w:gridCol w:w="1956"/>
        <w:gridCol w:w="1956"/>
        <w:gridCol w:w="1956"/>
        <w:gridCol w:w="1956"/>
      </w:tblGrid>
      <w:tr>
        <w:trPr>
          <w:tblHeader w:val="true"/>
        </w:trPr>
        <w:tc>
          <w:tcPr>
            <w:tcW w:type="dxa" w:w="86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Rank</w:t>
            </w:r>
          </w:p>
        </w:tc>
        <w:tc>
          <w:tcPr>
            <w:tcW w:type="dxa" w:w="2880"/>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Slice</w:t>
            </w:r>
          </w:p>
        </w:tc>
        <w:tc>
          <w:tcPr>
            <w:tcW w:type="dxa" w:w="2160"/>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Revenue change</w:t>
            </w:r>
          </w:p>
        </w:tc>
        <w:tc>
          <w:tcPr>
            <w:tcW w:type="dxa" w:w="1440"/>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YoY</w:t>
            </w:r>
          </w:p>
        </w:tc>
        <w:tc>
          <w:tcPr>
            <w:tcW w:type="dxa" w:w="1872"/>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Share of group decline</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1</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Mombasa Nyali</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-2.18M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-27.0%</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41.9%</w:t>
            </w:r>
          </w:p>
        </w:tc>
      </w:tr>
      <w:tr>
        <w:tc>
          <w:tcPr>
            <w:tcW w:type="dxa" w:w="86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w:t>
            </w:r>
          </w:p>
        </w:tc>
        <w:tc>
          <w:tcPr>
            <w:tcW w:type="dxa" w:w="288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Thika Road</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-1.50M</w:t>
            </w:r>
          </w:p>
        </w:tc>
        <w:tc>
          <w:tcPr>
            <w:tcW w:type="dxa" w:w="144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-18.7%</w:t>
            </w:r>
          </w:p>
        </w:tc>
        <w:tc>
          <w:tcPr>
            <w:tcW w:type="dxa" w:w="187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28.9%</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3</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Kisumu Lakefront</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-0.69M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-11.5%</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13.2%</w:t>
            </w:r>
          </w:p>
        </w:tc>
      </w:tr>
      <w:tr>
        <w:tc>
          <w:tcPr>
            <w:tcW w:type="dxa" w:w="86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4</w:t>
            </w:r>
          </w:p>
        </w:tc>
        <w:tc>
          <w:tcPr>
            <w:tcW w:type="dxa" w:w="288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Town Centre</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-0.39M</w:t>
            </w:r>
          </w:p>
        </w:tc>
        <w:tc>
          <w:tcPr>
            <w:tcW w:type="dxa" w:w="144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-3.4%</w:t>
            </w:r>
          </w:p>
        </w:tc>
        <w:tc>
          <w:tcPr>
            <w:tcW w:type="dxa" w:w="187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7.4%</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5</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Westlands</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-0.26M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-2.8%</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5.0%</w:t>
            </w:r>
          </w:p>
        </w:tc>
      </w:tr>
      <w:tr>
        <w:tc>
          <w:tcPr>
            <w:tcW w:type="dxa" w:w="86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6</w:t>
            </w:r>
          </w:p>
        </w:tc>
        <w:tc>
          <w:tcPr>
            <w:tcW w:type="dxa" w:w="288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Nakuru CBD</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-0.19M</w:t>
            </w:r>
          </w:p>
        </w:tc>
        <w:tc>
          <w:tcPr>
            <w:tcW w:type="dxa" w:w="144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-3.0%</w:t>
            </w:r>
          </w:p>
        </w:tc>
        <w:tc>
          <w:tcPr>
            <w:tcW w:type="dxa" w:w="187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3.6%</w:t>
            </w:r>
          </w:p>
        </w:tc>
      </w:tr>
    </w:tbl>
    <w:p>
      <w:pPr>
        <w:spacing w:after="0" w:before="0" w:line="240" w:lineRule="auto"/>
      </w:pPr>
      <w:r>
        <w:rPr>
          <w:sz w:val="8"/>
        </w:rPr>
      </w:r>
    </w:p>
    <w:p>
      <w:pPr>
        <w:pStyle w:val="Heading3"/>
      </w:pPr>
      <w:r>
        <w:t>By category</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1956"/>
        <w:gridCol w:w="1956"/>
        <w:gridCol w:w="1956"/>
        <w:gridCol w:w="1956"/>
        <w:gridCol w:w="1956"/>
      </w:tblGrid>
      <w:tr>
        <w:trPr>
          <w:tblHeader w:val="true"/>
        </w:trPr>
        <w:tc>
          <w:tcPr>
            <w:tcW w:type="dxa" w:w="86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Rank</w:t>
            </w:r>
          </w:p>
        </w:tc>
        <w:tc>
          <w:tcPr>
            <w:tcW w:type="dxa" w:w="2880"/>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Slice</w:t>
            </w:r>
          </w:p>
        </w:tc>
        <w:tc>
          <w:tcPr>
            <w:tcW w:type="dxa" w:w="2160"/>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Revenue change</w:t>
            </w:r>
          </w:p>
        </w:tc>
        <w:tc>
          <w:tcPr>
            <w:tcW w:type="dxa" w:w="1440"/>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YoY</w:t>
            </w:r>
          </w:p>
        </w:tc>
        <w:tc>
          <w:tcPr>
            <w:tcW w:type="dxa" w:w="1872"/>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Share of group decline</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1</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Groceries</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-1.60M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-13.1%</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30.7%</w:t>
            </w:r>
          </w:p>
        </w:tc>
      </w:tr>
      <w:tr>
        <w:tc>
          <w:tcPr>
            <w:tcW w:type="dxa" w:w="86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w:t>
            </w:r>
          </w:p>
        </w:tc>
        <w:tc>
          <w:tcPr>
            <w:tcW w:type="dxa" w:w="288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Beverages</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-1.08M</w:t>
            </w:r>
          </w:p>
        </w:tc>
        <w:tc>
          <w:tcPr>
            <w:tcW w:type="dxa" w:w="144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-20.3%</w:t>
            </w:r>
          </w:p>
        </w:tc>
        <w:tc>
          <w:tcPr>
            <w:tcW w:type="dxa" w:w="187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20.7%</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3</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Household &amp; Cleaning</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-0.82M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-11.3%</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15.7%</w:t>
            </w:r>
          </w:p>
        </w:tc>
      </w:tr>
      <w:tr>
        <w:tc>
          <w:tcPr>
            <w:tcW w:type="dxa" w:w="86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4</w:t>
            </w:r>
          </w:p>
        </w:tc>
        <w:tc>
          <w:tcPr>
            <w:tcW w:type="dxa" w:w="288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Personal Care</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-0.65M</w:t>
            </w:r>
          </w:p>
        </w:tc>
        <w:tc>
          <w:tcPr>
            <w:tcW w:type="dxa" w:w="144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-7.9%</w:t>
            </w:r>
          </w:p>
        </w:tc>
        <w:tc>
          <w:tcPr>
            <w:tcW w:type="dxa" w:w="187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12.4%</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5</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Baby &amp; Kids</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-0.46M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-6.7%</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8.8%</w:t>
            </w:r>
          </w:p>
        </w:tc>
      </w:tr>
      <w:tr>
        <w:tc>
          <w:tcPr>
            <w:tcW w:type="dxa" w:w="86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6</w:t>
            </w:r>
          </w:p>
        </w:tc>
        <w:tc>
          <w:tcPr>
            <w:tcW w:type="dxa" w:w="288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Dairy &amp; Eggs</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-0.37M</w:t>
            </w:r>
          </w:p>
        </w:tc>
        <w:tc>
          <w:tcPr>
            <w:tcW w:type="dxa" w:w="144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-8.0%</w:t>
            </w:r>
          </w:p>
        </w:tc>
        <w:tc>
          <w:tcPr>
            <w:tcW w:type="dxa" w:w="187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7.0%</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7</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Fresh Produce</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-0.15M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-4.7%</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2.9%</w:t>
            </w:r>
          </w:p>
        </w:tc>
      </w:tr>
      <w:tr>
        <w:tc>
          <w:tcPr>
            <w:tcW w:type="dxa" w:w="86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8</w:t>
            </w:r>
          </w:p>
        </w:tc>
        <w:tc>
          <w:tcPr>
            <w:tcW w:type="dxa" w:w="288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Bakery</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-0.09M</w:t>
            </w:r>
          </w:p>
        </w:tc>
        <w:tc>
          <w:tcPr>
            <w:tcW w:type="dxa" w:w="144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-6.9%</w:t>
            </w:r>
          </w:p>
        </w:tc>
        <w:tc>
          <w:tcPr>
            <w:tcW w:type="dxa" w:w="187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1.7%</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9</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Unclassified</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-0.00M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-27.9%</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0.0%</w:t>
            </w:r>
          </w:p>
        </w:tc>
      </w:tr>
    </w:tbl>
    <w:p>
      <w:pPr>
        <w:spacing w:after="0" w:before="0" w:line="240" w:lineRule="auto"/>
      </w:pPr>
      <w:r>
        <w:rPr>
          <w:sz w:val="8"/>
        </w:rPr>
      </w:r>
    </w:p>
    <w:p>
      <w:pPr>
        <w:pStyle w:val="Heading3"/>
      </w:pPr>
      <w:r>
        <w:t>By customer segment</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1956"/>
        <w:gridCol w:w="1956"/>
        <w:gridCol w:w="1956"/>
        <w:gridCol w:w="1956"/>
        <w:gridCol w:w="1956"/>
      </w:tblGrid>
      <w:tr>
        <w:trPr>
          <w:tblHeader w:val="true"/>
        </w:trPr>
        <w:tc>
          <w:tcPr>
            <w:tcW w:type="dxa" w:w="86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Rank</w:t>
            </w:r>
          </w:p>
        </w:tc>
        <w:tc>
          <w:tcPr>
            <w:tcW w:type="dxa" w:w="2880"/>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Slice</w:t>
            </w:r>
          </w:p>
        </w:tc>
        <w:tc>
          <w:tcPr>
            <w:tcW w:type="dxa" w:w="2160"/>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Revenue change</w:t>
            </w:r>
          </w:p>
        </w:tc>
        <w:tc>
          <w:tcPr>
            <w:tcW w:type="dxa" w:w="1440"/>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YoY</w:t>
            </w:r>
          </w:p>
        </w:tc>
        <w:tc>
          <w:tcPr>
            <w:tcW w:type="dxa" w:w="1872"/>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Share of group decline</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1</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Loyal</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-3.03M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-15.2%</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58.2%</w:t>
            </w:r>
          </w:p>
        </w:tc>
      </w:tr>
      <w:tr>
        <w:tc>
          <w:tcPr>
            <w:tcW w:type="dxa" w:w="86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w:t>
            </w:r>
          </w:p>
        </w:tc>
        <w:tc>
          <w:tcPr>
            <w:tcW w:type="dxa" w:w="288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Regular</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-2.52M</w:t>
            </w:r>
          </w:p>
        </w:tc>
        <w:tc>
          <w:tcPr>
            <w:tcW w:type="dxa" w:w="144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-14.0%</w:t>
            </w:r>
          </w:p>
        </w:tc>
        <w:tc>
          <w:tcPr>
            <w:tcW w:type="dxa" w:w="187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48.4%</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3</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At-Risk</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-0.85M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-14.2%</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16.3%</w:t>
            </w:r>
          </w:p>
        </w:tc>
      </w:tr>
      <w:tr>
        <w:tc>
          <w:tcPr>
            <w:tcW w:type="dxa" w:w="86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4</w:t>
            </w:r>
          </w:p>
        </w:tc>
        <w:tc>
          <w:tcPr>
            <w:tcW w:type="dxa" w:w="288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Hibernating</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-0.04M</w:t>
            </w:r>
          </w:p>
        </w:tc>
        <w:tc>
          <w:tcPr>
            <w:tcW w:type="dxa" w:w="144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-2.9%</w:t>
            </w:r>
          </w:p>
        </w:tc>
        <w:tc>
          <w:tcPr>
            <w:tcW w:type="dxa" w:w="187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0.8%</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5</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New</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+1.28M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+40.7%</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-24.5%</w:t>
            </w:r>
          </w:p>
        </w:tc>
      </w:tr>
    </w:tbl>
    <w:p>
      <w:pPr>
        <w:spacing w:after="0" w:before="0" w:line="240" w:lineRule="auto"/>
      </w:pPr>
      <w:r>
        <w:rPr>
          <w:sz w:val="8"/>
        </w:rPr>
      </w:r>
    </w:p>
    <w:p>
      <w:pPr>
        <w:pStyle w:val="Heading3"/>
      </w:pPr>
      <w:r>
        <w:t>By channel</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1956"/>
        <w:gridCol w:w="1956"/>
        <w:gridCol w:w="1956"/>
        <w:gridCol w:w="1956"/>
        <w:gridCol w:w="1956"/>
      </w:tblGrid>
      <w:tr>
        <w:trPr>
          <w:tblHeader w:val="true"/>
        </w:trPr>
        <w:tc>
          <w:tcPr>
            <w:tcW w:type="dxa" w:w="86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Rank</w:t>
            </w:r>
          </w:p>
        </w:tc>
        <w:tc>
          <w:tcPr>
            <w:tcW w:type="dxa" w:w="2880"/>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Slice</w:t>
            </w:r>
          </w:p>
        </w:tc>
        <w:tc>
          <w:tcPr>
            <w:tcW w:type="dxa" w:w="2160"/>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Revenue change</w:t>
            </w:r>
          </w:p>
        </w:tc>
        <w:tc>
          <w:tcPr>
            <w:tcW w:type="dxa" w:w="1440"/>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YoY</w:t>
            </w:r>
          </w:p>
        </w:tc>
        <w:tc>
          <w:tcPr>
            <w:tcW w:type="dxa" w:w="1872"/>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Share of group decline</w:t>
            </w:r>
          </w:p>
        </w:tc>
      </w:tr>
      <w:tr>
        <w:tc>
          <w:tcPr>
            <w:tcW w:type="dxa" w:w="864"/>
            <w:tcMar>
              <w:top w:w="60" w:type="dxa"/>
              <w:left w:w="110" w:type="dxa"/>
              <w:bottom w:w="60" w:type="dxa"/>
              <w:right w:w="110" w:type="dxa"/>
            </w:tcMar>
          </w:tcPr>
          <w:p>
            <w:pPr>
              <w:spacing w:after="40" w:before="40"/>
              <w:jc w:val="right"/>
            </w:pPr>
            <w:r/>
            <w:r>
              <w:rPr>
                <w:rFonts w:ascii="Liberation Sans" w:hAnsi="Liberation Sans"/>
                <w:color w:val="27241B"/>
                <w:sz w:val="17"/>
              </w:rPr>
              <w:t>1</w:t>
            </w:r>
          </w:p>
        </w:tc>
        <w:tc>
          <w:tcPr>
            <w:tcW w:type="dxa" w:w="2880"/>
            <w:tcMar>
              <w:top w:w="60" w:type="dxa"/>
              <w:left w:w="110" w:type="dxa"/>
              <w:bottom w:w="60" w:type="dxa"/>
              <w:right w:w="110" w:type="dxa"/>
            </w:tcMar>
          </w:tcPr>
          <w:p>
            <w:pPr>
              <w:spacing w:after="40" w:before="40"/>
            </w:pPr>
            <w:r/>
            <w:r>
              <w:rPr>
                <w:rFonts w:ascii="Liberation Sans" w:hAnsi="Liberation Sans"/>
                <w:color w:val="27241B"/>
                <w:sz w:val="17"/>
              </w:rPr>
              <w:t>In-store</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7"/>
              </w:rPr>
              <w:t>KSh -4.54M</w:t>
            </w:r>
          </w:p>
        </w:tc>
        <w:tc>
          <w:tcPr>
            <w:tcW w:type="dxa" w:w="1440"/>
            <w:tcMar>
              <w:top w:w="60" w:type="dxa"/>
              <w:left w:w="110" w:type="dxa"/>
              <w:bottom w:w="60" w:type="dxa"/>
              <w:right w:w="110" w:type="dxa"/>
            </w:tcMar>
          </w:tcPr>
          <w:p>
            <w:pPr>
              <w:spacing w:after="40" w:before="40"/>
              <w:jc w:val="right"/>
            </w:pPr>
            <w:r/>
            <w:r>
              <w:rPr>
                <w:rFonts w:ascii="Liberation Sans" w:hAnsi="Liberation Sans"/>
                <w:color w:val="27241B"/>
                <w:sz w:val="17"/>
              </w:rPr>
              <w:t>-10.8%</w:t>
            </w:r>
          </w:p>
        </w:tc>
        <w:tc>
          <w:tcPr>
            <w:tcW w:type="dxa" w:w="1872"/>
            <w:tcMar>
              <w:top w:w="60" w:type="dxa"/>
              <w:left w:w="110" w:type="dxa"/>
              <w:bottom w:w="60" w:type="dxa"/>
              <w:right w:w="110" w:type="dxa"/>
            </w:tcMar>
          </w:tcPr>
          <w:p>
            <w:pPr>
              <w:spacing w:after="40" w:before="40"/>
              <w:jc w:val="right"/>
            </w:pPr>
            <w:r/>
            <w:r>
              <w:rPr>
                <w:rFonts w:ascii="Liberation Sans" w:hAnsi="Liberation Sans"/>
                <w:color w:val="27241B"/>
                <w:sz w:val="17"/>
              </w:rPr>
              <w:t>87.1%</w:t>
            </w:r>
          </w:p>
        </w:tc>
      </w:tr>
      <w:tr>
        <w:tc>
          <w:tcPr>
            <w:tcW w:type="dxa" w:w="86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w:t>
            </w:r>
          </w:p>
        </w:tc>
        <w:tc>
          <w:tcPr>
            <w:tcW w:type="dxa" w:w="288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Online</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-0.67M</w:t>
            </w:r>
          </w:p>
        </w:tc>
        <w:tc>
          <w:tcPr>
            <w:tcW w:type="dxa" w:w="144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-9.9%</w:t>
            </w:r>
          </w:p>
        </w:tc>
        <w:tc>
          <w:tcPr>
            <w:tcW w:type="dxa" w:w="187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12.9%</w:t>
            </w:r>
          </w:p>
        </w:tc>
      </w:tr>
    </w:tbl>
    <w:p>
      <w:pPr>
        <w:spacing w:after="0" w:before="0" w:line="240" w:lineRule="auto"/>
      </w:pPr>
      <w:r>
        <w:rPr>
          <w:sz w:val="8"/>
        </w:rPr>
      </w:r>
    </w:p>
    <w:p>
      <w:pPr>
        <w:spacing w:after="60"/>
        <w:jc w:val="center"/>
      </w:pPr>
      <w:r>
        <w:drawing>
          <wp:inline xmlns:a="http://schemas.openxmlformats.org/drawingml/2006/main" xmlns:pic="http://schemas.openxmlformats.org/drawingml/2006/picture">
            <wp:extent cx="4617720" cy="2548849"/>
            <wp:docPr id="4" name="Picture 4"/>
            <wp:cNvGraphicFramePr>
              <a:graphicFrameLocks noChangeAspect="1"/>
            </wp:cNvGraphicFramePr>
            <a:graphic>
              <a:graphicData uri="http://schemas.openxmlformats.org/drawingml/2006/picture">
                <pic:pic>
                  <pic:nvPicPr>
                    <pic:cNvPr id="0" name="03_branch_waterfall.png"/>
                    <pic:cNvPicPr/>
                  </pic:nvPicPr>
                  <pic:blipFill>
                    <a:blip r:embed="rId12"/>
                    <a:stretch>
                      <a:fillRect/>
                    </a:stretch>
                  </pic:blipFill>
                  <pic:spPr>
                    <a:xfrm>
                      <a:off x="0" y="0"/>
                      <a:ext cx="4617720" cy="2548849"/>
                    </a:xfrm>
                    <a:prstGeom prst="rect"/>
                  </pic:spPr>
                </pic:pic>
              </a:graphicData>
            </a:graphic>
          </wp:inline>
        </w:drawing>
      </w:r>
    </w:p>
    <w:p>
      <w:pPr>
        <w:spacing w:after="40"/>
        <w:jc w:val="center"/>
      </w:pPr>
      <w:r>
        <w:rPr>
          <w:rFonts w:ascii="Liberation Sans" w:hAnsi="Liberation Sans"/>
          <w:b w:val="0"/>
          <w:i/>
          <w:color w:val="27241B"/>
          <w:sz w:val="18"/>
        </w:rPr>
        <w:t>Two of six stores carry 71% of the decline.</w:t>
      </w:r>
    </w:p>
    <w:p>
      <w:pPr>
        <w:spacing w:after="200"/>
        <w:jc w:val="center"/>
      </w:pPr>
      <w:r>
        <w:rPr>
          <w:rFonts w:ascii="Liberation Sans" w:hAnsi="Liberation Sans"/>
          <w:b w:val="0"/>
          <w:i w:val="0"/>
          <w:color w:val="89877B"/>
          <w:sz w:val="16"/>
        </w:rPr>
        <w:t>Figure 3 — where the money went, by store.</w:t>
      </w:r>
    </w:p>
    <w:p>
      <w:pPr>
        <w:spacing w:after="60"/>
        <w:jc w:val="center"/>
      </w:pPr>
      <w:r>
        <w:drawing>
          <wp:inline xmlns:a="http://schemas.openxmlformats.org/drawingml/2006/main" xmlns:pic="http://schemas.openxmlformats.org/drawingml/2006/picture">
            <wp:extent cx="4617720" cy="2420478"/>
            <wp:docPr id="5" name="Picture 5"/>
            <wp:cNvGraphicFramePr>
              <a:graphicFrameLocks noChangeAspect="1"/>
            </wp:cNvGraphicFramePr>
            <a:graphic>
              <a:graphicData uri="http://schemas.openxmlformats.org/drawingml/2006/picture">
                <pic:pic>
                  <pic:nvPicPr>
                    <pic:cNvPr id="0" name="05_category_decline.png"/>
                    <pic:cNvPicPr/>
                  </pic:nvPicPr>
                  <pic:blipFill>
                    <a:blip r:embed="rId13"/>
                    <a:stretch>
                      <a:fillRect/>
                    </a:stretch>
                  </pic:blipFill>
                  <pic:spPr>
                    <a:xfrm>
                      <a:off x="0" y="0"/>
                      <a:ext cx="4617720" cy="2420478"/>
                    </a:xfrm>
                    <a:prstGeom prst="rect"/>
                  </pic:spPr>
                </pic:pic>
              </a:graphicData>
            </a:graphic>
          </wp:inline>
        </w:drawing>
      </w:r>
    </w:p>
    <w:p>
      <w:pPr>
        <w:spacing w:after="40"/>
        <w:jc w:val="center"/>
      </w:pPr>
      <w:r>
        <w:rPr>
          <w:rFonts w:ascii="Liberation Sans" w:hAnsi="Liberation Sans"/>
          <w:b w:val="0"/>
          <w:i/>
          <w:color w:val="27241B"/>
          <w:sz w:val="18"/>
        </w:rPr>
        <w:t>Groceries is the biggest absolute loss, Beverages the fastest fall. Either alone is a misleading brief.</w:t>
      </w:r>
    </w:p>
    <w:p>
      <w:pPr>
        <w:spacing w:after="200"/>
        <w:jc w:val="center"/>
      </w:pPr>
      <w:r>
        <w:rPr>
          <w:rFonts w:ascii="Liberation Sans" w:hAnsi="Liberation Sans"/>
          <w:b w:val="0"/>
          <w:i w:val="0"/>
          <w:color w:val="89877B"/>
          <w:sz w:val="16"/>
        </w:rPr>
        <w:t>Figure 4 — categories, in both KSh and %.</w:t>
      </w:r>
    </w:p>
    <w:p>
      <w:r>
        <w:br w:type="page"/>
      </w:r>
    </w:p>
    <w:p>
      <w:pPr>
        <w:spacing w:after="40"/>
      </w:pPr>
      <w:r>
        <w:rPr>
          <w:rFonts w:ascii="Liberation Sans" w:hAnsi="Liberation Sans"/>
          <w:b/>
          <w:i w:val="0"/>
          <w:color w:val="FB6107"/>
          <w:sz w:val="17"/>
        </w:rPr>
        <w:t>SECTION 7</w:t>
      </w:r>
    </w:p>
    <w:p>
      <w:pPr>
        <w:pStyle w:val="Heading1"/>
      </w:pPr>
      <w:r>
        <w:t>The intersection — which store x product x segment</w:t>
      </w:r>
    </w:p>
    <w:p>
      <w:pPr>
        <w:spacing w:after="60"/>
        <w:jc w:val="center"/>
      </w:pPr>
      <w:r>
        <w:drawing>
          <wp:inline xmlns:a="http://schemas.openxmlformats.org/drawingml/2006/main" xmlns:pic="http://schemas.openxmlformats.org/drawingml/2006/picture">
            <wp:extent cx="4617720" cy="2520615"/>
            <wp:docPr id="6" name="Picture 6"/>
            <wp:cNvGraphicFramePr>
              <a:graphicFrameLocks noChangeAspect="1"/>
            </wp:cNvGraphicFramePr>
            <a:graphic>
              <a:graphicData uri="http://schemas.openxmlformats.org/drawingml/2006/picture">
                <pic:pic>
                  <pic:nvPicPr>
                    <pic:cNvPr id="0" name="04_branch_category_heatmap.png"/>
                    <pic:cNvPicPr/>
                  </pic:nvPicPr>
                  <pic:blipFill>
                    <a:blip r:embed="rId14"/>
                    <a:stretch>
                      <a:fillRect/>
                    </a:stretch>
                  </pic:blipFill>
                  <pic:spPr>
                    <a:xfrm>
                      <a:off x="0" y="0"/>
                      <a:ext cx="4617720" cy="2520615"/>
                    </a:xfrm>
                    <a:prstGeom prst="rect"/>
                  </pic:spPr>
                </pic:pic>
              </a:graphicData>
            </a:graphic>
          </wp:inline>
        </w:drawing>
      </w:r>
    </w:p>
    <w:p>
      <w:pPr>
        <w:spacing w:after="40"/>
        <w:jc w:val="center"/>
      </w:pPr>
      <w:r>
        <w:rPr>
          <w:rFonts w:ascii="Liberation Sans" w:hAnsi="Liberation Sans"/>
          <w:b w:val="0"/>
          <w:i/>
          <w:color w:val="27241B"/>
          <w:sz w:val="18"/>
        </w:rPr>
        <w:t>The decline is concentrated, not diffuse — which is why the fix can be targeted too.</w:t>
      </w:r>
    </w:p>
    <w:p>
      <w:pPr>
        <w:spacing w:after="200"/>
        <w:jc w:val="center"/>
      </w:pPr>
      <w:r>
        <w:rPr>
          <w:rFonts w:ascii="Liberation Sans" w:hAnsi="Liberation Sans"/>
          <w:b w:val="0"/>
          <w:i w:val="0"/>
          <w:color w:val="89877B"/>
          <w:sz w:val="16"/>
        </w:rPr>
        <w:t>Figure 5 — revenue YoY % by store x category.</w:t>
      </w:r>
    </w:p>
    <w:p>
      <w:pPr>
        <w:spacing w:after="140"/>
      </w:pPr>
      <w:r>
        <w:rPr>
          <w:rFonts w:ascii="Liberation Sans" w:hAnsi="Liberation Sans"/>
          <w:b w:val="0"/>
          <w:i w:val="0"/>
          <w:color w:val="27241B"/>
          <w:sz w:val="21"/>
        </w:rPr>
        <w:t>The worst 8 cells (store x category x segment) account for 23.5% of the total decline.</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1956"/>
        <w:gridCol w:w="1956"/>
        <w:gridCol w:w="1956"/>
        <w:gridCol w:w="1956"/>
        <w:gridCol w:w="1956"/>
      </w:tblGrid>
      <w:tr>
        <w:trPr>
          <w:tblHeader w:val="true"/>
        </w:trPr>
        <w:tc>
          <w:tcPr>
            <w:tcW w:type="dxa" w:w="576"/>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w:t>
            </w:r>
          </w:p>
        </w:tc>
        <w:tc>
          <w:tcPr>
            <w:tcW w:type="dxa" w:w="4464"/>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Cell</w:t>
            </w:r>
          </w:p>
        </w:tc>
        <w:tc>
          <w:tcPr>
            <w:tcW w:type="dxa" w:w="1800"/>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Revenue change</w:t>
            </w:r>
          </w:p>
        </w:tc>
        <w:tc>
          <w:tcPr>
            <w:tcW w:type="dxa" w:w="1152"/>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YoY</w:t>
            </w:r>
          </w:p>
        </w:tc>
        <w:tc>
          <w:tcPr>
            <w:tcW w:type="dxa" w:w="122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7"/>
              </w:rPr>
              <w:t>% of group decline</w:t>
            </w:r>
          </w:p>
        </w:tc>
      </w:tr>
      <w:tr>
        <w:tc>
          <w:tcPr>
            <w:tcW w:type="dxa" w:w="576"/>
            <w:tcMar>
              <w:top w:w="60" w:type="dxa"/>
              <w:left w:w="110" w:type="dxa"/>
              <w:bottom w:w="60" w:type="dxa"/>
              <w:right w:w="110" w:type="dxa"/>
            </w:tcMar>
          </w:tcPr>
          <w:p>
            <w:pPr>
              <w:spacing w:after="40" w:before="40"/>
              <w:jc w:val="right"/>
            </w:pPr>
            <w:r/>
            <w:r>
              <w:rPr>
                <w:rFonts w:ascii="Liberation Sans" w:hAnsi="Liberation Sans"/>
                <w:color w:val="27241B"/>
                <w:sz w:val="17"/>
              </w:rPr>
              <w:t>1</w:t>
            </w:r>
          </w:p>
        </w:tc>
        <w:tc>
          <w:tcPr>
            <w:tcW w:type="dxa" w:w="4464"/>
            <w:tcMar>
              <w:top w:w="60" w:type="dxa"/>
              <w:left w:w="110" w:type="dxa"/>
              <w:bottom w:w="60" w:type="dxa"/>
              <w:right w:w="110" w:type="dxa"/>
            </w:tcMar>
          </w:tcPr>
          <w:p>
            <w:pPr>
              <w:spacing w:after="40" w:before="40"/>
            </w:pPr>
            <w:r/>
            <w:r>
              <w:rPr>
                <w:rFonts w:ascii="Liberation Sans" w:hAnsi="Liberation Sans"/>
                <w:color w:val="27241B"/>
                <w:sz w:val="17"/>
              </w:rPr>
              <w:t>Mombasa Nyali | Groceries | Regular</w:t>
            </w:r>
          </w:p>
        </w:tc>
        <w:tc>
          <w:tcPr>
            <w:tcW w:type="dxa" w:w="1800"/>
            <w:tcMar>
              <w:top w:w="60" w:type="dxa"/>
              <w:left w:w="110" w:type="dxa"/>
              <w:bottom w:w="60" w:type="dxa"/>
              <w:right w:w="110" w:type="dxa"/>
            </w:tcMar>
          </w:tcPr>
          <w:p>
            <w:pPr>
              <w:spacing w:after="40" w:before="40"/>
              <w:jc w:val="right"/>
            </w:pPr>
            <w:r/>
            <w:r>
              <w:rPr>
                <w:rFonts w:ascii="Liberation Sans" w:hAnsi="Liberation Sans"/>
                <w:color w:val="27241B"/>
                <w:sz w:val="17"/>
              </w:rPr>
              <w:t>KSh -0.28M</w:t>
            </w:r>
          </w:p>
        </w:tc>
        <w:tc>
          <w:tcPr>
            <w:tcW w:type="dxa" w:w="1152"/>
            <w:tcMar>
              <w:top w:w="60" w:type="dxa"/>
              <w:left w:w="110" w:type="dxa"/>
              <w:bottom w:w="60" w:type="dxa"/>
              <w:right w:w="110" w:type="dxa"/>
            </w:tcMar>
          </w:tcPr>
          <w:p>
            <w:pPr>
              <w:spacing w:after="40" w:before="40"/>
              <w:jc w:val="right"/>
            </w:pPr>
            <w:r/>
            <w:r>
              <w:rPr>
                <w:rFonts w:ascii="Liberation Sans" w:hAnsi="Liberation Sans"/>
                <w:color w:val="27241B"/>
                <w:sz w:val="17"/>
              </w:rPr>
              <w:t>-33.6%</w:t>
            </w:r>
          </w:p>
        </w:tc>
        <w:tc>
          <w:tcPr>
            <w:tcW w:type="dxa" w:w="1224"/>
            <w:tcMar>
              <w:top w:w="60" w:type="dxa"/>
              <w:left w:w="110" w:type="dxa"/>
              <w:bottom w:w="60" w:type="dxa"/>
              <w:right w:w="110" w:type="dxa"/>
            </w:tcMar>
          </w:tcPr>
          <w:p>
            <w:pPr>
              <w:spacing w:after="40" w:before="40"/>
              <w:jc w:val="right"/>
            </w:pPr>
            <w:r/>
            <w:r>
              <w:rPr>
                <w:rFonts w:ascii="Liberation Sans" w:hAnsi="Liberation Sans"/>
                <w:color w:val="27241B"/>
                <w:sz w:val="17"/>
              </w:rPr>
              <w:t>5.4%</w:t>
            </w:r>
          </w:p>
        </w:tc>
      </w:tr>
      <w:tr>
        <w:tc>
          <w:tcPr>
            <w:tcW w:type="dxa" w:w="576"/>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w:t>
            </w:r>
          </w:p>
        </w:tc>
        <w:tc>
          <w:tcPr>
            <w:tcW w:type="dxa" w:w="4464"/>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Mombasa Nyali | Groceries | Loyal</w:t>
            </w:r>
          </w:p>
        </w:tc>
        <w:tc>
          <w:tcPr>
            <w:tcW w:type="dxa" w:w="180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-0.23M</w:t>
            </w:r>
          </w:p>
        </w:tc>
        <w:tc>
          <w:tcPr>
            <w:tcW w:type="dxa" w:w="115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-29.6%</w:t>
            </w:r>
          </w:p>
        </w:tc>
        <w:tc>
          <w:tcPr>
            <w:tcW w:type="dxa" w:w="122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4.4%</w:t>
            </w:r>
          </w:p>
        </w:tc>
      </w:tr>
      <w:tr>
        <w:tc>
          <w:tcPr>
            <w:tcW w:type="dxa" w:w="576"/>
            <w:tcMar>
              <w:top w:w="60" w:type="dxa"/>
              <w:left w:w="110" w:type="dxa"/>
              <w:bottom w:w="60" w:type="dxa"/>
              <w:right w:w="110" w:type="dxa"/>
            </w:tcMar>
          </w:tcPr>
          <w:p>
            <w:pPr>
              <w:spacing w:after="40" w:before="40"/>
              <w:jc w:val="right"/>
            </w:pPr>
            <w:r/>
            <w:r>
              <w:rPr>
                <w:rFonts w:ascii="Liberation Sans" w:hAnsi="Liberation Sans"/>
                <w:color w:val="27241B"/>
                <w:sz w:val="17"/>
              </w:rPr>
              <w:t>3</w:t>
            </w:r>
          </w:p>
        </w:tc>
        <w:tc>
          <w:tcPr>
            <w:tcW w:type="dxa" w:w="4464"/>
            <w:tcMar>
              <w:top w:w="60" w:type="dxa"/>
              <w:left w:w="110" w:type="dxa"/>
              <w:bottom w:w="60" w:type="dxa"/>
              <w:right w:w="110" w:type="dxa"/>
            </w:tcMar>
          </w:tcPr>
          <w:p>
            <w:pPr>
              <w:spacing w:after="40" w:before="40"/>
            </w:pPr>
            <w:r/>
            <w:r>
              <w:rPr>
                <w:rFonts w:ascii="Liberation Sans" w:hAnsi="Liberation Sans"/>
                <w:color w:val="27241B"/>
                <w:sz w:val="17"/>
              </w:rPr>
              <w:t>Mombasa Nyali | Personal Care | Regular</w:t>
            </w:r>
          </w:p>
        </w:tc>
        <w:tc>
          <w:tcPr>
            <w:tcW w:type="dxa" w:w="1800"/>
            <w:tcMar>
              <w:top w:w="60" w:type="dxa"/>
              <w:left w:w="110" w:type="dxa"/>
              <w:bottom w:w="60" w:type="dxa"/>
              <w:right w:w="110" w:type="dxa"/>
            </w:tcMar>
          </w:tcPr>
          <w:p>
            <w:pPr>
              <w:spacing w:after="40" w:before="40"/>
              <w:jc w:val="right"/>
            </w:pPr>
            <w:r/>
            <w:r>
              <w:rPr>
                <w:rFonts w:ascii="Liberation Sans" w:hAnsi="Liberation Sans"/>
                <w:color w:val="27241B"/>
                <w:sz w:val="17"/>
              </w:rPr>
              <w:t>KSh -0.22M</w:t>
            </w:r>
          </w:p>
        </w:tc>
        <w:tc>
          <w:tcPr>
            <w:tcW w:type="dxa" w:w="1152"/>
            <w:tcMar>
              <w:top w:w="60" w:type="dxa"/>
              <w:left w:w="110" w:type="dxa"/>
              <w:bottom w:w="60" w:type="dxa"/>
              <w:right w:w="110" w:type="dxa"/>
            </w:tcMar>
          </w:tcPr>
          <w:p>
            <w:pPr>
              <w:spacing w:after="40" w:before="40"/>
              <w:jc w:val="right"/>
            </w:pPr>
            <w:r/>
            <w:r>
              <w:rPr>
                <w:rFonts w:ascii="Liberation Sans" w:hAnsi="Liberation Sans"/>
                <w:color w:val="27241B"/>
                <w:sz w:val="17"/>
              </w:rPr>
              <w:t>-41.1%</w:t>
            </w:r>
          </w:p>
        </w:tc>
        <w:tc>
          <w:tcPr>
            <w:tcW w:type="dxa" w:w="1224"/>
            <w:tcMar>
              <w:top w:w="60" w:type="dxa"/>
              <w:left w:w="110" w:type="dxa"/>
              <w:bottom w:w="60" w:type="dxa"/>
              <w:right w:w="110" w:type="dxa"/>
            </w:tcMar>
          </w:tcPr>
          <w:p>
            <w:pPr>
              <w:spacing w:after="40" w:before="40"/>
              <w:jc w:val="right"/>
            </w:pPr>
            <w:r/>
            <w:r>
              <w:rPr>
                <w:rFonts w:ascii="Liberation Sans" w:hAnsi="Liberation Sans"/>
                <w:color w:val="27241B"/>
                <w:sz w:val="17"/>
              </w:rPr>
              <w:t>4.2%</w:t>
            </w:r>
          </w:p>
        </w:tc>
      </w:tr>
      <w:tr>
        <w:tc>
          <w:tcPr>
            <w:tcW w:type="dxa" w:w="576"/>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4</w:t>
            </w:r>
          </w:p>
        </w:tc>
        <w:tc>
          <w:tcPr>
            <w:tcW w:type="dxa" w:w="4464"/>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Mombasa Nyali | Baby &amp; Kids | Loyal</w:t>
            </w:r>
          </w:p>
        </w:tc>
        <w:tc>
          <w:tcPr>
            <w:tcW w:type="dxa" w:w="180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-0.21M</w:t>
            </w:r>
          </w:p>
        </w:tc>
        <w:tc>
          <w:tcPr>
            <w:tcW w:type="dxa" w:w="115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-42.0%</w:t>
            </w:r>
          </w:p>
        </w:tc>
        <w:tc>
          <w:tcPr>
            <w:tcW w:type="dxa" w:w="122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4.0%</w:t>
            </w:r>
          </w:p>
        </w:tc>
      </w:tr>
      <w:tr>
        <w:tc>
          <w:tcPr>
            <w:tcW w:type="dxa" w:w="576"/>
            <w:tcMar>
              <w:top w:w="60" w:type="dxa"/>
              <w:left w:w="110" w:type="dxa"/>
              <w:bottom w:w="60" w:type="dxa"/>
              <w:right w:w="110" w:type="dxa"/>
            </w:tcMar>
          </w:tcPr>
          <w:p>
            <w:pPr>
              <w:spacing w:after="40" w:before="40"/>
              <w:jc w:val="right"/>
            </w:pPr>
            <w:r/>
            <w:r>
              <w:rPr>
                <w:rFonts w:ascii="Liberation Sans" w:hAnsi="Liberation Sans"/>
                <w:color w:val="27241B"/>
                <w:sz w:val="17"/>
              </w:rPr>
              <w:t>5</w:t>
            </w:r>
          </w:p>
        </w:tc>
        <w:tc>
          <w:tcPr>
            <w:tcW w:type="dxa" w:w="4464"/>
            <w:tcMar>
              <w:top w:w="60" w:type="dxa"/>
              <w:left w:w="110" w:type="dxa"/>
              <w:bottom w:w="60" w:type="dxa"/>
              <w:right w:w="110" w:type="dxa"/>
            </w:tcMar>
          </w:tcPr>
          <w:p>
            <w:pPr>
              <w:spacing w:after="40" w:before="40"/>
            </w:pPr>
            <w:r/>
            <w:r>
              <w:rPr>
                <w:rFonts w:ascii="Liberation Sans" w:hAnsi="Liberation Sans"/>
                <w:color w:val="27241B"/>
                <w:sz w:val="17"/>
              </w:rPr>
              <w:t>Mombasa Nyali | Personal Care | Loyal</w:t>
            </w:r>
          </w:p>
        </w:tc>
        <w:tc>
          <w:tcPr>
            <w:tcW w:type="dxa" w:w="1800"/>
            <w:tcMar>
              <w:top w:w="60" w:type="dxa"/>
              <w:left w:w="110" w:type="dxa"/>
              <w:bottom w:w="60" w:type="dxa"/>
              <w:right w:w="110" w:type="dxa"/>
            </w:tcMar>
          </w:tcPr>
          <w:p>
            <w:pPr>
              <w:spacing w:after="40" w:before="40"/>
              <w:jc w:val="right"/>
            </w:pPr>
            <w:r/>
            <w:r>
              <w:rPr>
                <w:rFonts w:ascii="Liberation Sans" w:hAnsi="Liberation Sans"/>
                <w:color w:val="27241B"/>
                <w:sz w:val="17"/>
              </w:rPr>
              <w:t>KSh -0.19M</w:t>
            </w:r>
          </w:p>
        </w:tc>
        <w:tc>
          <w:tcPr>
            <w:tcW w:type="dxa" w:w="1152"/>
            <w:tcMar>
              <w:top w:w="60" w:type="dxa"/>
              <w:left w:w="110" w:type="dxa"/>
              <w:bottom w:w="60" w:type="dxa"/>
              <w:right w:w="110" w:type="dxa"/>
            </w:tcMar>
          </w:tcPr>
          <w:p>
            <w:pPr>
              <w:spacing w:after="40" w:before="40"/>
              <w:jc w:val="right"/>
            </w:pPr>
            <w:r/>
            <w:r>
              <w:rPr>
                <w:rFonts w:ascii="Liberation Sans" w:hAnsi="Liberation Sans"/>
                <w:color w:val="27241B"/>
                <w:sz w:val="17"/>
              </w:rPr>
              <w:t>-35.9%</w:t>
            </w:r>
          </w:p>
        </w:tc>
        <w:tc>
          <w:tcPr>
            <w:tcW w:type="dxa" w:w="1224"/>
            <w:tcMar>
              <w:top w:w="60" w:type="dxa"/>
              <w:left w:w="110" w:type="dxa"/>
              <w:bottom w:w="60" w:type="dxa"/>
              <w:right w:w="110" w:type="dxa"/>
            </w:tcMar>
          </w:tcPr>
          <w:p>
            <w:pPr>
              <w:spacing w:after="40" w:before="40"/>
              <w:jc w:val="right"/>
            </w:pPr>
            <w:r/>
            <w:r>
              <w:rPr>
                <w:rFonts w:ascii="Liberation Sans" w:hAnsi="Liberation Sans"/>
                <w:color w:val="27241B"/>
                <w:sz w:val="17"/>
              </w:rPr>
              <w:t>3.6%</w:t>
            </w:r>
          </w:p>
        </w:tc>
      </w:tr>
      <w:tr>
        <w:tc>
          <w:tcPr>
            <w:tcW w:type="dxa" w:w="576"/>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6</w:t>
            </w:r>
          </w:p>
        </w:tc>
        <w:tc>
          <w:tcPr>
            <w:tcW w:type="dxa" w:w="4464"/>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Mombasa Nyali | Baby &amp; Kids | Regular</w:t>
            </w:r>
          </w:p>
        </w:tc>
        <w:tc>
          <w:tcPr>
            <w:tcW w:type="dxa" w:w="180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-0.17M</w:t>
            </w:r>
          </w:p>
        </w:tc>
        <w:tc>
          <w:tcPr>
            <w:tcW w:type="dxa" w:w="115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-34.8%</w:t>
            </w:r>
          </w:p>
        </w:tc>
        <w:tc>
          <w:tcPr>
            <w:tcW w:type="dxa" w:w="122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3.3%</w:t>
            </w:r>
          </w:p>
        </w:tc>
      </w:tr>
      <w:tr>
        <w:tc>
          <w:tcPr>
            <w:tcW w:type="dxa" w:w="576"/>
            <w:tcMar>
              <w:top w:w="60" w:type="dxa"/>
              <w:left w:w="110" w:type="dxa"/>
              <w:bottom w:w="60" w:type="dxa"/>
              <w:right w:w="110" w:type="dxa"/>
            </w:tcMar>
          </w:tcPr>
          <w:p>
            <w:pPr>
              <w:spacing w:after="40" w:before="40"/>
              <w:jc w:val="right"/>
            </w:pPr>
            <w:r/>
            <w:r>
              <w:rPr>
                <w:rFonts w:ascii="Liberation Sans" w:hAnsi="Liberation Sans"/>
                <w:color w:val="27241B"/>
                <w:sz w:val="17"/>
              </w:rPr>
              <w:t>7</w:t>
            </w:r>
          </w:p>
        </w:tc>
        <w:tc>
          <w:tcPr>
            <w:tcW w:type="dxa" w:w="4464"/>
            <w:tcMar>
              <w:top w:w="60" w:type="dxa"/>
              <w:left w:w="110" w:type="dxa"/>
              <w:bottom w:w="60" w:type="dxa"/>
              <w:right w:w="110" w:type="dxa"/>
            </w:tcMar>
          </w:tcPr>
          <w:p>
            <w:pPr>
              <w:spacing w:after="40" w:before="40"/>
            </w:pPr>
            <w:r/>
            <w:r>
              <w:rPr>
                <w:rFonts w:ascii="Liberation Sans" w:hAnsi="Liberation Sans"/>
                <w:color w:val="27241B"/>
                <w:sz w:val="17"/>
              </w:rPr>
              <w:t>Thika Road | Personal Care | Loyal</w:t>
            </w:r>
          </w:p>
        </w:tc>
        <w:tc>
          <w:tcPr>
            <w:tcW w:type="dxa" w:w="1800"/>
            <w:tcMar>
              <w:top w:w="60" w:type="dxa"/>
              <w:left w:w="110" w:type="dxa"/>
              <w:bottom w:w="60" w:type="dxa"/>
              <w:right w:w="110" w:type="dxa"/>
            </w:tcMar>
          </w:tcPr>
          <w:p>
            <w:pPr>
              <w:spacing w:after="40" w:before="40"/>
              <w:jc w:val="right"/>
            </w:pPr>
            <w:r/>
            <w:r>
              <w:rPr>
                <w:rFonts w:ascii="Liberation Sans" w:hAnsi="Liberation Sans"/>
                <w:color w:val="27241B"/>
                <w:sz w:val="17"/>
              </w:rPr>
              <w:t>KSh -0.17M</w:t>
            </w:r>
          </w:p>
        </w:tc>
        <w:tc>
          <w:tcPr>
            <w:tcW w:type="dxa" w:w="1152"/>
            <w:tcMar>
              <w:top w:w="60" w:type="dxa"/>
              <w:left w:w="110" w:type="dxa"/>
              <w:bottom w:w="60" w:type="dxa"/>
              <w:right w:w="110" w:type="dxa"/>
            </w:tcMar>
          </w:tcPr>
          <w:p>
            <w:pPr>
              <w:spacing w:after="40" w:before="40"/>
              <w:jc w:val="right"/>
            </w:pPr>
            <w:r/>
            <w:r>
              <w:rPr>
                <w:rFonts w:ascii="Liberation Sans" w:hAnsi="Liberation Sans"/>
                <w:color w:val="27241B"/>
                <w:sz w:val="17"/>
              </w:rPr>
              <w:t>-30.9%</w:t>
            </w:r>
          </w:p>
        </w:tc>
        <w:tc>
          <w:tcPr>
            <w:tcW w:type="dxa" w:w="1224"/>
            <w:tcMar>
              <w:top w:w="60" w:type="dxa"/>
              <w:left w:w="110" w:type="dxa"/>
              <w:bottom w:w="60" w:type="dxa"/>
              <w:right w:w="110" w:type="dxa"/>
            </w:tcMar>
          </w:tcPr>
          <w:p>
            <w:pPr>
              <w:spacing w:after="40" w:before="40"/>
              <w:jc w:val="right"/>
            </w:pPr>
            <w:r/>
            <w:r>
              <w:rPr>
                <w:rFonts w:ascii="Liberation Sans" w:hAnsi="Liberation Sans"/>
                <w:color w:val="27241B"/>
                <w:sz w:val="17"/>
              </w:rPr>
              <w:t>3.3%</w:t>
            </w:r>
          </w:p>
        </w:tc>
      </w:tr>
      <w:tr>
        <w:tc>
          <w:tcPr>
            <w:tcW w:type="dxa" w:w="576"/>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8</w:t>
            </w:r>
          </w:p>
        </w:tc>
        <w:tc>
          <w:tcPr>
            <w:tcW w:type="dxa" w:w="4464"/>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Mombasa Nyali | Household &amp; Cleaning | Regular</w:t>
            </w:r>
          </w:p>
        </w:tc>
        <w:tc>
          <w:tcPr>
            <w:tcW w:type="dxa" w:w="180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KSh -0.17M</w:t>
            </w:r>
          </w:p>
        </w:tc>
        <w:tc>
          <w:tcPr>
            <w:tcW w:type="dxa" w:w="115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-37.0%</w:t>
            </w:r>
          </w:p>
        </w:tc>
        <w:tc>
          <w:tcPr>
            <w:tcW w:type="dxa" w:w="122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7"/>
              </w:rPr>
              <w:t>3.2%</w:t>
            </w:r>
          </w:p>
        </w:tc>
      </w:tr>
    </w:tbl>
    <w:p>
      <w:pPr>
        <w:spacing w:after="0" w:before="0" w:line="240" w:lineRule="auto"/>
      </w:pPr>
      <w:r>
        <w:rPr>
          <w:sz w:val="8"/>
        </w:rPr>
      </w:r>
    </w:p>
    <w:tbl>
      <w:tblPr>
        <w:tblW w:type="auto" w:w="0"/>
        <w:tblLayout w:type="fixed"/>
        <w:tblLook w:firstColumn="1" w:firstRow="1" w:lastColumn="0" w:lastRow="0" w:noHBand="0" w:noVBand="1" w:val="04A0"/>
        <w:tblBorders>
          <w:top w:val="single" w:sz="10" w:space="0" w:color="FB6107"/>
          <w:left w:val="single" w:sz="10" w:space="0" w:color="FB6107"/>
          <w:bottom w:val="single" w:sz="10" w:space="0" w:color="FB6107"/>
          <w:right w:val="single" w:sz="10" w:space="0" w:color="FB6107"/>
          <w:insideH w:val="single" w:sz="10" w:space="0" w:color="FB6107"/>
          <w:insideV w:val="single" w:sz="10" w:space="0" w:color="FB6107"/>
        </w:tblBorders>
      </w:tblPr>
      <w:tblGrid>
        <w:gridCol w:w="9778"/>
      </w:tblGrid>
      <w:tr>
        <w:tc>
          <w:tcPr>
            <w:tcW w:type="dxa" w:w="9216"/>
            <w:shd w:val="clear" w:color="auto" w:fill="FFEFD5"/>
            <w:tcMar>
              <w:top w:w="120" w:type="dxa"/>
              <w:left w:w="160" w:type="dxa"/>
              <w:bottom w:w="120" w:type="dxa"/>
              <w:right w:w="160" w:type="dxa"/>
            </w:tcMar>
          </w:tcPr>
          <w:p>
            <w:pPr>
              <w:spacing w:after="60"/>
            </w:pPr>
            <w:r/>
            <w:r>
              <w:rPr>
                <w:rFonts w:ascii="Liberation Sans" w:hAnsi="Liberation Sans"/>
                <w:b/>
                <w:color w:val="FB6107"/>
                <w:sz w:val="20"/>
              </w:rPr>
              <w:t>The counter-intuitive result</w:t>
            </w:r>
          </w:p>
          <w:p>
            <w:pPr>
              <w:spacing w:after="0"/>
            </w:pPr>
            <w:r>
              <w:rPr>
                <w:rFonts w:ascii="Liberation Sans" w:hAnsi="Liberation Sans"/>
                <w:color w:val="27241B"/>
                <w:sz w:val="19"/>
              </w:rPr>
              <w:t>The single largest cell is Mombasa Nyali | Groceries | Regular — not the category that was out of stock. At Mombasa Nyali, every category fell together because the stock failure removed the reason for the trip and the whole basket shrank with it. Measuring only the affected category would have understated this event by roughly 4.8x.</w:t>
            </w:r>
          </w:p>
        </w:tc>
      </w:tr>
    </w:tbl>
    <w:p>
      <w:pPr>
        <w:spacing w:after="60"/>
        <w:jc w:val="center"/>
      </w:pPr>
      <w:r>
        <w:drawing>
          <wp:inline xmlns:a="http://schemas.openxmlformats.org/drawingml/2006/main" xmlns:pic="http://schemas.openxmlformats.org/drawingml/2006/picture">
            <wp:extent cx="4617720" cy="2239060"/>
            <wp:docPr id="7" name="Picture 7"/>
            <wp:cNvGraphicFramePr>
              <a:graphicFrameLocks noChangeAspect="1"/>
            </wp:cNvGraphicFramePr>
            <a:graphic>
              <a:graphicData uri="http://schemas.openxmlformats.org/drawingml/2006/picture">
                <pic:pic>
                  <pic:nvPicPr>
                    <pic:cNvPr id="0" name="10_driver_partition.png"/>
                    <pic:cNvPicPr/>
                  </pic:nvPicPr>
                  <pic:blipFill>
                    <a:blip r:embed="rId15"/>
                    <a:stretch>
                      <a:fillRect/>
                    </a:stretch>
                  </pic:blipFill>
                  <pic:spPr>
                    <a:xfrm>
                      <a:off x="0" y="0"/>
                      <a:ext cx="4617720" cy="2239060"/>
                    </a:xfrm>
                    <a:prstGeom prst="rect"/>
                  </pic:spPr>
                </pic:pic>
              </a:graphicData>
            </a:graphic>
          </wp:inline>
        </w:drawing>
      </w:r>
    </w:p>
    <w:p>
      <w:pPr>
        <w:spacing w:after="40"/>
        <w:jc w:val="center"/>
      </w:pPr>
      <w:r>
        <w:rPr>
          <w:rFonts w:ascii="Liberation Sans" w:hAnsi="Liberation Sans"/>
          <w:b w:val="0"/>
          <w:i/>
          <w:color w:val="27241B"/>
          <w:sz w:val="18"/>
        </w:rPr>
        <w:t>Each cell is assigned to exactly one owner, so there is no double counting.</w:t>
      </w:r>
    </w:p>
    <w:p>
      <w:pPr>
        <w:spacing w:after="200"/>
        <w:jc w:val="center"/>
      </w:pPr>
      <w:r>
        <w:rPr>
          <w:rFonts w:ascii="Liberation Sans" w:hAnsi="Liberation Sans"/>
          <w:b w:val="0"/>
          <w:i w:val="0"/>
          <w:color w:val="89877B"/>
          <w:sz w:val="16"/>
        </w:rPr>
        <w:t>Figure 6 — four ranked, owned problems (disjoint; sums to the whole decline).</w:t>
      </w:r>
    </w:p>
    <w:p>
      <w:r>
        <w:br w:type="page"/>
      </w:r>
    </w:p>
    <w:p>
      <w:pPr>
        <w:spacing w:after="40"/>
      </w:pPr>
      <w:r>
        <w:rPr>
          <w:rFonts w:ascii="Liberation Sans" w:hAnsi="Liberation Sans"/>
          <w:b/>
          <w:i w:val="0"/>
          <w:color w:val="FB6107"/>
          <w:sz w:val="17"/>
        </w:rPr>
        <w:t>SECTION 8</w:t>
      </w:r>
    </w:p>
    <w:p>
      <w:pPr>
        <w:pStyle w:val="Heading1"/>
      </w:pPr>
      <w:r>
        <w:t>Segments and retention</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4889"/>
        <w:gridCol w:w="4889"/>
      </w:tblGrid>
      <w:tr>
        <w:trPr>
          <w:tblHeader w:val="true"/>
        </w:trPr>
        <w:tc>
          <w:tcPr>
            <w:tcW w:type="dxa" w:w="4320"/>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t>Cohort metric</w:t>
            </w:r>
          </w:p>
        </w:tc>
        <w:tc>
          <w:tcPr>
            <w:tcW w:type="dxa" w:w="4608"/>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Value</w:t>
            </w:r>
          </w:p>
        </w:tc>
      </w:tr>
      <w:tr>
        <w:tc>
          <w:tcPr>
            <w:tcW w:type="dxa" w:w="4320"/>
            <w:tcMar>
              <w:top w:w="60" w:type="dxa"/>
              <w:left w:w="110" w:type="dxa"/>
              <w:bottom w:w="60" w:type="dxa"/>
              <w:right w:w="110" w:type="dxa"/>
            </w:tcMar>
          </w:tcPr>
          <w:p>
            <w:pPr>
              <w:spacing w:after="40" w:before="40"/>
            </w:pPr>
            <w:r/>
            <w:r>
              <w:rPr>
                <w:rFonts w:ascii="Liberation Sans" w:hAnsi="Liberation Sans"/>
                <w:color w:val="27241B"/>
                <w:sz w:val="18"/>
              </w:rPr>
              <w:t>Q3 2025 customers</w:t>
            </w:r>
          </w:p>
        </w:tc>
        <w:tc>
          <w:tcPr>
            <w:tcW w:type="dxa" w:w="4608"/>
            <w:tcMar>
              <w:top w:w="60" w:type="dxa"/>
              <w:left w:w="110" w:type="dxa"/>
              <w:bottom w:w="60" w:type="dxa"/>
              <w:right w:w="110" w:type="dxa"/>
            </w:tcMar>
          </w:tcPr>
          <w:p>
            <w:pPr>
              <w:spacing w:after="40" w:before="40"/>
              <w:jc w:val="right"/>
            </w:pPr>
            <w:r/>
            <w:r>
              <w:rPr>
                <w:rFonts w:ascii="Liberation Sans" w:hAnsi="Liberation Sans"/>
                <w:color w:val="27241B"/>
                <w:sz w:val="18"/>
              </w:rPr>
              <w:t>5,265</w:t>
            </w:r>
          </w:p>
        </w:tc>
      </w:tr>
      <w:tr>
        <w:tc>
          <w:tcPr>
            <w:tcW w:type="dxa" w:w="4320"/>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Returned in Q3 2026</w:t>
            </w:r>
          </w:p>
        </w:tc>
        <w:tc>
          <w:tcPr>
            <w:tcW w:type="dxa" w:w="4608"/>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4,410  (83.8%)</w:t>
            </w:r>
          </w:p>
        </w:tc>
      </w:tr>
      <w:tr>
        <w:tc>
          <w:tcPr>
            <w:tcW w:type="dxa" w:w="4320"/>
            <w:tcMar>
              <w:top w:w="60" w:type="dxa"/>
              <w:left w:w="110" w:type="dxa"/>
              <w:bottom w:w="60" w:type="dxa"/>
              <w:right w:w="110" w:type="dxa"/>
            </w:tcMar>
          </w:tcPr>
          <w:p>
            <w:pPr>
              <w:spacing w:after="40" w:before="40"/>
            </w:pPr>
            <w:r/>
            <w:r>
              <w:rPr>
                <w:rFonts w:ascii="Liberation Sans" w:hAnsi="Liberation Sans"/>
                <w:color w:val="27241B"/>
                <w:sz w:val="18"/>
              </w:rPr>
              <w:t>Lapsed</w:t>
            </w:r>
          </w:p>
        </w:tc>
        <w:tc>
          <w:tcPr>
            <w:tcW w:type="dxa" w:w="4608"/>
            <w:tcMar>
              <w:top w:w="60" w:type="dxa"/>
              <w:left w:w="110" w:type="dxa"/>
              <w:bottom w:w="60" w:type="dxa"/>
              <w:right w:w="110" w:type="dxa"/>
            </w:tcMar>
          </w:tcPr>
          <w:p>
            <w:pPr>
              <w:spacing w:after="40" w:before="40"/>
              <w:jc w:val="right"/>
            </w:pPr>
            <w:r/>
            <w:r>
              <w:rPr>
                <w:rFonts w:ascii="Liberation Sans" w:hAnsi="Liberation Sans"/>
                <w:color w:val="27241B"/>
                <w:sz w:val="18"/>
              </w:rPr>
              <w:t>855</w:t>
            </w:r>
          </w:p>
        </w:tc>
      </w:tr>
      <w:tr>
        <w:tc>
          <w:tcPr>
            <w:tcW w:type="dxa" w:w="4320"/>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New customers acquired</w:t>
            </w:r>
          </w:p>
        </w:tc>
        <w:tc>
          <w:tcPr>
            <w:tcW w:type="dxa" w:w="4608"/>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1,145</w:t>
            </w:r>
          </w:p>
        </w:tc>
      </w:tr>
    </w:tbl>
    <w:p>
      <w:pPr>
        <w:spacing w:after="0" w:before="0" w:line="240" w:lineRule="auto"/>
      </w:pPr>
      <w:r>
        <w:rPr>
          <w:sz w:val="8"/>
        </w:rPr>
      </w:r>
    </w:p>
    <w:p>
      <w:pPr>
        <w:spacing w:after="60"/>
        <w:jc w:val="center"/>
      </w:pPr>
      <w:r>
        <w:drawing>
          <wp:inline xmlns:a="http://schemas.openxmlformats.org/drawingml/2006/main" xmlns:pic="http://schemas.openxmlformats.org/drawingml/2006/picture">
            <wp:extent cx="4617720" cy="2824702"/>
            <wp:docPr id="8" name="Picture 8"/>
            <wp:cNvGraphicFramePr>
              <a:graphicFrameLocks noChangeAspect="1"/>
            </wp:cNvGraphicFramePr>
            <a:graphic>
              <a:graphicData uri="http://schemas.openxmlformats.org/drawingml/2006/picture">
                <pic:pic>
                  <pic:nvPicPr>
                    <pic:cNvPr id="0" name="06_segment_waterfall.png"/>
                    <pic:cNvPicPr/>
                  </pic:nvPicPr>
                  <pic:blipFill>
                    <a:blip r:embed="rId16"/>
                    <a:stretch>
                      <a:fillRect/>
                    </a:stretch>
                  </pic:blipFill>
                  <pic:spPr>
                    <a:xfrm>
                      <a:off x="0" y="0"/>
                      <a:ext cx="4617720" cy="2824702"/>
                    </a:xfrm>
                    <a:prstGeom prst="rect"/>
                  </pic:spPr>
                </pic:pic>
              </a:graphicData>
            </a:graphic>
          </wp:inline>
        </w:drawing>
      </w:r>
    </w:p>
    <w:p>
      <w:pPr>
        <w:spacing w:after="40"/>
        <w:jc w:val="center"/>
      </w:pPr>
      <w:r>
        <w:rPr>
          <w:rFonts w:ascii="Liberation Sans" w:hAnsi="Liberation Sans"/>
          <w:b w:val="0"/>
          <w:i/>
          <w:color w:val="27241B"/>
          <w:sz w:val="18"/>
        </w:rPr>
        <w:t>Buying growth is not a strategy while the existing base contracts.</w:t>
      </w:r>
    </w:p>
    <w:p>
      <w:pPr>
        <w:spacing w:after="200"/>
        <w:jc w:val="center"/>
      </w:pPr>
      <w:r>
        <w:rPr>
          <w:rFonts w:ascii="Liberation Sans" w:hAnsi="Liberation Sans"/>
          <w:b w:val="0"/>
          <w:i w:val="0"/>
          <w:color w:val="89877B"/>
          <w:sz w:val="16"/>
        </w:rPr>
        <w:t>Figure 7 — every established segment shrank except the customers we bought.</w:t>
      </w:r>
    </w:p>
    <w:p>
      <w:pPr>
        <w:spacing w:after="60"/>
        <w:jc w:val="center"/>
      </w:pPr>
      <w:r>
        <w:drawing>
          <wp:inline xmlns:a="http://schemas.openxmlformats.org/drawingml/2006/main" xmlns:pic="http://schemas.openxmlformats.org/drawingml/2006/picture">
            <wp:extent cx="4617720" cy="2688466"/>
            <wp:docPr id="9" name="Picture 9"/>
            <wp:cNvGraphicFramePr>
              <a:graphicFrameLocks noChangeAspect="1"/>
            </wp:cNvGraphicFramePr>
            <a:graphic>
              <a:graphicData uri="http://schemas.openxmlformats.org/drawingml/2006/picture">
                <pic:pic>
                  <pic:nvPicPr>
                    <pic:cNvPr id="0" name="07_cohort_retention.png"/>
                    <pic:cNvPicPr/>
                  </pic:nvPicPr>
                  <pic:blipFill>
                    <a:blip r:embed="rId17"/>
                    <a:stretch>
                      <a:fillRect/>
                    </a:stretch>
                  </pic:blipFill>
                  <pic:spPr>
                    <a:xfrm>
                      <a:off x="0" y="0"/>
                      <a:ext cx="4617720" cy="2688466"/>
                    </a:xfrm>
                    <a:prstGeom prst="rect"/>
                  </pic:spPr>
                </pic:pic>
              </a:graphicData>
            </a:graphic>
          </wp:inline>
        </w:drawing>
      </w:r>
    </w:p>
    <w:p>
      <w:pPr>
        <w:spacing w:after="40"/>
        <w:jc w:val="center"/>
      </w:pPr>
      <w:r>
        <w:rPr>
          <w:rFonts w:ascii="Liberation Sans" w:hAnsi="Liberation Sans"/>
          <w:b w:val="0"/>
          <w:i/>
          <w:color w:val="27241B"/>
          <w:sz w:val="18"/>
        </w:rPr>
        <w:t>Retention is healthy where it matters. The leak is trip frequency, not churn.</w:t>
      </w:r>
    </w:p>
    <w:p>
      <w:pPr>
        <w:spacing w:after="200"/>
        <w:jc w:val="center"/>
      </w:pPr>
      <w:r>
        <w:rPr>
          <w:rFonts w:ascii="Liberation Sans" w:hAnsi="Liberation Sans"/>
          <w:b w:val="0"/>
          <w:i w:val="0"/>
          <w:color w:val="89877B"/>
          <w:sz w:val="16"/>
        </w:rPr>
        <w:t>Figure 8 — return rate by base-quarter segment.</w:t>
      </w:r>
    </w:p>
    <w:p>
      <w:pPr>
        <w:spacing w:after="40"/>
      </w:pPr>
      <w:r>
        <w:rPr>
          <w:rFonts w:ascii="Liberation Sans" w:hAnsi="Liberation Sans"/>
          <w:b/>
          <w:i w:val="0"/>
          <w:color w:val="FB6107"/>
          <w:sz w:val="17"/>
        </w:rPr>
        <w:t>SECTION 9</w:t>
      </w:r>
    </w:p>
    <w:p>
      <w:pPr>
        <w:pStyle w:val="Heading1"/>
      </w:pPr>
      <w:r>
        <w:t>The supply event, with dates</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4889"/>
        <w:gridCol w:w="4889"/>
      </w:tblGrid>
      <w:tr>
        <w:trPr>
          <w:tblHeader w:val="true"/>
        </w:trPr>
        <w:tc>
          <w:tcPr>
            <w:tcW w:type="dxa" w:w="5184"/>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r>
          </w:p>
        </w:tc>
        <w:tc>
          <w:tcPr>
            <w:tcW w:type="dxa" w:w="374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Value</w:t>
            </w:r>
          </w:p>
        </w:tc>
      </w:tr>
      <w:tr>
        <w:tc>
          <w:tcPr>
            <w:tcW w:type="dxa" w:w="5184"/>
            <w:tcMar>
              <w:top w:w="60" w:type="dxa"/>
              <w:left w:w="110" w:type="dxa"/>
              <w:bottom w:w="60" w:type="dxa"/>
              <w:right w:w="110" w:type="dxa"/>
            </w:tcMar>
          </w:tcPr>
          <w:p>
            <w:pPr>
              <w:spacing w:after="40" w:before="40"/>
            </w:pPr>
            <w:r/>
            <w:r>
              <w:rPr>
                <w:rFonts w:ascii="Liberation Sans" w:hAnsi="Liberation Sans"/>
                <w:color w:val="27241B"/>
                <w:sz w:val="18"/>
              </w:rPr>
              <w:t>Store</w:t>
            </w:r>
          </w:p>
        </w:tc>
        <w:tc>
          <w:tcPr>
            <w:tcW w:type="dxa" w:w="3744"/>
            <w:tcMar>
              <w:top w:w="60" w:type="dxa"/>
              <w:left w:w="110" w:type="dxa"/>
              <w:bottom w:w="60" w:type="dxa"/>
              <w:right w:w="110" w:type="dxa"/>
            </w:tcMar>
          </w:tcPr>
          <w:p>
            <w:pPr>
              <w:spacing w:after="40" w:before="40"/>
              <w:jc w:val="right"/>
            </w:pPr>
            <w:r/>
            <w:r>
              <w:rPr>
                <w:rFonts w:ascii="Liberation Sans" w:hAnsi="Liberation Sans"/>
                <w:color w:val="27241B"/>
                <w:sz w:val="18"/>
              </w:rPr>
              <w:t>Mombasa Nyali</w:t>
            </w:r>
          </w:p>
        </w:tc>
      </w:tr>
      <w:tr>
        <w:tc>
          <w:tcPr>
            <w:tcW w:type="dxa" w:w="518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Hero SKUs</w:t>
            </w:r>
          </w:p>
        </w:tc>
        <w:tc>
          <w:tcPr>
            <w:tcW w:type="dxa" w:w="37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Bath Soap 800g</w:t>
            </w:r>
          </w:p>
        </w:tc>
      </w:tr>
      <w:tr>
        <w:tc>
          <w:tcPr>
            <w:tcW w:type="dxa" w:w="5184"/>
            <w:tcMar>
              <w:top w:w="60" w:type="dxa"/>
              <w:left w:w="110" w:type="dxa"/>
              <w:bottom w:w="60" w:type="dxa"/>
              <w:right w:w="110" w:type="dxa"/>
            </w:tcMar>
          </w:tcPr>
          <w:p>
            <w:pPr>
              <w:spacing w:after="40" w:before="40"/>
            </w:pPr>
            <w:r/>
            <w:r>
              <w:rPr>
                <w:rFonts w:ascii="Liberation Sans" w:hAnsi="Liberation Sans"/>
                <w:color w:val="27241B"/>
                <w:sz w:val="18"/>
              </w:rPr>
              <w:t>Shelf availability in the incident window</w:t>
            </w:r>
          </w:p>
        </w:tc>
        <w:tc>
          <w:tcPr>
            <w:tcW w:type="dxa" w:w="3744"/>
            <w:tcMar>
              <w:top w:w="60" w:type="dxa"/>
              <w:left w:w="110" w:type="dxa"/>
              <w:bottom w:w="60" w:type="dxa"/>
              <w:right w:w="110" w:type="dxa"/>
            </w:tcMar>
          </w:tcPr>
          <w:p>
            <w:pPr>
              <w:spacing w:after="40" w:before="40"/>
              <w:jc w:val="right"/>
            </w:pPr>
            <w:r/>
            <w:r>
              <w:rPr>
                <w:rFonts w:ascii="Liberation Sans" w:hAnsi="Liberation Sans"/>
                <w:color w:val="27241B"/>
                <w:sz w:val="18"/>
              </w:rPr>
              <w:t>9.5%</w:t>
            </w:r>
          </w:p>
        </w:tc>
      </w:tr>
      <w:tr>
        <w:tc>
          <w:tcPr>
            <w:tcW w:type="dxa" w:w="518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Days out of stock</w:t>
            </w:r>
          </w:p>
        </w:tc>
        <w:tc>
          <w:tcPr>
            <w:tcW w:type="dxa" w:w="37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76</w:t>
            </w:r>
          </w:p>
        </w:tc>
      </w:tr>
      <w:tr>
        <w:tc>
          <w:tcPr>
            <w:tcW w:type="dxa" w:w="5184"/>
            <w:tcMar>
              <w:top w:w="60" w:type="dxa"/>
              <w:left w:w="110" w:type="dxa"/>
              <w:bottom w:w="60" w:type="dxa"/>
              <w:right w:w="110" w:type="dxa"/>
            </w:tcMar>
          </w:tcPr>
          <w:p>
            <w:pPr>
              <w:spacing w:after="40" w:before="40"/>
            </w:pPr>
            <w:r/>
            <w:r>
              <w:rPr>
                <w:rFonts w:ascii="Liberation Sans" w:hAnsi="Liberation Sans"/>
                <w:color w:val="27241B"/>
                <w:sz w:val="18"/>
              </w:rPr>
              <w:t>Total cost attributed</w:t>
            </w:r>
          </w:p>
        </w:tc>
        <w:tc>
          <w:tcPr>
            <w:tcW w:type="dxa" w:w="3744"/>
            <w:tcMar>
              <w:top w:w="60" w:type="dxa"/>
              <w:left w:w="110" w:type="dxa"/>
              <w:bottom w:w="60" w:type="dxa"/>
              <w:right w:w="110" w:type="dxa"/>
            </w:tcMar>
          </w:tcPr>
          <w:p>
            <w:pPr>
              <w:spacing w:after="40" w:before="40"/>
              <w:jc w:val="right"/>
            </w:pPr>
            <w:r/>
            <w:r>
              <w:rPr>
                <w:rFonts w:ascii="Liberation Sans" w:hAnsi="Liberation Sans"/>
                <w:color w:val="27241B"/>
                <w:sz w:val="18"/>
              </w:rPr>
              <w:t>KSh 2.16M</w:t>
            </w:r>
          </w:p>
        </w:tc>
      </w:tr>
      <w:tr>
        <w:tc>
          <w:tcPr>
            <w:tcW w:type="dxa" w:w="518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Of which the affected category</w:t>
            </w:r>
          </w:p>
        </w:tc>
        <w:tc>
          <w:tcPr>
            <w:tcW w:type="dxa" w:w="37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KSh 0.45M</w:t>
            </w:r>
          </w:p>
        </w:tc>
      </w:tr>
      <w:tr>
        <w:tc>
          <w:tcPr>
            <w:tcW w:type="dxa" w:w="5184"/>
            <w:tcMar>
              <w:top w:w="60" w:type="dxa"/>
              <w:left w:w="110" w:type="dxa"/>
              <w:bottom w:w="60" w:type="dxa"/>
              <w:right w:w="110" w:type="dxa"/>
            </w:tcMar>
          </w:tcPr>
          <w:p>
            <w:pPr>
              <w:spacing w:after="40" w:before="40"/>
            </w:pPr>
            <w:r/>
            <w:r>
              <w:rPr>
                <w:rFonts w:ascii="Liberation Sans" w:hAnsi="Liberation Sans"/>
                <w:color w:val="27241B"/>
                <w:sz w:val="18"/>
              </w:rPr>
              <w:t>Of which basket spillover (other categories)</w:t>
            </w:r>
          </w:p>
        </w:tc>
        <w:tc>
          <w:tcPr>
            <w:tcW w:type="dxa" w:w="3744"/>
            <w:tcMar>
              <w:top w:w="60" w:type="dxa"/>
              <w:left w:w="110" w:type="dxa"/>
              <w:bottom w:w="60" w:type="dxa"/>
              <w:right w:w="110" w:type="dxa"/>
            </w:tcMar>
          </w:tcPr>
          <w:p>
            <w:pPr>
              <w:spacing w:after="40" w:before="40"/>
              <w:jc w:val="right"/>
            </w:pPr>
            <w:r/>
            <w:r>
              <w:rPr>
                <w:rFonts w:ascii="Liberation Sans" w:hAnsi="Liberation Sans"/>
                <w:color w:val="27241B"/>
                <w:sz w:val="18"/>
              </w:rPr>
              <w:t>KSh 1.71M</w:t>
            </w:r>
          </w:p>
        </w:tc>
      </w:tr>
    </w:tbl>
    <w:p>
      <w:pPr>
        <w:spacing w:after="0" w:before="0" w:line="240" w:lineRule="auto"/>
      </w:pPr>
      <w:r>
        <w:rPr>
          <w:sz w:val="8"/>
        </w:rPr>
      </w:r>
    </w:p>
    <w:tbl>
      <w:tblPr>
        <w:tblW w:type="auto" w:w="0"/>
        <w:tblLayout w:type="fixed"/>
        <w:tblLook w:firstColumn="1" w:firstRow="1" w:lastColumn="0" w:lastRow="0" w:noHBand="0" w:noVBand="1" w:val="04A0"/>
        <w:tblBorders>
          <w:top w:val="single" w:sz="10" w:space="0" w:color="259741"/>
          <w:left w:val="single" w:sz="10" w:space="0" w:color="259741"/>
          <w:bottom w:val="single" w:sz="10" w:space="0" w:color="259741"/>
          <w:right w:val="single" w:sz="10" w:space="0" w:color="259741"/>
          <w:insideH w:val="single" w:sz="10" w:space="0" w:color="259741"/>
          <w:insideV w:val="single" w:sz="10" w:space="0" w:color="259741"/>
        </w:tblBorders>
      </w:tblPr>
      <w:tblGrid>
        <w:gridCol w:w="9778"/>
      </w:tblGrid>
      <w:tr>
        <w:tc>
          <w:tcPr>
            <w:tcW w:type="dxa" w:w="9216"/>
            <w:shd w:val="clear" w:color="auto" w:fill="FFEFD5"/>
            <w:tcMar>
              <w:top w:w="120" w:type="dxa"/>
              <w:left w:w="160" w:type="dxa"/>
              <w:bottom w:w="120" w:type="dxa"/>
              <w:right w:w="160" w:type="dxa"/>
            </w:tcMar>
          </w:tcPr>
          <w:p>
            <w:pPr>
              <w:spacing w:after="60"/>
            </w:pPr>
            <w:r/>
            <w:r>
              <w:rPr>
                <w:rFonts w:ascii="Liberation Sans" w:hAnsi="Liberation Sans"/>
                <w:b/>
                <w:color w:val="259741"/>
                <w:sz w:val="20"/>
              </w:rPr>
              <w:t>Why this is evidence, not a story</w:t>
            </w:r>
          </w:p>
          <w:p>
            <w:pPr>
              <w:spacing w:after="0"/>
            </w:pPr>
            <w:r>
              <w:rPr>
                <w:rFonts w:ascii="Liberation Sans" w:hAnsi="Liberation Sans"/>
                <w:color w:val="27241B"/>
                <w:sz w:val="19"/>
              </w:rPr>
              <w:t>The shelf-availability table records, per branch, per SKU, per day, whether the item was on the shelf. That is what turns “probably a supply problem” into a dated, store-specific, owned finding.</w:t>
            </w:r>
          </w:p>
        </w:tc>
      </w:tr>
    </w:tbl>
    <w:p>
      <w:pPr>
        <w:spacing w:after="60"/>
        <w:jc w:val="center"/>
      </w:pPr>
      <w:r>
        <w:drawing>
          <wp:inline xmlns:a="http://schemas.openxmlformats.org/drawingml/2006/main" xmlns:pic="http://schemas.openxmlformats.org/drawingml/2006/picture">
            <wp:extent cx="4617720" cy="2888144"/>
            <wp:docPr id="10" name="Picture 10"/>
            <wp:cNvGraphicFramePr>
              <a:graphicFrameLocks noChangeAspect="1"/>
            </wp:cNvGraphicFramePr>
            <a:graphic>
              <a:graphicData uri="http://schemas.openxmlformats.org/drawingml/2006/picture">
                <pic:pic>
                  <pic:nvPicPr>
                    <pic:cNvPr id="0" name="08_stockout_timeline.png"/>
                    <pic:cNvPicPr/>
                  </pic:nvPicPr>
                  <pic:blipFill>
                    <a:blip r:embed="rId18"/>
                    <a:stretch>
                      <a:fillRect/>
                    </a:stretch>
                  </pic:blipFill>
                  <pic:spPr>
                    <a:xfrm>
                      <a:off x="0" y="0"/>
                      <a:ext cx="4617720" cy="2888144"/>
                    </a:xfrm>
                    <a:prstGeom prst="rect"/>
                  </pic:spPr>
                </pic:pic>
              </a:graphicData>
            </a:graphic>
          </wp:inline>
        </w:drawing>
      </w:r>
    </w:p>
    <w:p>
      <w:pPr>
        <w:spacing w:after="40"/>
        <w:jc w:val="center"/>
      </w:pPr>
      <w:r>
        <w:rPr>
          <w:rFonts w:ascii="Liberation Sans" w:hAnsi="Liberation Sans"/>
          <w:b w:val="0"/>
          <w:i/>
          <w:color w:val="27241B"/>
          <w:sz w:val="18"/>
        </w:rPr>
        <w:t>The incident has a start date, an end date, a store and a measurable cost.</w:t>
      </w:r>
    </w:p>
    <w:p>
      <w:pPr>
        <w:spacing w:after="200"/>
        <w:jc w:val="center"/>
      </w:pPr>
      <w:r>
        <w:rPr>
          <w:rFonts w:ascii="Liberation Sans" w:hAnsi="Liberation Sans"/>
          <w:b w:val="0"/>
          <w:i w:val="0"/>
          <w:color w:val="89877B"/>
          <w:sz w:val="16"/>
        </w:rPr>
        <w:t>Figure 9 — shelf availability and the revenue trace that followed it.</w:t>
      </w:r>
    </w:p>
    <w:p>
      <w:pPr>
        <w:spacing w:after="40"/>
      </w:pPr>
      <w:r>
        <w:rPr>
          <w:rFonts w:ascii="Liberation Sans" w:hAnsi="Liberation Sans"/>
          <w:b/>
          <w:i w:val="0"/>
          <w:color w:val="FB6107"/>
          <w:sz w:val="17"/>
        </w:rPr>
        <w:t>SECTION 10</w:t>
      </w:r>
    </w:p>
    <w:p>
      <w:pPr>
        <w:pStyle w:val="Heading1"/>
      </w:pPr>
      <w:r>
        <w:t>Pricing, mix and margin</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2444"/>
        <w:gridCol w:w="2444"/>
        <w:gridCol w:w="2444"/>
        <w:gridCol w:w="2444"/>
      </w:tblGrid>
      <w:tr>
        <w:trPr>
          <w:tblHeader w:val="true"/>
        </w:trPr>
        <w:tc>
          <w:tcPr>
            <w:tcW w:type="dxa" w:w="3744"/>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r>
          </w:p>
        </w:tc>
        <w:tc>
          <w:tcPr>
            <w:tcW w:type="dxa" w:w="194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Q3 2025</w:t>
            </w:r>
          </w:p>
        </w:tc>
        <w:tc>
          <w:tcPr>
            <w:tcW w:type="dxa" w:w="194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Q3 2026</w:t>
            </w:r>
          </w:p>
        </w:tc>
        <w:tc>
          <w:tcPr>
            <w:tcW w:type="dxa" w:w="158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Change</w:t>
            </w:r>
          </w:p>
        </w:tc>
      </w:tr>
      <w:tr>
        <w:tc>
          <w:tcPr>
            <w:tcW w:type="dxa" w:w="3744"/>
            <w:tcMar>
              <w:top w:w="60" w:type="dxa"/>
              <w:left w:w="110" w:type="dxa"/>
              <w:bottom w:w="60" w:type="dxa"/>
              <w:right w:w="110" w:type="dxa"/>
            </w:tcMar>
          </w:tcPr>
          <w:p>
            <w:pPr>
              <w:spacing w:after="40" w:before="40"/>
            </w:pPr>
            <w:r/>
            <w:r>
              <w:rPr>
                <w:rFonts w:ascii="Liberation Sans" w:hAnsi="Liberation Sans"/>
                <w:color w:val="27241B"/>
                <w:sz w:val="18"/>
              </w:rPr>
              <w:t>Discount depth (% of gross)</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4.80%</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7.82%</w:t>
            </w:r>
          </w:p>
        </w:tc>
        <w:tc>
          <w:tcPr>
            <w:tcW w:type="dxa" w:w="1584"/>
            <w:tcMar>
              <w:top w:w="60" w:type="dxa"/>
              <w:left w:w="110" w:type="dxa"/>
              <w:bottom w:w="60" w:type="dxa"/>
              <w:right w:w="110" w:type="dxa"/>
            </w:tcMar>
          </w:tcPr>
          <w:p>
            <w:pPr>
              <w:spacing w:after="40" w:before="40"/>
              <w:jc w:val="right"/>
            </w:pPr>
            <w:r/>
            <w:r>
              <w:rPr>
                <w:rFonts w:ascii="Liberation Sans" w:hAnsi="Liberation Sans"/>
                <w:color w:val="27241B"/>
                <w:sz w:val="18"/>
              </w:rPr>
              <w:t>+3.02pp</w:t>
            </w:r>
          </w:p>
        </w:tc>
      </w:tr>
      <w:tr>
        <w:tc>
          <w:tcPr>
            <w:tcW w:type="dxa" w:w="374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Gross margin</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19.95%</w:t>
            </w:r>
          </w:p>
        </w:tc>
        <w:tc>
          <w:tcPr>
            <w:tcW w:type="dxa" w:w="194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18.57%</w:t>
            </w:r>
          </w:p>
        </w:tc>
        <w:tc>
          <w:tcPr>
            <w:tcW w:type="dxa" w:w="158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-1.38pp</w:t>
            </w:r>
          </w:p>
        </w:tc>
      </w:tr>
      <w:tr>
        <w:tc>
          <w:tcPr>
            <w:tcW w:type="dxa" w:w="3744"/>
            <w:tcMar>
              <w:top w:w="60" w:type="dxa"/>
              <w:left w:w="110" w:type="dxa"/>
              <w:bottom w:w="60" w:type="dxa"/>
              <w:right w:w="110" w:type="dxa"/>
            </w:tcMar>
          </w:tcPr>
          <w:p>
            <w:pPr>
              <w:spacing w:after="40" w:before="40"/>
            </w:pPr>
            <w:r/>
            <w:r>
              <w:rPr>
                <w:rFonts w:ascii="Liberation Sans" w:hAnsi="Liberation Sans"/>
                <w:color w:val="27241B"/>
                <w:sz w:val="18"/>
              </w:rPr>
              <w:t>Gross profit</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KSh 9.68M</w:t>
            </w:r>
          </w:p>
        </w:tc>
        <w:tc>
          <w:tcPr>
            <w:tcW w:type="dxa" w:w="1944"/>
            <w:tcMar>
              <w:top w:w="60" w:type="dxa"/>
              <w:left w:w="110" w:type="dxa"/>
              <w:bottom w:w="60" w:type="dxa"/>
              <w:right w:w="110" w:type="dxa"/>
            </w:tcMar>
          </w:tcPr>
          <w:p>
            <w:pPr>
              <w:spacing w:after="40" w:before="40"/>
              <w:jc w:val="right"/>
            </w:pPr>
            <w:r/>
            <w:r>
              <w:rPr>
                <w:rFonts w:ascii="Liberation Sans" w:hAnsi="Liberation Sans"/>
                <w:color w:val="27241B"/>
                <w:sz w:val="18"/>
              </w:rPr>
              <w:t>KSh 8.04M</w:t>
            </w:r>
          </w:p>
        </w:tc>
        <w:tc>
          <w:tcPr>
            <w:tcW w:type="dxa" w:w="1584"/>
            <w:tcMar>
              <w:top w:w="60" w:type="dxa"/>
              <w:left w:w="110" w:type="dxa"/>
              <w:bottom w:w="60" w:type="dxa"/>
              <w:right w:w="110" w:type="dxa"/>
            </w:tcMar>
          </w:tcPr>
          <w:p>
            <w:pPr>
              <w:spacing w:after="40" w:before="40"/>
              <w:jc w:val="right"/>
            </w:pPr>
            <w:r/>
            <w:r>
              <w:rPr>
                <w:rFonts w:ascii="Liberation Sans" w:hAnsi="Liberation Sans"/>
                <w:color w:val="27241B"/>
                <w:sz w:val="18"/>
              </w:rPr>
              <w:t>-16.9%</w:t>
            </w:r>
          </w:p>
        </w:tc>
      </w:tr>
    </w:tbl>
    <w:p>
      <w:pPr>
        <w:spacing w:after="0" w:before="0" w:line="240" w:lineRule="auto"/>
      </w:pPr>
      <w:r>
        <w:rPr>
          <w:sz w:val="8"/>
        </w:rPr>
      </w:r>
    </w:p>
    <w:p>
      <w:pPr>
        <w:spacing w:after="140"/>
      </w:pPr>
      <w:r>
        <w:rPr>
          <w:rFonts w:ascii="Liberation Sans" w:hAnsi="Liberation Sans"/>
          <w:b w:val="0"/>
          <w:i w:val="0"/>
          <w:color w:val="27241B"/>
          <w:sz w:val="21"/>
        </w:rPr>
        <w:t>Roughly KSh 1.43M of extra discount was given away this quarter, concentrated in Beverages (+13.05pp). Gross profit fell faster than revenue, so margin — not just revenue — is the thing at risk.</w:t>
      </w:r>
    </w:p>
    <w:p>
      <w:pPr>
        <w:spacing w:after="60"/>
        <w:jc w:val="center"/>
      </w:pPr>
      <w:r>
        <w:drawing>
          <wp:inline xmlns:a="http://schemas.openxmlformats.org/drawingml/2006/main" xmlns:pic="http://schemas.openxmlformats.org/drawingml/2006/picture">
            <wp:extent cx="4617720" cy="2741283"/>
            <wp:docPr id="11" name="Picture 11"/>
            <wp:cNvGraphicFramePr>
              <a:graphicFrameLocks noChangeAspect="1"/>
            </wp:cNvGraphicFramePr>
            <a:graphic>
              <a:graphicData uri="http://schemas.openxmlformats.org/drawingml/2006/picture">
                <pic:pic>
                  <pic:nvPicPr>
                    <pic:cNvPr id="0" name="09_discount_depth.png"/>
                    <pic:cNvPicPr/>
                  </pic:nvPicPr>
                  <pic:blipFill>
                    <a:blip r:embed="rId19"/>
                    <a:stretch>
                      <a:fillRect/>
                    </a:stretch>
                  </pic:blipFill>
                  <pic:spPr>
                    <a:xfrm>
                      <a:off x="0" y="0"/>
                      <a:ext cx="4617720" cy="2741283"/>
                    </a:xfrm>
                    <a:prstGeom prst="rect"/>
                  </pic:spPr>
                </pic:pic>
              </a:graphicData>
            </a:graphic>
          </wp:inline>
        </w:drawing>
      </w:r>
    </w:p>
    <w:p>
      <w:pPr>
        <w:spacing w:after="40"/>
        <w:jc w:val="center"/>
      </w:pPr>
      <w:r>
        <w:rPr>
          <w:rFonts w:ascii="Liberation Sans" w:hAnsi="Liberation Sans"/>
          <w:b w:val="0"/>
          <w:i/>
          <w:color w:val="27241B"/>
          <w:sz w:val="18"/>
        </w:rPr>
        <w:t>Prices rose, but so did discounting. The depth is concentrated.</w:t>
      </w:r>
    </w:p>
    <w:p>
      <w:pPr>
        <w:spacing w:after="200"/>
        <w:jc w:val="center"/>
      </w:pPr>
      <w:r>
        <w:rPr>
          <w:rFonts w:ascii="Liberation Sans" w:hAnsi="Liberation Sans"/>
          <w:b w:val="0"/>
          <w:i w:val="0"/>
          <w:color w:val="89877B"/>
          <w:sz w:val="16"/>
        </w:rPr>
        <w:t>Figure 10 — discount depth, prior year vs current year, by category.</w:t>
      </w:r>
    </w:p>
    <w:p>
      <w:pPr>
        <w:spacing w:after="40"/>
      </w:pPr>
      <w:r>
        <w:rPr>
          <w:rFonts w:ascii="Liberation Sans" w:hAnsi="Liberation Sans"/>
          <w:b/>
          <w:i w:val="0"/>
          <w:color w:val="FB6107"/>
          <w:sz w:val="17"/>
        </w:rPr>
        <w:t>SECTION 11</w:t>
      </w:r>
    </w:p>
    <w:p>
      <w:pPr>
        <w:pStyle w:val="Heading1"/>
      </w:pPr>
      <w:r>
        <w:t>Facts, hypotheses, and the edge of what we know</w:t>
      </w:r>
    </w:p>
    <w:p>
      <w:pPr>
        <w:spacing w:after="140"/>
      </w:pPr>
      <w:r>
        <w:rPr>
          <w:rFonts w:ascii="Liberation Sans" w:hAnsi="Liberation Sans"/>
          <w:b w:val="0"/>
          <w:i w:val="0"/>
          <w:color w:val="27241B"/>
          <w:sz w:val="20"/>
        </w:rPr>
        <w:t>A senior analysis is judged as much by what it refuses to claim as by what it concludes. Every statement below is tagged.</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3259"/>
        <w:gridCol w:w="3259"/>
        <w:gridCol w:w="3259"/>
      </w:tblGrid>
      <w:tr>
        <w:trPr>
          <w:tblHeader w:val="true"/>
        </w:trPr>
        <w:tc>
          <w:tcPr>
            <w:tcW w:type="dxa" w:w="4320"/>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Statement</w:t>
            </w:r>
          </w:p>
        </w:tc>
        <w:tc>
          <w:tcPr>
            <w:tcW w:type="dxa" w:w="1440"/>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Tier</w:t>
            </w:r>
          </w:p>
        </w:tc>
        <w:tc>
          <w:tcPr>
            <w:tcW w:type="dxa" w:w="3456"/>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Note</w:t>
            </w:r>
          </w:p>
        </w:tc>
      </w:tr>
      <w:tr>
        <w:tc>
          <w:tcPr>
            <w:tcW w:type="dxa" w:w="4320"/>
            <w:tcMar>
              <w:top w:w="60" w:type="dxa"/>
              <w:left w:w="110" w:type="dxa"/>
              <w:bottom w:w="60" w:type="dxa"/>
              <w:right w:w="110" w:type="dxa"/>
            </w:tcMar>
          </w:tcPr>
          <w:p>
            <w:pPr>
              <w:spacing w:after="40" w:before="40"/>
            </w:pPr>
            <w:r/>
            <w:r>
              <w:rPr>
                <w:rFonts w:ascii="Liberation Sans" w:hAnsi="Liberation Sans"/>
                <w:color w:val="27241B"/>
                <w:sz w:val="17"/>
              </w:rPr>
              <w:t>Revenue fell 10.7%; gross profit fell 16.9%</w:t>
            </w:r>
          </w:p>
        </w:tc>
        <w:tc>
          <w:tcPr>
            <w:tcW w:type="dxa" w:w="1440"/>
            <w:tcMar>
              <w:top w:w="60" w:type="dxa"/>
              <w:left w:w="110" w:type="dxa"/>
              <w:bottom w:w="60" w:type="dxa"/>
              <w:right w:w="110" w:type="dxa"/>
            </w:tcMar>
          </w:tcPr>
          <w:p>
            <w:pPr>
              <w:spacing w:after="40" w:before="40"/>
            </w:pPr>
            <w:r/>
            <w:r>
              <w:rPr>
                <w:rFonts w:ascii="Liberation Sans" w:hAnsi="Liberation Sans"/>
                <w:color w:val="27241B"/>
                <w:sz w:val="17"/>
              </w:rPr>
              <w:t>Fact</w:t>
            </w:r>
          </w:p>
        </w:tc>
        <w:tc>
          <w:tcPr>
            <w:tcW w:type="dxa" w:w="3456"/>
            <w:tcMar>
              <w:top w:w="60" w:type="dxa"/>
              <w:left w:w="110" w:type="dxa"/>
              <w:bottom w:w="60" w:type="dxa"/>
              <w:right w:w="110" w:type="dxa"/>
            </w:tcMar>
          </w:tcPr>
          <w:p>
            <w:pPr>
              <w:spacing w:after="40" w:before="40"/>
            </w:pPr>
            <w:r/>
            <w:r>
              <w:rPr>
                <w:rFonts w:ascii="Liberation Sans" w:hAnsi="Liberation Sans"/>
                <w:color w:val="27241B"/>
                <w:sz w:val="17"/>
              </w:rPr>
              <w:t>measured from the cleaned star schema</w:t>
            </w:r>
          </w:p>
        </w:tc>
      </w:tr>
      <w:tr>
        <w:tc>
          <w:tcPr>
            <w:tcW w:type="dxa" w:w="432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Two stores explain 71% of the decline</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Fact</w:t>
            </w:r>
          </w:p>
        </w:tc>
        <w:tc>
          <w:tcPr>
            <w:tcW w:type="dxa" w:w="3456"/>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measured; contribution shares sum to the group change</w:t>
            </w:r>
          </w:p>
        </w:tc>
      </w:tr>
      <w:tr>
        <w:tc>
          <w:tcPr>
            <w:tcW w:type="dxa" w:w="4320"/>
            <w:tcMar>
              <w:top w:w="60" w:type="dxa"/>
              <w:left w:w="110" w:type="dxa"/>
              <w:bottom w:w="60" w:type="dxa"/>
              <w:right w:w="110" w:type="dxa"/>
            </w:tcMar>
          </w:tcPr>
          <w:p>
            <w:pPr>
              <w:spacing w:after="40" w:before="40"/>
            </w:pPr>
            <w:r/>
            <w:r>
              <w:rPr>
                <w:rFonts w:ascii="Liberation Sans" w:hAnsi="Liberation Sans"/>
                <w:color w:val="27241B"/>
                <w:sz w:val="17"/>
              </w:rPr>
              <w:t>Hero SKUs were 9.5% available for 76 days at Mombasa Nyali</w:t>
            </w:r>
          </w:p>
        </w:tc>
        <w:tc>
          <w:tcPr>
            <w:tcW w:type="dxa" w:w="1440"/>
            <w:tcMar>
              <w:top w:w="60" w:type="dxa"/>
              <w:left w:w="110" w:type="dxa"/>
              <w:bottom w:w="60" w:type="dxa"/>
              <w:right w:w="110" w:type="dxa"/>
            </w:tcMar>
          </w:tcPr>
          <w:p>
            <w:pPr>
              <w:spacing w:after="40" w:before="40"/>
            </w:pPr>
            <w:r/>
            <w:r>
              <w:rPr>
                <w:rFonts w:ascii="Liberation Sans" w:hAnsi="Liberation Sans"/>
                <w:color w:val="27241B"/>
                <w:sz w:val="17"/>
              </w:rPr>
              <w:t>Fact</w:t>
            </w:r>
          </w:p>
        </w:tc>
        <w:tc>
          <w:tcPr>
            <w:tcW w:type="dxa" w:w="3456"/>
            <w:tcMar>
              <w:top w:w="60" w:type="dxa"/>
              <w:left w:w="110" w:type="dxa"/>
              <w:bottom w:w="60" w:type="dxa"/>
              <w:right w:w="110" w:type="dxa"/>
            </w:tcMar>
          </w:tcPr>
          <w:p>
            <w:pPr>
              <w:spacing w:after="40" w:before="40"/>
            </w:pPr>
            <w:r/>
            <w:r>
              <w:rPr>
                <w:rFonts w:ascii="Liberation Sans" w:hAnsi="Liberation Sans"/>
                <w:color w:val="27241B"/>
                <w:sz w:val="17"/>
              </w:rPr>
              <w:t>from the branch x SKU x day availability table</w:t>
            </w:r>
          </w:p>
        </w:tc>
      </w:tr>
      <w:tr>
        <w:tc>
          <w:tcPr>
            <w:tcW w:type="dxa" w:w="432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Active customers rose +5.5% while frequency fell -11.4%</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Fact</w:t>
            </w:r>
          </w:p>
        </w:tc>
        <w:tc>
          <w:tcPr>
            <w:tcW w:type="dxa" w:w="3456"/>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the mechanism identity, order-independent attribution</w:t>
            </w:r>
          </w:p>
        </w:tc>
      </w:tr>
      <w:tr>
        <w:tc>
          <w:tcPr>
            <w:tcW w:type="dxa" w:w="4320"/>
            <w:tcMar>
              <w:top w:w="60" w:type="dxa"/>
              <w:left w:w="110" w:type="dxa"/>
              <w:bottom w:w="60" w:type="dxa"/>
              <w:right w:w="110" w:type="dxa"/>
            </w:tcMar>
          </w:tcPr>
          <w:p>
            <w:pPr>
              <w:spacing w:after="40" w:before="40"/>
            </w:pPr>
            <w:r/>
            <w:r>
              <w:rPr>
                <w:rFonts w:ascii="Liberation Sans" w:hAnsi="Liberation Sans"/>
                <w:color w:val="27241B"/>
                <w:sz w:val="17"/>
              </w:rPr>
              <w:t>The stock-out *caused* the basket erosion at that store</w:t>
            </w:r>
          </w:p>
        </w:tc>
        <w:tc>
          <w:tcPr>
            <w:tcW w:type="dxa" w:w="1440"/>
            <w:tcMar>
              <w:top w:w="60" w:type="dxa"/>
              <w:left w:w="110" w:type="dxa"/>
              <w:bottom w:w="60" w:type="dxa"/>
              <w:right w:w="110" w:type="dxa"/>
            </w:tcMar>
          </w:tcPr>
          <w:p>
            <w:pPr>
              <w:spacing w:after="40" w:before="40"/>
            </w:pPr>
            <w:r/>
            <w:r>
              <w:rPr>
                <w:rFonts w:ascii="Liberation Sans" w:hAnsi="Liberation Sans"/>
                <w:color w:val="27241B"/>
                <w:sz w:val="17"/>
              </w:rPr>
              <w:t>Hypothesis</w:t>
            </w:r>
          </w:p>
        </w:tc>
        <w:tc>
          <w:tcPr>
            <w:tcW w:type="dxa" w:w="3456"/>
            <w:tcMar>
              <w:top w:w="60" w:type="dxa"/>
              <w:left w:w="110" w:type="dxa"/>
              <w:bottom w:w="60" w:type="dxa"/>
              <w:right w:w="110" w:type="dxa"/>
            </w:tcMar>
          </w:tcPr>
          <w:p>
            <w:pPr>
              <w:spacing w:after="40" w:before="40"/>
            </w:pPr>
            <w:r/>
            <w:r>
              <w:rPr>
                <w:rFonts w:ascii="Liberation Sans" w:hAnsi="Liberation Sans"/>
                <w:color w:val="27241B"/>
                <w:sz w:val="17"/>
              </w:rPr>
              <w:t>the two co-move exactly in time; no causal test was run</w:t>
            </w:r>
          </w:p>
        </w:tc>
      </w:tr>
      <w:tr>
        <w:tc>
          <w:tcPr>
            <w:tcW w:type="dxa" w:w="432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Single-sourcing or no safety stock caused the stock-out</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Hypothesis</w:t>
            </w:r>
          </w:p>
        </w:tc>
        <w:tc>
          <w:tcPr>
            <w:tcW w:type="dxa" w:w="3456"/>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no procurement, supplier or lead-time data in this extract</w:t>
            </w:r>
          </w:p>
        </w:tc>
      </w:tr>
      <w:tr>
        <w:tc>
          <w:tcPr>
            <w:tcW w:type="dxa" w:w="4320"/>
            <w:tcMar>
              <w:top w:w="60" w:type="dxa"/>
              <w:left w:w="110" w:type="dxa"/>
              <w:bottom w:w="60" w:type="dxa"/>
              <w:right w:w="110" w:type="dxa"/>
            </w:tcMar>
          </w:tcPr>
          <w:p>
            <w:pPr>
              <w:spacing w:after="40" w:before="40"/>
            </w:pPr>
            <w:r/>
            <w:r>
              <w:rPr>
                <w:rFonts w:ascii="Liberation Sans" w:hAnsi="Liberation Sans"/>
                <w:color w:val="27241B"/>
                <w:sz w:val="17"/>
              </w:rPr>
              <w:t>Thika Road's decline is due to the road-works</w:t>
            </w:r>
          </w:p>
        </w:tc>
        <w:tc>
          <w:tcPr>
            <w:tcW w:type="dxa" w:w="1440"/>
            <w:tcMar>
              <w:top w:w="60" w:type="dxa"/>
              <w:left w:w="110" w:type="dxa"/>
              <w:bottom w:w="60" w:type="dxa"/>
              <w:right w:w="110" w:type="dxa"/>
            </w:tcMar>
          </w:tcPr>
          <w:p>
            <w:pPr>
              <w:spacing w:after="40" w:before="40"/>
            </w:pPr>
            <w:r/>
            <w:r>
              <w:rPr>
                <w:rFonts w:ascii="Liberation Sans" w:hAnsi="Liberation Sans"/>
                <w:color w:val="27241B"/>
                <w:sz w:val="17"/>
              </w:rPr>
              <w:t>Hypothesis</w:t>
            </w:r>
          </w:p>
        </w:tc>
        <w:tc>
          <w:tcPr>
            <w:tcW w:type="dxa" w:w="3456"/>
            <w:tcMar>
              <w:top w:w="60" w:type="dxa"/>
              <w:left w:w="110" w:type="dxa"/>
              <w:bottom w:w="60" w:type="dxa"/>
              <w:right w:w="110" w:type="dxa"/>
            </w:tcMar>
          </w:tcPr>
          <w:p>
            <w:pPr>
              <w:spacing w:after="40" w:before="40"/>
            </w:pPr>
            <w:r/>
            <w:r>
              <w:rPr>
                <w:rFonts w:ascii="Liberation Sans" w:hAnsi="Liberation Sans"/>
                <w:color w:val="27241B"/>
                <w:sz w:val="17"/>
              </w:rPr>
              <w:t>the frequency-only signature is consistent with an access problem; no other local factor is recorded</w:t>
            </w:r>
          </w:p>
        </w:tc>
      </w:tr>
      <w:tr>
        <w:tc>
          <w:tcPr>
            <w:tcW w:type="dxa" w:w="432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Kisumu Lakefront's -11.5%</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Unexplained</w:t>
            </w:r>
          </w:p>
        </w:tc>
        <w:tc>
          <w:tcPr>
            <w:tcW w:type="dxa" w:w="3456"/>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flagged, deliberately not back-filled with a story</w:t>
            </w:r>
          </w:p>
        </w:tc>
      </w:tr>
      <w:tr>
        <w:tc>
          <w:tcPr>
            <w:tcW w:type="dxa" w:w="4320"/>
            <w:tcMar>
              <w:top w:w="60" w:type="dxa"/>
              <w:left w:w="110" w:type="dxa"/>
              <w:bottom w:w="60" w:type="dxa"/>
              <w:right w:w="110" w:type="dxa"/>
            </w:tcMar>
          </w:tcPr>
          <w:p>
            <w:pPr>
              <w:spacing w:after="40" w:before="40"/>
            </w:pPr>
            <w:r/>
            <w:r>
              <w:rPr>
                <w:rFonts w:ascii="Liberation Sans" w:hAnsi="Liberation Sans"/>
                <w:color w:val="27241B"/>
                <w:sz w:val="17"/>
              </w:rPr>
              <w:t>855 Q3 2025 customers did not return</w:t>
            </w:r>
          </w:p>
        </w:tc>
        <w:tc>
          <w:tcPr>
            <w:tcW w:type="dxa" w:w="1440"/>
            <w:tcMar>
              <w:top w:w="60" w:type="dxa"/>
              <w:left w:w="110" w:type="dxa"/>
              <w:bottom w:w="60" w:type="dxa"/>
              <w:right w:w="110" w:type="dxa"/>
            </w:tcMar>
          </w:tcPr>
          <w:p>
            <w:pPr>
              <w:spacing w:after="40" w:before="40"/>
            </w:pPr>
            <w:r/>
            <w:r>
              <w:rPr>
                <w:rFonts w:ascii="Liberation Sans" w:hAnsi="Liberation Sans"/>
                <w:color w:val="27241B"/>
                <w:sz w:val="17"/>
              </w:rPr>
              <w:t>Fact</w:t>
            </w:r>
          </w:p>
        </w:tc>
        <w:tc>
          <w:tcPr>
            <w:tcW w:type="dxa" w:w="3456"/>
            <w:tcMar>
              <w:top w:w="60" w:type="dxa"/>
              <w:left w:w="110" w:type="dxa"/>
              <w:bottom w:w="60" w:type="dxa"/>
              <w:right w:w="110" w:type="dxa"/>
            </w:tcMar>
          </w:tcPr>
          <w:p>
            <w:pPr>
              <w:spacing w:after="40" w:before="40"/>
            </w:pPr>
            <w:r/>
            <w:r>
              <w:rPr>
                <w:rFonts w:ascii="Liberation Sans" w:hAnsi="Liberation Sans"/>
                <w:color w:val="27241B"/>
                <w:sz w:val="17"/>
              </w:rPr>
              <w:t>but 83.8% did — churn is not the problem</w:t>
            </w:r>
          </w:p>
        </w:tc>
      </w:tr>
    </w:tbl>
    <w:p>
      <w:pPr>
        <w:spacing w:after="40"/>
      </w:pPr>
      <w:r>
        <w:rPr>
          <w:rFonts w:ascii="Liberation Sans" w:hAnsi="Liberation Sans"/>
          <w:b/>
          <w:i w:val="0"/>
          <w:color w:val="FB6107"/>
          <w:sz w:val="17"/>
        </w:rPr>
        <w:t>SECTION 12</w:t>
      </w:r>
    </w:p>
    <w:p>
      <w:pPr>
        <w:pStyle w:val="Heading1"/>
      </w:pPr>
      <w:r>
        <w:t>Predictive — the run-rate if nothing changes</w:t>
      </w:r>
    </w:p>
    <w:tbl>
      <w:tblPr>
        <w:tblW w:type="auto" w:w="0"/>
        <w:tblLayout w:type="fixed"/>
        <w:tblLook w:firstColumn="1" w:firstRow="1" w:lastColumn="0" w:lastRow="0" w:noHBand="0" w:noVBand="1" w:val="04A0"/>
        <w:tblBorders>
          <w:top w:val="single" w:sz="10" w:space="0" w:color="FB6107"/>
          <w:left w:val="single" w:sz="10" w:space="0" w:color="FB6107"/>
          <w:bottom w:val="single" w:sz="10" w:space="0" w:color="FB6107"/>
          <w:right w:val="single" w:sz="10" w:space="0" w:color="FB6107"/>
          <w:insideH w:val="single" w:sz="10" w:space="0" w:color="FB6107"/>
          <w:insideV w:val="single" w:sz="10" w:space="0" w:color="FB6107"/>
        </w:tblBorders>
      </w:tblPr>
      <w:tblGrid>
        <w:gridCol w:w="9778"/>
      </w:tblGrid>
      <w:tr>
        <w:tc>
          <w:tcPr>
            <w:tcW w:type="dxa" w:w="9216"/>
            <w:shd w:val="clear" w:color="auto" w:fill="FFEFD5"/>
            <w:tcMar>
              <w:top w:w="120" w:type="dxa"/>
              <w:left w:w="160" w:type="dxa"/>
              <w:bottom w:w="120" w:type="dxa"/>
              <w:right w:w="160" w:type="dxa"/>
            </w:tcMar>
          </w:tcPr>
          <w:p>
            <w:pPr>
              <w:spacing w:after="60"/>
            </w:pPr>
            <w:r/>
            <w:r>
              <w:rPr>
                <w:rFonts w:ascii="Liberation Sans" w:hAnsi="Liberation Sans"/>
                <w:b/>
                <w:color w:val="FB6107"/>
                <w:sz w:val="20"/>
              </w:rPr>
              <w:t>A run-rate, not a forecast</w:t>
            </w:r>
          </w:p>
          <w:p>
            <w:pPr>
              <w:spacing w:after="0"/>
            </w:pPr>
            <w:r>
              <w:rPr>
                <w:rFonts w:ascii="Liberation Sans" w:hAnsi="Liberation Sans"/>
                <w:color w:val="27241B"/>
                <w:sz w:val="19"/>
              </w:rPr>
              <w:t>If this quarter's frequency and basket levels persist, the annualised revenue impact is roughly KSh -20.83M (KSh 5.21M x 4). This assumes the Mombasa Nyali incident does not repeat — it should be fixed — and it ignores Q4 seasonality, which is typically stronger. Treat it as the size of the hole, not the shape of the year.</w:t>
            </w:r>
          </w:p>
        </w:tc>
      </w:tr>
    </w:tbl>
    <w:p>
      <w:pPr>
        <w:spacing w:after="0" w:before="0" w:line="240" w:lineRule="auto"/>
      </w:pPr>
      <w:r>
        <w:rPr>
          <w:sz w:val="12"/>
        </w:rPr>
      </w:r>
    </w:p>
    <w:p>
      <w:pPr>
        <w:spacing w:after="140"/>
      </w:pPr>
      <w:r>
        <w:rPr>
          <w:rFonts w:ascii="Liberation Sans" w:hAnsi="Liberation Sans"/>
          <w:b w:val="0"/>
          <w:i w:val="0"/>
          <w:color w:val="27241B"/>
          <w:sz w:val="21"/>
        </w:rPr>
        <w:t>The honest reading: the quarter's damage is stable and repeatable in nature, so the cost of inaction is not zero. It is the run-rate above, minus whatever the actions in Section 13 recover.</w:t>
      </w:r>
    </w:p>
    <w:p>
      <w:pPr>
        <w:spacing w:after="40"/>
      </w:pPr>
      <w:r>
        <w:rPr>
          <w:rFonts w:ascii="Liberation Sans" w:hAnsi="Liberation Sans"/>
          <w:b/>
          <w:i w:val="0"/>
          <w:color w:val="FB6107"/>
          <w:sz w:val="17"/>
        </w:rPr>
        <w:t>SECTION 13</w:t>
      </w:r>
    </w:p>
    <w:p>
      <w:pPr>
        <w:pStyle w:val="Heading1"/>
      </w:pPr>
      <w:r>
        <w:t>Prescriptive — what to do</w:t>
      </w:r>
    </w:p>
    <w:p>
      <w:pPr>
        <w:spacing w:after="140"/>
      </w:pPr>
      <w:r>
        <w:rPr>
          <w:rFonts w:ascii="Liberation Sans" w:hAnsi="Liberation Sans"/>
          <w:b w:val="0"/>
          <w:i w:val="0"/>
          <w:color w:val="27241B"/>
          <w:sz w:val="20"/>
        </w:rPr>
        <w:t>Every action carries the four things an action needs to be real: an owner, an expected impact, an evidence link and a review date. Impacts are deliberately conservative and priced in gross profit — they assume partial capture.</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1630"/>
        <w:gridCol w:w="1630"/>
        <w:gridCol w:w="1630"/>
        <w:gridCol w:w="1630"/>
        <w:gridCol w:w="1630"/>
        <w:gridCol w:w="1630"/>
      </w:tblGrid>
      <w:tr>
        <w:trPr>
          <w:tblHeader w:val="true"/>
        </w:trPr>
        <w:tc>
          <w:tcPr>
            <w:tcW w:type="dxa" w:w="432"/>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6"/>
              </w:rPr>
              <w:t>#</w:t>
            </w:r>
          </w:p>
        </w:tc>
        <w:tc>
          <w:tcPr>
            <w:tcW w:type="dxa" w:w="2520"/>
            <w:shd w:val="clear" w:color="auto" w:fill="FFEFD5"/>
            <w:tcMar>
              <w:top w:w="60" w:type="dxa"/>
              <w:left w:w="110" w:type="dxa"/>
              <w:bottom w:w="60" w:type="dxa"/>
              <w:right w:w="110" w:type="dxa"/>
            </w:tcMar>
          </w:tcPr>
          <w:p>
            <w:pPr>
              <w:spacing w:after="40" w:before="40"/>
            </w:pPr>
            <w:r/>
            <w:r>
              <w:rPr>
                <w:rFonts w:ascii="Liberation Sans" w:hAnsi="Liberation Sans"/>
                <w:b/>
                <w:color w:val="27241B"/>
                <w:sz w:val="16"/>
              </w:rPr>
              <w:t>Action</w:t>
            </w:r>
          </w:p>
        </w:tc>
        <w:tc>
          <w:tcPr>
            <w:tcW w:type="dxa" w:w="1440"/>
            <w:shd w:val="clear" w:color="auto" w:fill="FFEFD5"/>
            <w:tcMar>
              <w:top w:w="60" w:type="dxa"/>
              <w:left w:w="110" w:type="dxa"/>
              <w:bottom w:w="60" w:type="dxa"/>
              <w:right w:w="110" w:type="dxa"/>
            </w:tcMar>
          </w:tcPr>
          <w:p>
            <w:pPr>
              <w:spacing w:after="40" w:before="40"/>
            </w:pPr>
            <w:r/>
            <w:r>
              <w:rPr>
                <w:rFonts w:ascii="Liberation Sans" w:hAnsi="Liberation Sans"/>
                <w:b/>
                <w:color w:val="27241B"/>
                <w:sz w:val="16"/>
              </w:rPr>
              <w:t>Owner</w:t>
            </w:r>
          </w:p>
        </w:tc>
        <w:tc>
          <w:tcPr>
            <w:tcW w:type="dxa" w:w="2448"/>
            <w:shd w:val="clear" w:color="auto" w:fill="FFEFD5"/>
            <w:tcMar>
              <w:top w:w="60" w:type="dxa"/>
              <w:left w:w="110" w:type="dxa"/>
              <w:bottom w:w="60" w:type="dxa"/>
              <w:right w:w="110" w:type="dxa"/>
            </w:tcMar>
          </w:tcPr>
          <w:p>
            <w:pPr>
              <w:spacing w:after="40" w:before="40"/>
            </w:pPr>
            <w:r/>
            <w:r>
              <w:rPr>
                <w:rFonts w:ascii="Liberation Sans" w:hAnsi="Liberation Sans"/>
                <w:b/>
                <w:color w:val="27241B"/>
                <w:sz w:val="16"/>
              </w:rPr>
              <w:t>Why (evidence)</w:t>
            </w:r>
          </w:p>
        </w:tc>
        <w:tc>
          <w:tcPr>
            <w:tcW w:type="dxa" w:w="1224"/>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6"/>
              </w:rPr>
              <w:t>Expected impact</w:t>
            </w:r>
          </w:p>
        </w:tc>
        <w:tc>
          <w:tcPr>
            <w:tcW w:type="dxa" w:w="1152"/>
            <w:shd w:val="clear" w:color="auto" w:fill="FFEFD5"/>
            <w:tcMar>
              <w:top w:w="60" w:type="dxa"/>
              <w:left w:w="110" w:type="dxa"/>
              <w:bottom w:w="60" w:type="dxa"/>
              <w:right w:w="110" w:type="dxa"/>
            </w:tcMar>
          </w:tcPr>
          <w:p>
            <w:pPr>
              <w:spacing w:after="40" w:before="40"/>
            </w:pPr>
            <w:r/>
            <w:r>
              <w:rPr>
                <w:rFonts w:ascii="Liberation Sans" w:hAnsi="Liberation Sans"/>
                <w:b/>
                <w:color w:val="27241B"/>
                <w:sz w:val="16"/>
              </w:rPr>
              <w:t>Review</w:t>
            </w:r>
          </w:p>
        </w:tc>
      </w:tr>
      <w:tr>
        <w:tc>
          <w:tcPr>
            <w:tcW w:type="dxa" w:w="432"/>
            <w:tcMar>
              <w:top w:w="60" w:type="dxa"/>
              <w:left w:w="110" w:type="dxa"/>
              <w:bottom w:w="60" w:type="dxa"/>
              <w:right w:w="110" w:type="dxa"/>
            </w:tcMar>
          </w:tcPr>
          <w:p>
            <w:pPr>
              <w:spacing w:after="40" w:before="40"/>
              <w:jc w:val="right"/>
            </w:pPr>
            <w:r/>
            <w:r>
              <w:rPr>
                <w:rFonts w:ascii="Liberation Sans" w:hAnsi="Liberation Sans"/>
                <w:color w:val="27241B"/>
                <w:sz w:val="16"/>
              </w:rPr>
              <w:t>1</w:t>
            </w:r>
          </w:p>
        </w:tc>
        <w:tc>
          <w:tcPr>
            <w:tcW w:type="dxa" w:w="2520"/>
            <w:tcMar>
              <w:top w:w="60" w:type="dxa"/>
              <w:left w:w="110" w:type="dxa"/>
              <w:bottom w:w="60" w:type="dxa"/>
              <w:right w:w="110" w:type="dxa"/>
            </w:tcMar>
          </w:tcPr>
          <w:p>
            <w:pPr>
              <w:spacing w:after="40" w:before="40"/>
            </w:pPr>
            <w:r/>
            <w:r>
              <w:rPr>
                <w:rFonts w:ascii="Liberation Sans" w:hAnsi="Liberation Sans"/>
                <w:color w:val="27241B"/>
                <w:sz w:val="16"/>
              </w:rPr>
              <w:t>Rebuild safety stock on the two hero Personal Care SKUs and qualify a second supplier</w:t>
            </w:r>
          </w:p>
        </w:tc>
        <w:tc>
          <w:tcPr>
            <w:tcW w:type="dxa" w:w="1440"/>
            <w:tcMar>
              <w:top w:w="60" w:type="dxa"/>
              <w:left w:w="110" w:type="dxa"/>
              <w:bottom w:w="60" w:type="dxa"/>
              <w:right w:w="110" w:type="dxa"/>
            </w:tcMar>
          </w:tcPr>
          <w:p>
            <w:pPr>
              <w:spacing w:after="40" w:before="40"/>
            </w:pPr>
            <w:r/>
            <w:r>
              <w:rPr>
                <w:rFonts w:ascii="Liberation Sans" w:hAnsi="Liberation Sans"/>
                <w:color w:val="27241B"/>
                <w:sz w:val="16"/>
              </w:rPr>
              <w:t>Supply Chain</w:t>
            </w:r>
          </w:p>
        </w:tc>
        <w:tc>
          <w:tcPr>
            <w:tcW w:type="dxa" w:w="2448"/>
            <w:tcMar>
              <w:top w:w="60" w:type="dxa"/>
              <w:left w:w="110" w:type="dxa"/>
              <w:bottom w:w="60" w:type="dxa"/>
              <w:right w:w="110" w:type="dxa"/>
            </w:tcMar>
          </w:tcPr>
          <w:p>
            <w:pPr>
              <w:spacing w:after="40" w:before="40"/>
            </w:pPr>
            <w:r/>
            <w:r>
              <w:rPr>
                <w:rFonts w:ascii="Liberation Sans" w:hAnsi="Liberation Sans"/>
                <w:color w:val="27241B"/>
                <w:sz w:val="16"/>
              </w:rPr>
              <w:t>Availability was 9.5% for 76 days; the store lost KSh 2.18M</w:t>
            </w:r>
          </w:p>
        </w:tc>
        <w:tc>
          <w:tcPr>
            <w:tcW w:type="dxa" w:w="1224"/>
            <w:tcMar>
              <w:top w:w="60" w:type="dxa"/>
              <w:left w:w="110" w:type="dxa"/>
              <w:bottom w:w="60" w:type="dxa"/>
              <w:right w:w="110" w:type="dxa"/>
            </w:tcMar>
          </w:tcPr>
          <w:p>
            <w:pPr>
              <w:spacing w:after="40" w:before="40"/>
              <w:jc w:val="right"/>
            </w:pPr>
            <w:r/>
            <w:r>
              <w:rPr>
                <w:rFonts w:ascii="Liberation Sans" w:hAnsi="Liberation Sans"/>
                <w:color w:val="27241B"/>
                <w:sz w:val="16"/>
              </w:rPr>
              <w:t>KSh 1.51M – KSh 2.16M</w:t>
            </w:r>
          </w:p>
        </w:tc>
        <w:tc>
          <w:tcPr>
            <w:tcW w:type="dxa" w:w="1152"/>
            <w:tcMar>
              <w:top w:w="60" w:type="dxa"/>
              <w:left w:w="110" w:type="dxa"/>
              <w:bottom w:w="60" w:type="dxa"/>
              <w:right w:w="110" w:type="dxa"/>
            </w:tcMar>
          </w:tcPr>
          <w:p>
            <w:pPr>
              <w:spacing w:after="40" w:before="40"/>
            </w:pPr>
            <w:r/>
            <w:r>
              <w:rPr>
                <w:rFonts w:ascii="Liberation Sans" w:hAnsi="Liberation Sans"/>
                <w:color w:val="27241B"/>
                <w:sz w:val="16"/>
              </w:rPr>
              <w:t>2026-11-04 (+30d)</w:t>
            </w:r>
          </w:p>
        </w:tc>
      </w:tr>
      <w:tr>
        <w:tc>
          <w:tcPr>
            <w:tcW w:type="dxa" w:w="43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6"/>
              </w:rPr>
              <w:t>2</w:t>
            </w:r>
          </w:p>
        </w:tc>
        <w:tc>
          <w:tcPr>
            <w:tcW w:type="dxa" w:w="2520"/>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Rebuild the Mombasa basket: substitutes on shelf, Personal Care adjacent to Groceries, a substitution script for staff</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Merchandising</w:t>
            </w:r>
          </w:p>
        </w:tc>
        <w:tc>
          <w:tcPr>
            <w:tcW w:type="dxa" w:w="2448"/>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AOV fell -22.6% while the category alone explains only KSh 0.45M of the KSh 2.16M damage</w:t>
            </w:r>
          </w:p>
        </w:tc>
        <w:tc>
          <w:tcPr>
            <w:tcW w:type="dxa" w:w="122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6"/>
              </w:rPr>
              <w:t>KSh 0.18M</w:t>
            </w:r>
          </w:p>
        </w:tc>
        <w:tc>
          <w:tcPr>
            <w:tcW w:type="dxa" w:w="1152"/>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2026-11-19 (+45d)</w:t>
            </w:r>
          </w:p>
        </w:tc>
      </w:tr>
      <w:tr>
        <w:tc>
          <w:tcPr>
            <w:tcW w:type="dxa" w:w="432"/>
            <w:tcMar>
              <w:top w:w="60" w:type="dxa"/>
              <w:left w:w="110" w:type="dxa"/>
              <w:bottom w:w="60" w:type="dxa"/>
              <w:right w:w="110" w:type="dxa"/>
            </w:tcMar>
          </w:tcPr>
          <w:p>
            <w:pPr>
              <w:spacing w:after="40" w:before="40"/>
              <w:jc w:val="right"/>
            </w:pPr>
            <w:r/>
            <w:r>
              <w:rPr>
                <w:rFonts w:ascii="Liberation Sans" w:hAnsi="Liberation Sans"/>
                <w:color w:val="27241B"/>
                <w:sz w:val="16"/>
              </w:rPr>
              <w:t>3</w:t>
            </w:r>
          </w:p>
        </w:tc>
        <w:tc>
          <w:tcPr>
            <w:tcW w:type="dxa" w:w="2520"/>
            <w:tcMar>
              <w:top w:w="60" w:type="dxa"/>
              <w:left w:w="110" w:type="dxa"/>
              <w:bottom w:w="60" w:type="dxa"/>
              <w:right w:w="110" w:type="dxa"/>
            </w:tcMar>
          </w:tcPr>
          <w:p>
            <w:pPr>
              <w:spacing w:after="40" w:before="40"/>
            </w:pPr>
            <w:r/>
            <w:r>
              <w:rPr>
                <w:rFonts w:ascii="Liberation Sans" w:hAnsi="Liberation Sans"/>
                <w:color w:val="27241B"/>
                <w:sz w:val="16"/>
              </w:rPr>
              <w:t>Thika Road access recovery: landlord and county engagement, extended hours, local marketing to restore trips</w:t>
            </w:r>
          </w:p>
        </w:tc>
        <w:tc>
          <w:tcPr>
            <w:tcW w:type="dxa" w:w="1440"/>
            <w:tcMar>
              <w:top w:w="60" w:type="dxa"/>
              <w:left w:w="110" w:type="dxa"/>
              <w:bottom w:w="60" w:type="dxa"/>
              <w:right w:w="110" w:type="dxa"/>
            </w:tcMar>
          </w:tcPr>
          <w:p>
            <w:pPr>
              <w:spacing w:after="40" w:before="40"/>
            </w:pPr>
            <w:r/>
            <w:r>
              <w:rPr>
                <w:rFonts w:ascii="Liberation Sans" w:hAnsi="Liberation Sans"/>
                <w:color w:val="27241B"/>
                <w:sz w:val="16"/>
              </w:rPr>
              <w:t>Retail Operations</w:t>
            </w:r>
          </w:p>
        </w:tc>
        <w:tc>
          <w:tcPr>
            <w:tcW w:type="dxa" w:w="2448"/>
            <w:tcMar>
              <w:top w:w="60" w:type="dxa"/>
              <w:left w:w="110" w:type="dxa"/>
              <w:bottom w:w="60" w:type="dxa"/>
              <w:right w:w="110" w:type="dxa"/>
            </w:tcMar>
          </w:tcPr>
          <w:p>
            <w:pPr>
              <w:spacing w:after="40" w:before="40"/>
            </w:pPr>
            <w:r/>
            <w:r>
              <w:rPr>
                <w:rFonts w:ascii="Liberation Sans" w:hAnsi="Liberation Sans"/>
                <w:color w:val="27241B"/>
                <w:sz w:val="16"/>
              </w:rPr>
              <w:t>Frequency fell -23.7% while basket value held at -0.3% — a pure traffic problem worth KSh 1.49M</w:t>
            </w:r>
          </w:p>
        </w:tc>
        <w:tc>
          <w:tcPr>
            <w:tcW w:type="dxa" w:w="1224"/>
            <w:tcMar>
              <w:top w:w="60" w:type="dxa"/>
              <w:left w:w="110" w:type="dxa"/>
              <w:bottom w:w="60" w:type="dxa"/>
              <w:right w:w="110" w:type="dxa"/>
            </w:tcMar>
          </w:tcPr>
          <w:p>
            <w:pPr>
              <w:spacing w:after="40" w:before="40"/>
              <w:jc w:val="right"/>
            </w:pPr>
            <w:r/>
            <w:r>
              <w:rPr>
                <w:rFonts w:ascii="Liberation Sans" w:hAnsi="Liberation Sans"/>
                <w:color w:val="27241B"/>
                <w:sz w:val="16"/>
              </w:rPr>
              <w:t>KSh 0.89M</w:t>
            </w:r>
          </w:p>
        </w:tc>
        <w:tc>
          <w:tcPr>
            <w:tcW w:type="dxa" w:w="1152"/>
            <w:tcMar>
              <w:top w:w="60" w:type="dxa"/>
              <w:left w:w="110" w:type="dxa"/>
              <w:bottom w:w="60" w:type="dxa"/>
              <w:right w:w="110" w:type="dxa"/>
            </w:tcMar>
          </w:tcPr>
          <w:p>
            <w:pPr>
              <w:spacing w:after="40" w:before="40"/>
            </w:pPr>
            <w:r/>
            <w:r>
              <w:rPr>
                <w:rFonts w:ascii="Liberation Sans" w:hAnsi="Liberation Sans"/>
                <w:color w:val="27241B"/>
                <w:sz w:val="16"/>
              </w:rPr>
              <w:t>2026-12-04 (+60d)</w:t>
            </w:r>
          </w:p>
        </w:tc>
      </w:tr>
      <w:tr>
        <w:tc>
          <w:tcPr>
            <w:tcW w:type="dxa" w:w="43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6"/>
              </w:rPr>
              <w:t>4</w:t>
            </w:r>
          </w:p>
        </w:tc>
        <w:tc>
          <w:tcPr>
            <w:tcW w:type="dxa" w:w="2520"/>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Cap beverage promotional depth back toward 4.8% of gross and require an approval gate above it</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Pricing &amp; Category Management</w:t>
            </w:r>
          </w:p>
        </w:tc>
        <w:tc>
          <w:tcPr>
            <w:tcW w:type="dxa" w:w="2448"/>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Beverage discount depth rose +13.05pp; category revenue fell -20.3%</w:t>
            </w:r>
          </w:p>
        </w:tc>
        <w:tc>
          <w:tcPr>
            <w:tcW w:type="dxa" w:w="122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6"/>
              </w:rPr>
              <w:t>KSh 0.27M</w:t>
            </w:r>
          </w:p>
        </w:tc>
        <w:tc>
          <w:tcPr>
            <w:tcW w:type="dxa" w:w="1152"/>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2026-10-26 (+21d)</w:t>
            </w:r>
          </w:p>
        </w:tc>
      </w:tr>
      <w:tr>
        <w:tc>
          <w:tcPr>
            <w:tcW w:type="dxa" w:w="432"/>
            <w:tcMar>
              <w:top w:w="60" w:type="dxa"/>
              <w:left w:w="110" w:type="dxa"/>
              <w:bottom w:w="60" w:type="dxa"/>
              <w:right w:w="110" w:type="dxa"/>
            </w:tcMar>
          </w:tcPr>
          <w:p>
            <w:pPr>
              <w:spacing w:after="40" w:before="40"/>
              <w:jc w:val="right"/>
            </w:pPr>
            <w:r/>
            <w:r>
              <w:rPr>
                <w:rFonts w:ascii="Liberation Sans" w:hAnsi="Liberation Sans"/>
                <w:color w:val="27241B"/>
                <w:sz w:val="16"/>
              </w:rPr>
              <w:t>5</w:t>
            </w:r>
          </w:p>
        </w:tc>
        <w:tc>
          <w:tcPr>
            <w:tcW w:type="dxa" w:w="2520"/>
            <w:tcMar>
              <w:top w:w="60" w:type="dxa"/>
              <w:left w:w="110" w:type="dxa"/>
              <w:bottom w:w="60" w:type="dxa"/>
              <w:right w:w="110" w:type="dxa"/>
            </w:tcMar>
          </w:tcPr>
          <w:p>
            <w:pPr>
              <w:spacing w:after="40" w:before="40"/>
            </w:pPr>
            <w:r/>
            <w:r>
              <w:rPr>
                <w:rFonts w:ascii="Liberation Sans" w:hAnsi="Liberation Sans"/>
                <w:color w:val="27241B"/>
                <w:sz w:val="16"/>
              </w:rPr>
              <w:t>Convert the frequency leak: targeted win-back for the 855 lapsed customers and a second-purchase nudge for the 1,145 new ones</w:t>
            </w:r>
          </w:p>
        </w:tc>
        <w:tc>
          <w:tcPr>
            <w:tcW w:type="dxa" w:w="1440"/>
            <w:tcMar>
              <w:top w:w="60" w:type="dxa"/>
              <w:left w:w="110" w:type="dxa"/>
              <w:bottom w:w="60" w:type="dxa"/>
              <w:right w:w="110" w:type="dxa"/>
            </w:tcMar>
          </w:tcPr>
          <w:p>
            <w:pPr>
              <w:spacing w:after="40" w:before="40"/>
            </w:pPr>
            <w:r/>
            <w:r>
              <w:rPr>
                <w:rFonts w:ascii="Liberation Sans" w:hAnsi="Liberation Sans"/>
                <w:color w:val="27241B"/>
                <w:sz w:val="16"/>
              </w:rPr>
              <w:t>CRM / Loyalty</w:t>
            </w:r>
          </w:p>
        </w:tc>
        <w:tc>
          <w:tcPr>
            <w:tcW w:type="dxa" w:w="2448"/>
            <w:tcMar>
              <w:top w:w="60" w:type="dxa"/>
              <w:left w:w="110" w:type="dxa"/>
              <w:bottom w:w="60" w:type="dxa"/>
              <w:right w:w="110" w:type="dxa"/>
            </w:tcMar>
          </w:tcPr>
          <w:p>
            <w:pPr>
              <w:spacing w:after="40" w:before="40"/>
            </w:pPr>
            <w:r/>
            <w:r>
              <w:rPr>
                <w:rFonts w:ascii="Liberation Sans" w:hAnsi="Liberation Sans"/>
                <w:color w:val="27241B"/>
                <w:sz w:val="16"/>
              </w:rPr>
              <w:t>-11.4% trips per customer across all four established segments; residual pool worth KSh 0.97M</w:t>
            </w:r>
          </w:p>
        </w:tc>
        <w:tc>
          <w:tcPr>
            <w:tcW w:type="dxa" w:w="1224"/>
            <w:tcMar>
              <w:top w:w="60" w:type="dxa"/>
              <w:left w:w="110" w:type="dxa"/>
              <w:bottom w:w="60" w:type="dxa"/>
              <w:right w:w="110" w:type="dxa"/>
            </w:tcMar>
          </w:tcPr>
          <w:p>
            <w:pPr>
              <w:spacing w:after="40" w:before="40"/>
              <w:jc w:val="right"/>
            </w:pPr>
            <w:r/>
            <w:r>
              <w:rPr>
                <w:rFonts w:ascii="Liberation Sans" w:hAnsi="Liberation Sans"/>
                <w:color w:val="27241B"/>
                <w:sz w:val="16"/>
              </w:rPr>
              <w:t>KSh 0.49M</w:t>
            </w:r>
          </w:p>
        </w:tc>
        <w:tc>
          <w:tcPr>
            <w:tcW w:type="dxa" w:w="1152"/>
            <w:tcMar>
              <w:top w:w="60" w:type="dxa"/>
              <w:left w:w="110" w:type="dxa"/>
              <w:bottom w:w="60" w:type="dxa"/>
              <w:right w:w="110" w:type="dxa"/>
            </w:tcMar>
          </w:tcPr>
          <w:p>
            <w:pPr>
              <w:spacing w:after="40" w:before="40"/>
            </w:pPr>
            <w:r/>
            <w:r>
              <w:rPr>
                <w:rFonts w:ascii="Liberation Sans" w:hAnsi="Liberation Sans"/>
                <w:color w:val="27241B"/>
                <w:sz w:val="16"/>
              </w:rPr>
              <w:t>2027-01-03 (+90d)</w:t>
            </w:r>
          </w:p>
        </w:tc>
      </w:tr>
      <w:tr>
        <w:tc>
          <w:tcPr>
            <w:tcW w:type="dxa" w:w="432"/>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6"/>
              </w:rPr>
              <w:t>6</w:t>
            </w:r>
          </w:p>
        </w:tc>
        <w:tc>
          <w:tcPr>
            <w:tcW w:type="dxa" w:w="2520"/>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Capture a customer identifier on every transaction; start logging supplier promised-vs-actual lead times</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Data / POS &amp; Supply Chain</w:t>
            </w:r>
          </w:p>
        </w:tc>
        <w:tc>
          <w:tcPr>
            <w:tcW w:type="dxa" w:w="2448"/>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0.76% of revenue is currently unattributable and the root cause of the stock-out is unanswerable</w:t>
            </w:r>
          </w:p>
        </w:tc>
        <w:tc>
          <w:tcPr>
            <w:tcW w:type="dxa" w:w="1224"/>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6"/>
              </w:rPr>
              <w:t>No direct revenue; removes both blind spots</w:t>
            </w:r>
          </w:p>
        </w:tc>
        <w:tc>
          <w:tcPr>
            <w:tcW w:type="dxa" w:w="1152"/>
            <w:tcMar>
              <w:top w:w="60" w:type="dxa"/>
              <w:left w:w="110" w:type="dxa"/>
              <w:bottom w:w="60" w:type="dxa"/>
              <w:right w:w="110" w:type="dxa"/>
            </w:tcMar>
            <w:shd w:val="clear" w:color="auto" w:fill="FFFDF0"/>
          </w:tcPr>
          <w:p>
            <w:pPr>
              <w:spacing w:after="40" w:before="40"/>
            </w:pPr>
            <w:r/>
            <w:r>
              <w:rPr>
                <w:rFonts w:ascii="Liberation Sans" w:hAnsi="Liberation Sans"/>
                <w:color w:val="27241B"/>
                <w:sz w:val="16"/>
              </w:rPr>
              <w:t>2027-01-03 (next quarter)</w:t>
            </w:r>
          </w:p>
        </w:tc>
      </w:tr>
    </w:tbl>
    <w:p>
      <w:pPr>
        <w:spacing w:after="0" w:before="0" w:line="240" w:lineRule="auto"/>
      </w:pPr>
      <w:r>
        <w:rPr>
          <w:sz w:val="8"/>
        </w:rPr>
      </w:r>
    </w:p>
    <w:p>
      <w:pPr>
        <w:pStyle w:val="Heading2"/>
      </w:pPr>
      <w:r>
        <w:t>Sequencing and dependencies</w:t>
      </w:r>
    </w:p>
    <w:p>
      <w:pPr>
        <w:pStyle w:val="ListBullet"/>
        <w:spacing w:after="80"/>
      </w:pPr>
      <w:r>
        <w:rPr>
          <w:rFonts w:ascii="Liberation Sans" w:hAnsi="Liberation Sans"/>
          <w:color w:val="27241B"/>
          <w:sz w:val="19"/>
        </w:rPr>
        <w:t>Days 0-30: actions 1 and 4. Both are cheap and reversible, and both stop active bleeding. Action 4 is a policy change; action 1 is a purchase order.</w:t>
      </w:r>
    </w:p>
    <w:p>
      <w:pPr>
        <w:pStyle w:val="ListBullet"/>
        <w:spacing w:after="80"/>
      </w:pPr>
      <w:r>
        <w:rPr>
          <w:rFonts w:ascii="Liberation Sans" w:hAnsi="Liberation Sans"/>
          <w:color w:val="27241B"/>
          <w:sz w:val="19"/>
        </w:rPr>
        <w:t>Days 30-60: actions 2 and 3. These need time to show up in traffic data.</w:t>
      </w:r>
    </w:p>
    <w:p>
      <w:pPr>
        <w:pStyle w:val="ListBullet"/>
        <w:spacing w:after="80"/>
      </w:pPr>
      <w:r>
        <w:rPr>
          <w:rFonts w:ascii="Liberation Sans" w:hAnsi="Liberation Sans"/>
          <w:color w:val="27241B"/>
          <w:sz w:val="19"/>
        </w:rPr>
        <w:t>Days 60-90: action 5, which depends on knowing the base is stable first.</w:t>
      </w:r>
    </w:p>
    <w:p>
      <w:pPr>
        <w:pStyle w:val="ListBullet"/>
        <w:spacing w:after="80"/>
      </w:pPr>
      <w:r>
        <w:rPr>
          <w:rFonts w:ascii="Liberation Sans" w:hAnsi="Liberation Sans"/>
          <w:color w:val="27241B"/>
          <w:sz w:val="19"/>
        </w:rPr>
        <w:t>Continuous: action 6. It is the only item that makes the *next* diagnosis cheaper — and this entire report exists because two data gaps had to be worked around.</w:t>
      </w:r>
    </w:p>
    <w:p>
      <w:pPr>
        <w:spacing w:after="40"/>
      </w:pPr>
      <w:r>
        <w:rPr>
          <w:rFonts w:ascii="Liberation Sans" w:hAnsi="Liberation Sans"/>
          <w:b/>
          <w:i w:val="0"/>
          <w:color w:val="FB6107"/>
          <w:sz w:val="17"/>
        </w:rPr>
        <w:t>SECTION 14</w:t>
      </w:r>
    </w:p>
    <w:p>
      <w:pPr>
        <w:pStyle w:val="Heading1"/>
      </w:pPr>
      <w:r>
        <w:t>How we will know whether it worked</w:t>
      </w:r>
    </w:p>
    <w:p>
      <w:pPr>
        <w:spacing w:after="140"/>
      </w:pPr>
      <w:r>
        <w:rPr>
          <w:rFonts w:ascii="Liberation Sans" w:hAnsi="Liberation Sans"/>
          <w:b w:val="0"/>
          <w:i w:val="0"/>
          <w:color w:val="27241B"/>
          <w:sz w:val="20"/>
        </w:rPr>
        <w:t>Track the same five numbers this analysis used, on the same grain, every month. An analysis that never checks its own predictions never improves.</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2444"/>
        <w:gridCol w:w="2444"/>
        <w:gridCol w:w="2444"/>
        <w:gridCol w:w="2444"/>
      </w:tblGrid>
      <w:tr>
        <w:trPr>
          <w:tblHeader w:val="true"/>
        </w:trPr>
        <w:tc>
          <w:tcPr>
            <w:tcW w:type="dxa" w:w="3024"/>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t>Metric</w:t>
            </w:r>
          </w:p>
        </w:tc>
        <w:tc>
          <w:tcPr>
            <w:tcW w:type="dxa" w:w="2160"/>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Baseline</w:t>
            </w:r>
          </w:p>
        </w:tc>
        <w:tc>
          <w:tcPr>
            <w:tcW w:type="dxa" w:w="2448"/>
            <w:shd w:val="clear" w:color="auto" w:fill="FFEFD5"/>
            <w:tcMar>
              <w:top w:w="60" w:type="dxa"/>
              <w:left w:w="110" w:type="dxa"/>
              <w:bottom w:w="60" w:type="dxa"/>
              <w:right w:w="110" w:type="dxa"/>
            </w:tcMar>
          </w:tcPr>
          <w:p>
            <w:pPr>
              <w:spacing w:after="40" w:before="40"/>
              <w:jc w:val="right"/>
            </w:pPr>
            <w:r/>
            <w:r>
              <w:rPr>
                <w:rFonts w:ascii="Liberation Sans" w:hAnsi="Liberation Sans"/>
                <w:b/>
                <w:color w:val="27241B"/>
                <w:sz w:val="18"/>
              </w:rPr>
              <w:t>Target by Q1 FY2027</w:t>
            </w:r>
          </w:p>
        </w:tc>
        <w:tc>
          <w:tcPr>
            <w:tcW w:type="dxa" w:w="1584"/>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t>Watched by</w:t>
            </w:r>
          </w:p>
        </w:tc>
      </w:tr>
      <w:tr>
        <w:tc>
          <w:tcPr>
            <w:tcW w:type="dxa" w:w="3024"/>
            <w:tcMar>
              <w:top w:w="60" w:type="dxa"/>
              <w:left w:w="110" w:type="dxa"/>
              <w:bottom w:w="60" w:type="dxa"/>
              <w:right w:w="110" w:type="dxa"/>
            </w:tcMar>
          </w:tcPr>
          <w:p>
            <w:pPr>
              <w:spacing w:after="40" w:before="40"/>
            </w:pPr>
            <w:r/>
            <w:r>
              <w:rPr>
                <w:rFonts w:ascii="Liberation Sans" w:hAnsi="Liberation Sans"/>
                <w:color w:val="27241B"/>
                <w:sz w:val="18"/>
              </w:rPr>
              <w:t>Orders per customer</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8"/>
              </w:rPr>
              <w:t>5.44</w:t>
            </w:r>
          </w:p>
        </w:tc>
        <w:tc>
          <w:tcPr>
            <w:tcW w:type="dxa" w:w="2448"/>
            <w:tcMar>
              <w:top w:w="60" w:type="dxa"/>
              <w:left w:w="110" w:type="dxa"/>
              <w:bottom w:w="60" w:type="dxa"/>
              <w:right w:w="110" w:type="dxa"/>
            </w:tcMar>
          </w:tcPr>
          <w:p>
            <w:pPr>
              <w:spacing w:after="40" w:before="40"/>
              <w:jc w:val="right"/>
            </w:pPr>
            <w:r/>
            <w:r>
              <w:rPr>
                <w:rFonts w:ascii="Liberation Sans" w:hAnsi="Liberation Sans"/>
                <w:color w:val="27241B"/>
                <w:sz w:val="18"/>
              </w:rPr>
              <w:t>back above 5.44</w:t>
            </w:r>
          </w:p>
        </w:tc>
        <w:tc>
          <w:tcPr>
            <w:tcW w:type="dxa" w:w="1584"/>
            <w:tcMar>
              <w:top w:w="60" w:type="dxa"/>
              <w:left w:w="110" w:type="dxa"/>
              <w:bottom w:w="60" w:type="dxa"/>
              <w:right w:w="110" w:type="dxa"/>
            </w:tcMar>
          </w:tcPr>
          <w:p>
            <w:pPr>
              <w:spacing w:after="40" w:before="40"/>
            </w:pPr>
            <w:r/>
            <w:r>
              <w:rPr>
                <w:rFonts w:ascii="Liberation Sans" w:hAnsi="Liberation Sans"/>
                <w:color w:val="27241B"/>
                <w:sz w:val="18"/>
              </w:rPr>
              <w:t>CRM</w:t>
            </w:r>
          </w:p>
        </w:tc>
      </w:tr>
      <w:tr>
        <w:tc>
          <w:tcPr>
            <w:tcW w:type="dxa" w:w="302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Hero SKU shelf availability (Mombasa)</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9.5%</w:t>
            </w:r>
          </w:p>
        </w:tc>
        <w:tc>
          <w:tcPr>
            <w:tcW w:type="dxa" w:w="2448"/>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&gt;99%</w:t>
            </w:r>
          </w:p>
        </w:tc>
        <w:tc>
          <w:tcPr>
            <w:tcW w:type="dxa" w:w="158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Supply Chain</w:t>
            </w:r>
          </w:p>
        </w:tc>
      </w:tr>
      <w:tr>
        <w:tc>
          <w:tcPr>
            <w:tcW w:type="dxa" w:w="3024"/>
            <w:tcMar>
              <w:top w:w="60" w:type="dxa"/>
              <w:left w:w="110" w:type="dxa"/>
              <w:bottom w:w="60" w:type="dxa"/>
              <w:right w:w="110" w:type="dxa"/>
            </w:tcMar>
          </w:tcPr>
          <w:p>
            <w:pPr>
              <w:spacing w:after="40" w:before="40"/>
            </w:pPr>
            <w:r/>
            <w:r>
              <w:rPr>
                <w:rFonts w:ascii="Liberation Sans" w:hAnsi="Liberation Sans"/>
                <w:color w:val="27241B"/>
                <w:sz w:val="18"/>
              </w:rPr>
              <w:t>Thika Road visits per customer</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8"/>
              </w:rPr>
              <w:t>-23.7% YoY</w:t>
            </w:r>
          </w:p>
        </w:tc>
        <w:tc>
          <w:tcPr>
            <w:tcW w:type="dxa" w:w="2448"/>
            <w:tcMar>
              <w:top w:w="60" w:type="dxa"/>
              <w:left w:w="110" w:type="dxa"/>
              <w:bottom w:w="60" w:type="dxa"/>
              <w:right w:w="110" w:type="dxa"/>
            </w:tcMar>
          </w:tcPr>
          <w:p>
            <w:pPr>
              <w:spacing w:after="40" w:before="40"/>
              <w:jc w:val="right"/>
            </w:pPr>
            <w:r/>
            <w:r>
              <w:rPr>
                <w:rFonts w:ascii="Liberation Sans" w:hAnsi="Liberation Sans"/>
                <w:color w:val="27241B"/>
                <w:sz w:val="18"/>
              </w:rPr>
              <w:t>&gt;0% YoY</w:t>
            </w:r>
          </w:p>
        </w:tc>
        <w:tc>
          <w:tcPr>
            <w:tcW w:type="dxa" w:w="1584"/>
            <w:tcMar>
              <w:top w:w="60" w:type="dxa"/>
              <w:left w:w="110" w:type="dxa"/>
              <w:bottom w:w="60" w:type="dxa"/>
              <w:right w:w="110" w:type="dxa"/>
            </w:tcMar>
          </w:tcPr>
          <w:p>
            <w:pPr>
              <w:spacing w:after="40" w:before="40"/>
            </w:pPr>
            <w:r/>
            <w:r>
              <w:rPr>
                <w:rFonts w:ascii="Liberation Sans" w:hAnsi="Liberation Sans"/>
                <w:color w:val="27241B"/>
                <w:sz w:val="18"/>
              </w:rPr>
              <w:t>Retail Ops</w:t>
            </w:r>
          </w:p>
        </w:tc>
      </w:tr>
      <w:tr>
        <w:tc>
          <w:tcPr>
            <w:tcW w:type="dxa" w:w="302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Beverage discount depth</w:t>
            </w:r>
          </w:p>
        </w:tc>
        <w:tc>
          <w:tcPr>
            <w:tcW w:type="dxa" w:w="2160"/>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7.82% of gross</w:t>
            </w:r>
          </w:p>
        </w:tc>
        <w:tc>
          <w:tcPr>
            <w:tcW w:type="dxa" w:w="2448"/>
            <w:tcMar>
              <w:top w:w="60" w:type="dxa"/>
              <w:left w:w="110" w:type="dxa"/>
              <w:bottom w:w="60" w:type="dxa"/>
              <w:right w:w="110" w:type="dxa"/>
            </w:tcMar>
            <w:shd w:val="clear" w:color="auto" w:fill="FFFDF0"/>
          </w:tcPr>
          <w:p>
            <w:pPr>
              <w:spacing w:after="40" w:before="40"/>
              <w:jc w:val="right"/>
            </w:pPr>
            <w:r/>
            <w:r>
              <w:rPr>
                <w:rFonts w:ascii="Liberation Sans" w:hAnsi="Liberation Sans"/>
                <w:color w:val="27241B"/>
                <w:sz w:val="18"/>
              </w:rPr>
              <w:t>&lt;= 4.80%</w:t>
            </w:r>
          </w:p>
        </w:tc>
        <w:tc>
          <w:tcPr>
            <w:tcW w:type="dxa" w:w="1584"/>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Pricing</w:t>
            </w:r>
          </w:p>
        </w:tc>
      </w:tr>
      <w:tr>
        <w:tc>
          <w:tcPr>
            <w:tcW w:type="dxa" w:w="3024"/>
            <w:tcMar>
              <w:top w:w="60" w:type="dxa"/>
              <w:left w:w="110" w:type="dxa"/>
              <w:bottom w:w="60" w:type="dxa"/>
              <w:right w:w="110" w:type="dxa"/>
            </w:tcMar>
          </w:tcPr>
          <w:p>
            <w:pPr>
              <w:spacing w:after="40" w:before="40"/>
            </w:pPr>
            <w:r/>
            <w:r>
              <w:rPr>
                <w:rFonts w:ascii="Liberation Sans" w:hAnsi="Liberation Sans"/>
                <w:color w:val="27241B"/>
                <w:sz w:val="18"/>
              </w:rPr>
              <w:t>Gross margin</w:t>
            </w:r>
          </w:p>
        </w:tc>
        <w:tc>
          <w:tcPr>
            <w:tcW w:type="dxa" w:w="2160"/>
            <w:tcMar>
              <w:top w:w="60" w:type="dxa"/>
              <w:left w:w="110" w:type="dxa"/>
              <w:bottom w:w="60" w:type="dxa"/>
              <w:right w:w="110" w:type="dxa"/>
            </w:tcMar>
          </w:tcPr>
          <w:p>
            <w:pPr>
              <w:spacing w:after="40" w:before="40"/>
              <w:jc w:val="right"/>
            </w:pPr>
            <w:r/>
            <w:r>
              <w:rPr>
                <w:rFonts w:ascii="Liberation Sans" w:hAnsi="Liberation Sans"/>
                <w:color w:val="27241B"/>
                <w:sz w:val="18"/>
              </w:rPr>
              <w:t>18.57%</w:t>
            </w:r>
          </w:p>
        </w:tc>
        <w:tc>
          <w:tcPr>
            <w:tcW w:type="dxa" w:w="2448"/>
            <w:tcMar>
              <w:top w:w="60" w:type="dxa"/>
              <w:left w:w="110" w:type="dxa"/>
              <w:bottom w:w="60" w:type="dxa"/>
              <w:right w:w="110" w:type="dxa"/>
            </w:tcMar>
          </w:tcPr>
          <w:p>
            <w:pPr>
              <w:spacing w:after="40" w:before="40"/>
              <w:jc w:val="right"/>
            </w:pPr>
            <w:r/>
            <w:r>
              <w:rPr>
                <w:rFonts w:ascii="Liberation Sans" w:hAnsi="Liberation Sans"/>
                <w:color w:val="27241B"/>
                <w:sz w:val="18"/>
              </w:rPr>
              <w:t>back above 19.95%</w:t>
            </w:r>
          </w:p>
        </w:tc>
        <w:tc>
          <w:tcPr>
            <w:tcW w:type="dxa" w:w="1584"/>
            <w:tcMar>
              <w:top w:w="60" w:type="dxa"/>
              <w:left w:w="110" w:type="dxa"/>
              <w:bottom w:w="60" w:type="dxa"/>
              <w:right w:w="110" w:type="dxa"/>
            </w:tcMar>
          </w:tcPr>
          <w:p>
            <w:pPr>
              <w:spacing w:after="40" w:before="40"/>
            </w:pPr>
            <w:r/>
            <w:r>
              <w:rPr>
                <w:rFonts w:ascii="Liberation Sans" w:hAnsi="Liberation Sans"/>
                <w:color w:val="27241B"/>
                <w:sz w:val="18"/>
              </w:rPr>
              <w:t>Finance</w:t>
            </w:r>
          </w:p>
        </w:tc>
      </w:tr>
    </w:tbl>
    <w:p>
      <w:pPr>
        <w:spacing w:after="40"/>
      </w:pPr>
      <w:r>
        <w:rPr>
          <w:rFonts w:ascii="Liberation Sans" w:hAnsi="Liberation Sans"/>
          <w:b/>
          <w:i w:val="0"/>
          <w:color w:val="FB6107"/>
          <w:sz w:val="17"/>
        </w:rPr>
        <w:t>APPENDIX A</w:t>
      </w:r>
    </w:p>
    <w:p>
      <w:pPr>
        <w:pStyle w:val="Heading1"/>
      </w:pPr>
      <w:r>
        <w:t>Method, provenance and reproducibility</w:t>
      </w:r>
    </w:p>
    <w:p>
      <w:pPr>
        <w:spacing w:after="140"/>
      </w:pPr>
      <w:r>
        <w:rPr>
          <w:rFonts w:ascii="Liberation Sans" w:hAnsi="Liberation Sans"/>
          <w:b w:val="0"/>
          <w:i w:val="0"/>
          <w:color w:val="27241B"/>
          <w:sz w:val="21"/>
        </w:rPr>
        <w:t>The whole project is a pipeline, not a set of notebooks. Each step consumes the previous step's outputs, so the analysis is reproducible rather than narrated.</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4889"/>
        <w:gridCol w:w="4889"/>
      </w:tblGrid>
      <w:tr>
        <w:trPr>
          <w:tblHeader w:val="true"/>
        </w:trPr>
        <w:tc>
          <w:tcPr>
            <w:tcW w:type="dxa" w:w="2736"/>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t>Step</w:t>
            </w:r>
          </w:p>
        </w:tc>
        <w:tc>
          <w:tcPr>
            <w:tcW w:type="dxa" w:w="6480"/>
            <w:shd w:val="clear" w:color="auto" w:fill="FFEFD5"/>
            <w:tcMar>
              <w:top w:w="60" w:type="dxa"/>
              <w:left w:w="110" w:type="dxa"/>
              <w:bottom w:w="60" w:type="dxa"/>
              <w:right w:w="110" w:type="dxa"/>
            </w:tcMar>
          </w:tcPr>
          <w:p>
            <w:pPr>
              <w:spacing w:after="40" w:before="40"/>
            </w:pPr>
            <w:r/>
            <w:r>
              <w:rPr>
                <w:rFonts w:ascii="Liberation Sans" w:hAnsi="Liberation Sans"/>
                <w:b/>
                <w:color w:val="27241B"/>
                <w:sz w:val="18"/>
              </w:rPr>
              <w:t>What it does</w:t>
            </w:r>
          </w:p>
        </w:tc>
      </w:tr>
      <w:tr>
        <w:tc>
          <w:tcPr>
            <w:tcW w:type="dxa" w:w="2736"/>
            <w:tcMar>
              <w:top w:w="60" w:type="dxa"/>
              <w:left w:w="110" w:type="dxa"/>
              <w:bottom w:w="60" w:type="dxa"/>
              <w:right w:w="110" w:type="dxa"/>
            </w:tcMar>
          </w:tcPr>
          <w:p>
            <w:pPr>
              <w:spacing w:after="40" w:before="40"/>
            </w:pPr>
            <w:r/>
            <w:r>
              <w:rPr>
                <w:rFonts w:ascii="Liberation Sans" w:hAnsi="Liberation Sans"/>
                <w:color w:val="27241B"/>
                <w:sz w:val="18"/>
              </w:rPr>
              <w:t>generate_data</w:t>
            </w:r>
          </w:p>
        </w:tc>
        <w:tc>
          <w:tcPr>
            <w:tcW w:type="dxa" w:w="6480"/>
            <w:tcMar>
              <w:top w:w="60" w:type="dxa"/>
              <w:left w:w="110" w:type="dxa"/>
              <w:bottom w:w="60" w:type="dxa"/>
              <w:right w:w="110" w:type="dxa"/>
            </w:tcMar>
          </w:tcPr>
          <w:p>
            <w:pPr>
              <w:spacing w:after="40" w:before="40"/>
            </w:pPr>
            <w:r/>
            <w:r>
              <w:rPr>
                <w:rFonts w:ascii="Liberation Sans" w:hAnsi="Liberation Sans"/>
                <w:color w:val="27241B"/>
                <w:sz w:val="18"/>
              </w:rPr>
              <w:t>simulate the star schema, with planted data-quality defects</w:t>
            </w:r>
          </w:p>
        </w:tc>
      </w:tr>
      <w:tr>
        <w:tc>
          <w:tcPr>
            <w:tcW w:type="dxa" w:w="2736"/>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clean_data</w:t>
            </w:r>
          </w:p>
        </w:tc>
        <w:tc>
          <w:tcPr>
            <w:tcW w:type="dxa" w:w="6480"/>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audit and repair, and write the data-quality report</w:t>
            </w:r>
          </w:p>
        </w:tc>
      </w:tr>
      <w:tr>
        <w:tc>
          <w:tcPr>
            <w:tcW w:type="dxa" w:w="2736"/>
            <w:tcMar>
              <w:top w:w="60" w:type="dxa"/>
              <w:left w:w="110" w:type="dxa"/>
              <w:bottom w:w="60" w:type="dxa"/>
              <w:right w:w="110" w:type="dxa"/>
            </w:tcMar>
          </w:tcPr>
          <w:p>
            <w:pPr>
              <w:spacing w:after="40" w:before="40"/>
            </w:pPr>
            <w:r/>
            <w:r>
              <w:rPr>
                <w:rFonts w:ascii="Liberation Sans" w:hAnsi="Liberation Sans"/>
                <w:color w:val="27241B"/>
                <w:sz w:val="18"/>
              </w:rPr>
              <w:t>run_sql</w:t>
            </w:r>
          </w:p>
        </w:tc>
        <w:tc>
          <w:tcPr>
            <w:tcW w:type="dxa" w:w="6480"/>
            <w:tcMar>
              <w:top w:w="60" w:type="dxa"/>
              <w:left w:w="110" w:type="dxa"/>
              <w:bottom w:w="60" w:type="dxa"/>
              <w:right w:w="110" w:type="dxa"/>
            </w:tcMar>
          </w:tcPr>
          <w:p>
            <w:pPr>
              <w:spacing w:after="40" w:before="40"/>
            </w:pPr>
            <w:r/>
            <w:r>
              <w:rPr>
                <w:rFonts w:ascii="Liberation Sans" w:hAnsi="Liberation Sans"/>
                <w:color w:val="27241B"/>
                <w:sz w:val="18"/>
              </w:rPr>
              <w:t>build the SQLite warehouse and run every sql/*.sql</w:t>
            </w:r>
          </w:p>
        </w:tc>
      </w:tr>
      <w:tr>
        <w:tc>
          <w:tcPr>
            <w:tcW w:type="dxa" w:w="2736"/>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decompose</w:t>
            </w:r>
          </w:p>
        </w:tc>
        <w:tc>
          <w:tcPr>
            <w:tcW w:type="dxa" w:w="6480"/>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mechanism, structure and the disjoint driver partition</w:t>
            </w:r>
          </w:p>
        </w:tc>
      </w:tr>
      <w:tr>
        <w:tc>
          <w:tcPr>
            <w:tcW w:type="dxa" w:w="2736"/>
            <w:tcMar>
              <w:top w:w="60" w:type="dxa"/>
              <w:left w:w="110" w:type="dxa"/>
              <w:bottom w:w="60" w:type="dxa"/>
              <w:right w:w="110" w:type="dxa"/>
            </w:tcMar>
          </w:tcPr>
          <w:p>
            <w:pPr>
              <w:spacing w:after="40" w:before="40"/>
            </w:pPr>
            <w:r/>
            <w:r>
              <w:rPr>
                <w:rFonts w:ascii="Liberation Sans" w:hAnsi="Liberation Sans"/>
                <w:color w:val="27241B"/>
                <w:sz w:val="18"/>
              </w:rPr>
              <w:t>five_whys</w:t>
            </w:r>
          </w:p>
        </w:tc>
        <w:tc>
          <w:tcPr>
            <w:tcW w:type="dxa" w:w="6480"/>
            <w:tcMar>
              <w:top w:w="60" w:type="dxa"/>
              <w:left w:w="110" w:type="dxa"/>
              <w:bottom w:w="60" w:type="dxa"/>
              <w:right w:w="110" w:type="dxa"/>
            </w:tcMar>
          </w:tcPr>
          <w:p>
            <w:pPr>
              <w:spacing w:after="40" w:before="40"/>
            </w:pPr>
            <w:r/>
            <w:r>
              <w:rPr>
                <w:rFonts w:ascii="Liberation Sans" w:hAnsi="Liberation Sans"/>
                <w:color w:val="27241B"/>
                <w:sz w:val="18"/>
              </w:rPr>
              <w:t>the evidential why-chain, generated from tables</w:t>
            </w:r>
          </w:p>
        </w:tc>
      </w:tr>
      <w:tr>
        <w:tc>
          <w:tcPr>
            <w:tcW w:type="dxa" w:w="2736"/>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write_report</w:t>
            </w:r>
          </w:p>
        </w:tc>
        <w:tc>
          <w:tcPr>
            <w:tcW w:type="dxa" w:w="6480"/>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the findings report and the recommendations register</w:t>
            </w:r>
          </w:p>
        </w:tc>
      </w:tr>
      <w:tr>
        <w:tc>
          <w:tcPr>
            <w:tcW w:type="dxa" w:w="2736"/>
            <w:tcMar>
              <w:top w:w="60" w:type="dxa"/>
              <w:left w:w="110" w:type="dxa"/>
              <w:bottom w:w="60" w:type="dxa"/>
              <w:right w:w="110" w:type="dxa"/>
            </w:tcMar>
          </w:tcPr>
          <w:p>
            <w:pPr>
              <w:spacing w:after="40" w:before="40"/>
            </w:pPr>
            <w:r/>
            <w:r>
              <w:rPr>
                <w:rFonts w:ascii="Liberation Sans" w:hAnsi="Liberation Sans"/>
                <w:color w:val="27241B"/>
                <w:sz w:val="18"/>
              </w:rPr>
              <w:t>make_figures</w:t>
            </w:r>
          </w:p>
        </w:tc>
        <w:tc>
          <w:tcPr>
            <w:tcW w:type="dxa" w:w="6480"/>
            <w:tcMar>
              <w:top w:w="60" w:type="dxa"/>
              <w:left w:w="110" w:type="dxa"/>
              <w:bottom w:w="60" w:type="dxa"/>
              <w:right w:w="110" w:type="dxa"/>
            </w:tcMar>
          </w:tcPr>
          <w:p>
            <w:pPr>
              <w:spacing w:after="40" w:before="40"/>
            </w:pPr>
            <w:r/>
            <w:r>
              <w:rPr>
                <w:rFonts w:ascii="Liberation Sans" w:hAnsi="Liberation Sans"/>
                <w:color w:val="27241B"/>
                <w:sz w:val="18"/>
              </w:rPr>
              <w:t>the ten decision charts, in the dashboard's visual language</w:t>
            </w:r>
          </w:p>
        </w:tc>
      </w:tr>
      <w:tr>
        <w:tc>
          <w:tcPr>
            <w:tcW w:type="dxa" w:w="2736"/>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write_reports</w:t>
            </w:r>
          </w:p>
        </w:tc>
        <w:tc>
          <w:tcPr>
            <w:tcW w:type="dxa" w:w="6480"/>
            <w:tcMar>
              <w:top w:w="60" w:type="dxa"/>
              <w:left w:w="110" w:type="dxa"/>
              <w:bottom w:w="60" w:type="dxa"/>
              <w:right w:w="110" w:type="dxa"/>
            </w:tcMar>
            <w:shd w:val="clear" w:color="auto" w:fill="FFFDF0"/>
          </w:tcPr>
          <w:p>
            <w:pPr>
              <w:spacing w:after="40" w:before="40"/>
            </w:pPr>
            <w:r/>
            <w:r>
              <w:rPr>
                <w:rFonts w:ascii="Liberation Sans" w:hAnsi="Liberation Sans"/>
                <w:color w:val="27241B"/>
                <w:sz w:val="18"/>
              </w:rPr>
              <w:t>this report, the brief, the deck and the PDF</w:t>
            </w:r>
          </w:p>
        </w:tc>
      </w:tr>
      <w:tr>
        <w:tc>
          <w:tcPr>
            <w:tcW w:type="dxa" w:w="2736"/>
            <w:tcMar>
              <w:top w:w="60" w:type="dxa"/>
              <w:left w:w="110" w:type="dxa"/>
              <w:bottom w:w="60" w:type="dxa"/>
              <w:right w:w="110" w:type="dxa"/>
            </w:tcMar>
          </w:tcPr>
          <w:p>
            <w:pPr>
              <w:spacing w:after="40" w:before="40"/>
            </w:pPr>
            <w:r/>
            <w:r>
              <w:rPr>
                <w:rFonts w:ascii="Liberation Sans" w:hAnsi="Liberation Sans"/>
                <w:color w:val="27241B"/>
                <w:sz w:val="18"/>
              </w:rPr>
              <w:t>validate_against_truth</w:t>
            </w:r>
          </w:p>
        </w:tc>
        <w:tc>
          <w:tcPr>
            <w:tcW w:type="dxa" w:w="6480"/>
            <w:tcMar>
              <w:top w:w="60" w:type="dxa"/>
              <w:left w:w="110" w:type="dxa"/>
              <w:bottom w:w="60" w:type="dxa"/>
              <w:right w:w="110" w:type="dxa"/>
            </w:tcMar>
          </w:tcPr>
          <w:p>
            <w:pPr>
              <w:spacing w:after="40" w:before="40"/>
            </w:pPr>
            <w:r/>
            <w:r>
              <w:rPr>
                <w:rFonts w:ascii="Liberation Sans" w:hAnsi="Liberation Sans"/>
                <w:color w:val="27241B"/>
                <w:sz w:val="18"/>
              </w:rPr>
              <w:t>grade the diagnosis against the sealed answer key</w:t>
            </w:r>
          </w:p>
        </w:tc>
      </w:tr>
    </w:tbl>
    <w:p>
      <w:pPr>
        <w:spacing w:after="0" w:before="0" w:line="240" w:lineRule="auto"/>
      </w:pPr>
      <w:r>
        <w:rPr>
          <w:sz w:val="8"/>
        </w:rPr>
      </w:r>
    </w:p>
    <w:p>
      <w:pPr>
        <w:spacing w:after="140"/>
      </w:pPr>
      <w:r>
        <w:rPr>
          <w:rFonts w:ascii="Liberation Sans" w:hAnsi="Liberation Sans"/>
          <w:b w:val="0"/>
          <w:i w:val="0"/>
          <w:color w:val="89877B"/>
          <w:sz w:val="18"/>
        </w:rPr>
        <w:t>Reproduce everything with: python3 src/run_pipeline.py   (dataset seed 20260914). Note on the interpreter: the vendored numpy is built for CPython 3.12, so run the pipeline with a 3.12 interpreter that can see pylibs/ — for example make PY=/usr/bin/python3.12.</w:t>
      </w:r>
    </w:p>
    <w:p>
      <w:pPr>
        <w:spacing w:after="140"/>
      </w:pPr>
      <w:r>
        <w:rPr>
          <w:rFonts w:ascii="Liberation Sans" w:hAnsi="Liberation Sans"/>
          <w:b w:val="0"/>
          <w:i w:val="0"/>
          <w:color w:val="27241B"/>
          <w:sz w:val="19"/>
        </w:rPr>
        <w:t>The dataset is simulated from a documented mechanism (docs/00_ground_truth.md). That is deliberate: it allows the diagnosis to be graded. outputs/validation_report.md records 14/14 falsifiable checks passing.</w:t>
      </w:r>
    </w:p>
    <w:p>
      <w:pPr>
        <w:spacing w:after="40"/>
      </w:pPr>
      <w:r>
        <w:rPr>
          <w:rFonts w:ascii="Liberation Sans" w:hAnsi="Liberation Sans"/>
          <w:b/>
          <w:i w:val="0"/>
          <w:color w:val="FB6107"/>
          <w:sz w:val="17"/>
        </w:rPr>
        <w:t>APPENDIX B</w:t>
      </w:r>
    </w:p>
    <w:p>
      <w:pPr>
        <w:pStyle w:val="Heading1"/>
      </w:pPr>
      <w:r>
        <w:t>Index of charts</w:t>
      </w:r>
    </w:p>
    <w:tbl>
      <w:tblPr>
        <w:tblW w:type="auto" w:w="0"/>
        <w:jc w:val="center"/>
        <w:tblLayout w:type="fixed"/>
        <w:tblLook w:firstColumn="1" w:firstRow="1" w:lastColumn="0" w:lastRow="0" w:noHBand="0" w:noVBand="1" w:val="04A0"/>
        <w:tblBorders>
          <w:top w:val="single" w:sz="4" w:space="0" w:color="EFE6D3"/>
          <w:left w:val="single" w:sz="4" w:space="0" w:color="EFE6D3"/>
          <w:bottom w:val="single" w:sz="4" w:space="0" w:color="EFE6D3"/>
          <w:right w:val="single" w:sz="4" w:space="0" w:color="EFE6D3"/>
          <w:insideH w:val="single" w:sz="4" w:space="0" w:color="EFE6D3"/>
          <w:insideV w:val="single" w:sz="4" w:space="0" w:color="EFE6D3"/>
        </w:tblBorders>
      </w:tblPr>
      <w:tblGrid>
        <w:gridCol w:w="3259"/>
        <w:gridCol w:w="3259"/>
        <w:gridCol w:w="3259"/>
      </w:tblGrid>
      <w:tr>
        <w:trPr>
          <w:tblHeader w:val="true"/>
        </w:trPr>
        <w:tc>
          <w:tcPr>
            <w:tcW w:type="dxa" w:w="2448"/>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Figure</w:t>
            </w:r>
          </w:p>
        </w:tc>
        <w:tc>
          <w:tcPr>
            <w:tcW w:type="dxa" w:w="1440"/>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Section</w:t>
            </w:r>
          </w:p>
        </w:tc>
        <w:tc>
          <w:tcPr>
            <w:tcW w:type="dxa" w:w="5328"/>
            <w:shd w:val="clear" w:color="auto" w:fill="FFEFD5"/>
            <w:tcMar>
              <w:top w:w="60" w:type="dxa"/>
              <w:left w:w="110" w:type="dxa"/>
              <w:bottom w:w="60" w:type="dxa"/>
              <w:right w:w="110" w:type="dxa"/>
            </w:tcMar>
          </w:tcPr>
          <w:p>
            <w:pPr>
              <w:spacing w:after="40" w:before="40"/>
            </w:pPr>
            <w:r/>
            <w:r>
              <w:rPr>
                <w:rFonts w:ascii="Liberation Sans" w:hAnsi="Liberation Sans"/>
                <w:b/>
                <w:color w:val="27241B"/>
                <w:sz w:val="17"/>
              </w:rPr>
              <w:t>The sentence it proves</w:t>
            </w:r>
          </w:p>
        </w:tc>
      </w:tr>
      <w:tr>
        <w:tc>
          <w:tcPr>
            <w:tcW w:type="dxa" w:w="2448"/>
            <w:tcMar>
              <w:top w:w="60" w:type="dxa"/>
              <w:left w:w="110" w:type="dxa"/>
              <w:bottom w:w="60" w:type="dxa"/>
              <w:right w:w="110" w:type="dxa"/>
            </w:tcMar>
          </w:tcPr>
          <w:p>
            <w:pPr>
              <w:spacing w:after="40" w:before="40"/>
            </w:pPr>
            <w:r/>
            <w:r>
              <w:rPr>
                <w:rFonts w:ascii="Liberation Sans" w:hAnsi="Liberation Sans"/>
                <w:color w:val="27241B"/>
                <w:sz w:val="17"/>
              </w:rPr>
              <w:t>One headline, three mechanisms</w:t>
            </w:r>
          </w:p>
        </w:tc>
        <w:tc>
          <w:tcPr>
            <w:tcW w:type="dxa" w:w="1440"/>
            <w:tcMar>
              <w:top w:w="60" w:type="dxa"/>
              <w:left w:w="110" w:type="dxa"/>
              <w:bottom w:w="60" w:type="dxa"/>
              <w:right w:w="110" w:type="dxa"/>
            </w:tcMar>
          </w:tcPr>
          <w:p>
            <w:pPr>
              <w:spacing w:after="40" w:before="40"/>
            </w:pPr>
            <w:r/>
            <w:r>
              <w:rPr>
                <w:rFonts w:ascii="Liberation Sans" w:hAnsi="Liberation Sans"/>
                <w:color w:val="27241B"/>
                <w:sz w:val="17"/>
              </w:rPr>
              <w:t>Mechanism</w:t>
            </w:r>
          </w:p>
        </w:tc>
        <w:tc>
          <w:tcPr>
            <w:tcW w:type="dxa" w:w="5328"/>
            <w:tcMar>
              <w:top w:w="60" w:type="dxa"/>
              <w:left w:w="110" w:type="dxa"/>
              <w:bottom w:w="60" w:type="dxa"/>
              <w:right w:w="110" w:type="dxa"/>
            </w:tcMar>
          </w:tcPr>
          <w:p>
            <w:pPr>
              <w:spacing w:after="40" w:before="40"/>
            </w:pPr>
            <w:r/>
            <w:r>
              <w:rPr>
                <w:rFonts w:ascii="Liberation Sans" w:hAnsi="Liberation Sans"/>
                <w:color w:val="27241B"/>
                <w:sz w:val="17"/>
              </w:rPr>
              <w:t>The 10.7% fall is one customer gain against two larger losses — it is not one event.</w:t>
            </w:r>
          </w:p>
        </w:tc>
      </w:tr>
      <w:tr>
        <w:tc>
          <w:tcPr>
            <w:tcW w:type="dxa" w:w="2448"/>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Customers up, frequency down</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Mechanism</w:t>
            </w:r>
          </w:p>
        </w:tc>
        <w:tc>
          <w:tcPr>
            <w:tcW w:type="dxa" w:w="5328"/>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Acquisition is working; repeat behaviour is not. Different problem, different owner.</w:t>
            </w:r>
          </w:p>
        </w:tc>
      </w:tr>
      <w:tr>
        <w:tc>
          <w:tcPr>
            <w:tcW w:type="dxa" w:w="2448"/>
            <w:tcMar>
              <w:top w:w="60" w:type="dxa"/>
              <w:left w:w="110" w:type="dxa"/>
              <w:bottom w:w="60" w:type="dxa"/>
              <w:right w:w="110" w:type="dxa"/>
            </w:tcMar>
          </w:tcPr>
          <w:p>
            <w:pPr>
              <w:spacing w:after="40" w:before="40"/>
            </w:pPr>
            <w:r/>
            <w:r>
              <w:rPr>
                <w:rFonts w:ascii="Liberation Sans" w:hAnsi="Liberation Sans"/>
                <w:color w:val="27241B"/>
                <w:sz w:val="17"/>
              </w:rPr>
              <w:t>Where the money went, by store</w:t>
            </w:r>
          </w:p>
        </w:tc>
        <w:tc>
          <w:tcPr>
            <w:tcW w:type="dxa" w:w="1440"/>
            <w:tcMar>
              <w:top w:w="60" w:type="dxa"/>
              <w:left w:w="110" w:type="dxa"/>
              <w:bottom w:w="60" w:type="dxa"/>
              <w:right w:w="110" w:type="dxa"/>
            </w:tcMar>
          </w:tcPr>
          <w:p>
            <w:pPr>
              <w:spacing w:after="40" w:before="40"/>
            </w:pPr>
            <w:r/>
            <w:r>
              <w:rPr>
                <w:rFonts w:ascii="Liberation Sans" w:hAnsi="Liberation Sans"/>
                <w:color w:val="27241B"/>
                <w:sz w:val="17"/>
              </w:rPr>
              <w:t>Structure</w:t>
            </w:r>
          </w:p>
        </w:tc>
        <w:tc>
          <w:tcPr>
            <w:tcW w:type="dxa" w:w="5328"/>
            <w:tcMar>
              <w:top w:w="60" w:type="dxa"/>
              <w:left w:w="110" w:type="dxa"/>
              <w:bottom w:w="60" w:type="dxa"/>
              <w:right w:w="110" w:type="dxa"/>
            </w:tcMar>
          </w:tcPr>
          <w:p>
            <w:pPr>
              <w:spacing w:after="40" w:before="40"/>
            </w:pPr>
            <w:r/>
            <w:r>
              <w:rPr>
                <w:rFonts w:ascii="Liberation Sans" w:hAnsi="Liberation Sans"/>
                <w:color w:val="27241B"/>
                <w:sz w:val="17"/>
              </w:rPr>
              <w:t>Two stores carry 71% of the decline.</w:t>
            </w:r>
          </w:p>
        </w:tc>
      </w:tr>
      <w:tr>
        <w:tc>
          <w:tcPr>
            <w:tcW w:type="dxa" w:w="2448"/>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The intersection: store x category</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Intersection</w:t>
            </w:r>
          </w:p>
        </w:tc>
        <w:tc>
          <w:tcPr>
            <w:tcW w:type="dxa" w:w="5328"/>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The decline is concentrated, not diffuse — so the fix can be too.</w:t>
            </w:r>
          </w:p>
        </w:tc>
      </w:tr>
      <w:tr>
        <w:tc>
          <w:tcPr>
            <w:tcW w:type="dxa" w:w="2448"/>
            <w:tcMar>
              <w:top w:w="60" w:type="dxa"/>
              <w:left w:w="110" w:type="dxa"/>
              <w:bottom w:w="60" w:type="dxa"/>
              <w:right w:w="110" w:type="dxa"/>
            </w:tcMar>
          </w:tcPr>
          <w:p>
            <w:pPr>
              <w:spacing w:after="40" w:before="40"/>
            </w:pPr>
            <w:r/>
            <w:r>
              <w:rPr>
                <w:rFonts w:ascii="Liberation Sans" w:hAnsi="Liberation Sans"/>
                <w:color w:val="27241B"/>
                <w:sz w:val="17"/>
              </w:rPr>
              <w:t>Categories: KSh and % side by side</w:t>
            </w:r>
          </w:p>
        </w:tc>
        <w:tc>
          <w:tcPr>
            <w:tcW w:type="dxa" w:w="1440"/>
            <w:tcMar>
              <w:top w:w="60" w:type="dxa"/>
              <w:left w:w="110" w:type="dxa"/>
              <w:bottom w:w="60" w:type="dxa"/>
              <w:right w:w="110" w:type="dxa"/>
            </w:tcMar>
          </w:tcPr>
          <w:p>
            <w:pPr>
              <w:spacing w:after="40" w:before="40"/>
            </w:pPr>
            <w:r/>
            <w:r>
              <w:rPr>
                <w:rFonts w:ascii="Liberation Sans" w:hAnsi="Liberation Sans"/>
                <w:color w:val="27241B"/>
                <w:sz w:val="17"/>
              </w:rPr>
              <w:t>Structure</w:t>
            </w:r>
          </w:p>
        </w:tc>
        <w:tc>
          <w:tcPr>
            <w:tcW w:type="dxa" w:w="5328"/>
            <w:tcMar>
              <w:top w:w="60" w:type="dxa"/>
              <w:left w:w="110" w:type="dxa"/>
              <w:bottom w:w="60" w:type="dxa"/>
              <w:right w:w="110" w:type="dxa"/>
            </w:tcMar>
          </w:tcPr>
          <w:p>
            <w:pPr>
              <w:spacing w:after="40" w:before="40"/>
            </w:pPr>
            <w:r/>
            <w:r>
              <w:rPr>
                <w:rFonts w:ascii="Liberation Sans" w:hAnsi="Liberation Sans"/>
                <w:color w:val="27241B"/>
                <w:sz w:val="17"/>
              </w:rPr>
              <w:t>Groceries is the biggest absolute loss, Beverages the fastest fall. Either alone misleads.</w:t>
            </w:r>
          </w:p>
        </w:tc>
      </w:tr>
      <w:tr>
        <w:tc>
          <w:tcPr>
            <w:tcW w:type="dxa" w:w="2448"/>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Every segment shrank except the customers we bought</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Segments</w:t>
            </w:r>
          </w:p>
        </w:tc>
        <w:tc>
          <w:tcPr>
            <w:tcW w:type="dxa" w:w="5328"/>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Buying growth is not a strategy while the existing base contracts.</w:t>
            </w:r>
          </w:p>
        </w:tc>
      </w:tr>
      <w:tr>
        <w:tc>
          <w:tcPr>
            <w:tcW w:type="dxa" w:w="2448"/>
            <w:tcMar>
              <w:top w:w="60" w:type="dxa"/>
              <w:left w:w="110" w:type="dxa"/>
              <w:bottom w:w="60" w:type="dxa"/>
              <w:right w:w="110" w:type="dxa"/>
            </w:tcMar>
          </w:tcPr>
          <w:p>
            <w:pPr>
              <w:spacing w:after="40" w:before="40"/>
            </w:pPr>
            <w:r/>
            <w:r>
              <w:rPr>
                <w:rFonts w:ascii="Liberation Sans" w:hAnsi="Liberation Sans"/>
                <w:color w:val="27241B"/>
                <w:sz w:val="17"/>
              </w:rPr>
              <w:t>Who came back</w:t>
            </w:r>
          </w:p>
        </w:tc>
        <w:tc>
          <w:tcPr>
            <w:tcW w:type="dxa" w:w="1440"/>
            <w:tcMar>
              <w:top w:w="60" w:type="dxa"/>
              <w:left w:w="110" w:type="dxa"/>
              <w:bottom w:w="60" w:type="dxa"/>
              <w:right w:w="110" w:type="dxa"/>
            </w:tcMar>
          </w:tcPr>
          <w:p>
            <w:pPr>
              <w:spacing w:after="40" w:before="40"/>
            </w:pPr>
            <w:r/>
            <w:r>
              <w:rPr>
                <w:rFonts w:ascii="Liberation Sans" w:hAnsi="Liberation Sans"/>
                <w:color w:val="27241B"/>
                <w:sz w:val="17"/>
              </w:rPr>
              <w:t>Segments</w:t>
            </w:r>
          </w:p>
        </w:tc>
        <w:tc>
          <w:tcPr>
            <w:tcW w:type="dxa" w:w="5328"/>
            <w:tcMar>
              <w:top w:w="60" w:type="dxa"/>
              <w:left w:w="110" w:type="dxa"/>
              <w:bottom w:w="60" w:type="dxa"/>
              <w:right w:w="110" w:type="dxa"/>
            </w:tcMar>
          </w:tcPr>
          <w:p>
            <w:pPr>
              <w:spacing w:after="40" w:before="40"/>
            </w:pPr>
            <w:r/>
            <w:r>
              <w:rPr>
                <w:rFonts w:ascii="Liberation Sans" w:hAnsi="Liberation Sans"/>
                <w:color w:val="27241B"/>
                <w:sz w:val="17"/>
              </w:rPr>
              <w:t>83.8% returned — the leak is trips, not churn.</w:t>
            </w:r>
          </w:p>
        </w:tc>
      </w:tr>
      <w:tr>
        <w:tc>
          <w:tcPr>
            <w:tcW w:type="dxa" w:w="2448"/>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The supply failure, with dates</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Evidence</w:t>
            </w:r>
          </w:p>
        </w:tc>
        <w:tc>
          <w:tcPr>
            <w:tcW w:type="dxa" w:w="5328"/>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9.5% availability for 76 days at Mombasa Nyali.</w:t>
            </w:r>
          </w:p>
        </w:tc>
      </w:tr>
      <w:tr>
        <w:tc>
          <w:tcPr>
            <w:tcW w:type="dxa" w:w="2448"/>
            <w:tcMar>
              <w:top w:w="60" w:type="dxa"/>
              <w:left w:w="110" w:type="dxa"/>
              <w:bottom w:w="60" w:type="dxa"/>
              <w:right w:w="110" w:type="dxa"/>
            </w:tcMar>
          </w:tcPr>
          <w:p>
            <w:pPr>
              <w:spacing w:after="40" w:before="40"/>
            </w:pPr>
            <w:r/>
            <w:r>
              <w:rPr>
                <w:rFonts w:ascii="Liberation Sans" w:hAnsi="Liberation Sans"/>
                <w:color w:val="27241B"/>
                <w:sz w:val="17"/>
              </w:rPr>
              <w:t>Prices rose, discounting rose faster</w:t>
            </w:r>
          </w:p>
        </w:tc>
        <w:tc>
          <w:tcPr>
            <w:tcW w:type="dxa" w:w="1440"/>
            <w:tcMar>
              <w:top w:w="60" w:type="dxa"/>
              <w:left w:w="110" w:type="dxa"/>
              <w:bottom w:w="60" w:type="dxa"/>
              <w:right w:w="110" w:type="dxa"/>
            </w:tcMar>
          </w:tcPr>
          <w:p>
            <w:pPr>
              <w:spacing w:after="40" w:before="40"/>
            </w:pPr>
            <w:r/>
            <w:r>
              <w:rPr>
                <w:rFonts w:ascii="Liberation Sans" w:hAnsi="Liberation Sans"/>
                <w:color w:val="27241B"/>
                <w:sz w:val="17"/>
              </w:rPr>
              <w:t>Pricing</w:t>
            </w:r>
          </w:p>
        </w:tc>
        <w:tc>
          <w:tcPr>
            <w:tcW w:type="dxa" w:w="5328"/>
            <w:tcMar>
              <w:top w:w="60" w:type="dxa"/>
              <w:left w:w="110" w:type="dxa"/>
              <w:bottom w:w="60" w:type="dxa"/>
              <w:right w:w="110" w:type="dxa"/>
            </w:tcMar>
          </w:tcPr>
          <w:p>
            <w:pPr>
              <w:spacing w:after="40" w:before="40"/>
            </w:pPr>
            <w:r/>
            <w:r>
              <w:rPr>
                <w:rFonts w:ascii="Liberation Sans" w:hAnsi="Liberation Sans"/>
                <w:color w:val="27241B"/>
                <w:sz w:val="17"/>
              </w:rPr>
              <w:t>KSh 1.43M of extra discount in one quarter.</w:t>
            </w:r>
          </w:p>
        </w:tc>
      </w:tr>
      <w:tr>
        <w:tc>
          <w:tcPr>
            <w:tcW w:type="dxa" w:w="2448"/>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Four ranked, owned problems</w:t>
            </w:r>
          </w:p>
        </w:tc>
        <w:tc>
          <w:tcPr>
            <w:tcW w:type="dxa" w:w="1440"/>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Actions</w:t>
            </w:r>
          </w:p>
        </w:tc>
        <w:tc>
          <w:tcPr>
            <w:tcW w:type="dxa" w:w="5328"/>
            <w:tcMar>
              <w:top w:w="60" w:type="dxa"/>
              <w:left w:w="110" w:type="dxa"/>
              <w:bottom w:w="60" w:type="dxa"/>
              <w:right w:w="110" w:type="dxa"/>
            </w:tcMar>
            <w:shd w:val="clear" w:color="auto" w:fill="FFFDF0"/>
          </w:tcPr>
          <w:p>
            <w:pPr>
              <w:spacing w:after="40" w:before="40"/>
            </w:pPr>
            <w:r/>
            <w:r>
              <w:rPr>
                <w:rFonts w:ascii="Liberation Sans" w:hAnsi="Liberation Sans"/>
                <w:color w:val="27241B"/>
                <w:sz w:val="17"/>
              </w:rPr>
              <w:t>Disjoint and audited: the bars sum to the whole decline with no double counting.</w:t>
            </w:r>
          </w:p>
        </w:tc>
      </w:tr>
    </w:tbl>
    <w:p>
      <w:pPr>
        <w:spacing w:after="40"/>
      </w:pPr>
      <w:r>
        <w:rPr>
          <w:rFonts w:ascii="Liberation Sans" w:hAnsi="Liberation Sans"/>
          <w:b/>
          <w:i w:val="0"/>
          <w:color w:val="FB6107"/>
          <w:sz w:val="17"/>
        </w:rPr>
        <w:t>APPENDIX C</w:t>
      </w:r>
    </w:p>
    <w:p>
      <w:pPr>
        <w:pStyle w:val="Heading1"/>
      </w:pPr>
      <w:r>
        <w:t>The evidential 5-Whys</w:t>
      </w:r>
    </w:p>
    <w:p>
      <w:pPr>
        <w:spacing w:after="140"/>
      </w:pPr>
      <w:r>
        <w:rPr>
          <w:rFonts w:ascii="Liberation Sans" w:hAnsi="Liberation Sans"/>
          <w:b w:val="0"/>
          <w:i w:val="0"/>
          <w:color w:val="27241B"/>
          <w:sz w:val="20"/>
        </w:rPr>
        <w:t>Every “why” is answered with a number and a source, and the chain stops where the data stops rather than speculating.</w:t>
      </w:r>
    </w:p>
    <w:p>
      <w:pPr>
        <w:spacing w:after="20"/>
      </w:pPr>
      <w:r>
        <w:rPr>
          <w:rFonts w:ascii="Liberation Sans" w:hAnsi="Liberation Sans"/>
          <w:b/>
          <w:i w:val="0"/>
          <w:color w:val="27241B"/>
          <w:sz w:val="20"/>
        </w:rPr>
        <w:t>Why 1 — Why did group revenue fall?</w:t>
      </w:r>
    </w:p>
    <w:p>
      <w:pPr>
        <w:spacing w:after="20"/>
      </w:pPr>
      <w:r>
        <w:rPr>
          <w:rFonts w:ascii="Liberation Sans" w:hAnsi="Liberation Sans"/>
          <w:b w:val="0"/>
          <w:i w:val="0"/>
          <w:color w:val="27241B"/>
          <w:sz w:val="19"/>
        </w:rPr>
        <w:t>Net revenue fell KSh 5.17M (10.66%), from KSh 48.49M to KSh 43.32M. Volumes, not customers: active customers ROSE +5.51% while orders fell 6.48%.</w:t>
      </w:r>
    </w:p>
    <w:p>
      <w:pPr>
        <w:spacing w:after="160"/>
      </w:pPr>
      <w:r>
        <w:rPr>
          <w:rFonts w:ascii="Liberation Sans" w:hAnsi="Liberation Sans"/>
          <w:b w:val="0"/>
          <w:i w:val="0"/>
          <w:color w:val="89877B"/>
          <w:sz w:val="16"/>
        </w:rPr>
        <w:t>Source: mechanism_by_period.csv  ·  No — this is the question, not an answer</w:t>
      </w:r>
    </w:p>
    <w:p>
      <w:pPr>
        <w:spacing w:after="20"/>
      </w:pPr>
      <w:r>
        <w:rPr>
          <w:rFonts w:ascii="Liberation Sans" w:hAnsi="Liberation Sans"/>
          <w:b/>
          <w:i w:val="0"/>
          <w:color w:val="27241B"/>
          <w:sz w:val="20"/>
        </w:rPr>
        <w:t>Why 2 — Customers grew but orders fell. Why?</w:t>
      </w:r>
    </w:p>
    <w:p>
      <w:pPr>
        <w:spacing w:after="20"/>
      </w:pPr>
      <w:r>
        <w:rPr>
          <w:rFonts w:ascii="Liberation Sans" w:hAnsi="Liberation Sans"/>
          <w:b w:val="0"/>
          <w:i w:val="0"/>
          <w:color w:val="27241B"/>
          <w:sz w:val="19"/>
        </w:rPr>
        <w:t>Orders per customer fell -11.36% (5.44 -&gt; 4.82 trips), and average order value fell -4.48% (KSh 1,694 -&gt; KSh 1,619). Log-mean attribution puts KSh 2.46M of growth on new customers, KSh 5.53M against frequency and KSh 2.10M against basket value.</w:t>
      </w:r>
    </w:p>
    <w:p>
      <w:pPr>
        <w:spacing w:after="160"/>
      </w:pPr>
      <w:r>
        <w:rPr>
          <w:rFonts w:ascii="Liberation Sans" w:hAnsi="Liberation Sans"/>
          <w:b w:val="0"/>
          <w:i w:val="0"/>
          <w:color w:val="89877B"/>
          <w:sz w:val="16"/>
        </w:rPr>
        <w:t>Source: mechanism_by_period.csv, decomp_mechanism_waterfall.csv  ·  Partly — it names the mechanism (repeat visits, not acquisition)</w:t>
      </w:r>
    </w:p>
    <w:p>
      <w:pPr>
        <w:spacing w:after="20"/>
      </w:pPr>
      <w:r>
        <w:rPr>
          <w:rFonts w:ascii="Liberation Sans" w:hAnsi="Liberation Sans"/>
          <w:b/>
          <w:i w:val="0"/>
          <w:color w:val="27241B"/>
          <w:sz w:val="20"/>
        </w:rPr>
        <w:t>Why 3 — Where is the frequency and basket loss concentrated?</w:t>
      </w:r>
    </w:p>
    <w:p>
      <w:pPr>
        <w:spacing w:after="20"/>
      </w:pPr>
      <w:r>
        <w:rPr>
          <w:rFonts w:ascii="Liberation Sans" w:hAnsi="Liberation Sans"/>
          <w:b w:val="0"/>
          <w:i w:val="0"/>
          <w:color w:val="27241B"/>
          <w:sz w:val="19"/>
        </w:rPr>
        <w:t>Two of six stores explain 71.3% of the entire group decline: Mombasa Nyali (KSh -2.18M, -27.0%) and Thika Road (KSh -1.50M, -18.7%). Frequency fell -11.7% at Mombasa and -23.7% at Thika Road, versus -11.4% for the group.</w:t>
      </w:r>
    </w:p>
    <w:p>
      <w:pPr>
        <w:spacing w:after="160"/>
      </w:pPr>
      <w:r>
        <w:rPr>
          <w:rFonts w:ascii="Liberation Sans" w:hAnsi="Liberation Sans"/>
          <w:b w:val="0"/>
          <w:i w:val="0"/>
          <w:color w:val="89877B"/>
          <w:sz w:val="16"/>
        </w:rPr>
        <w:t>Source: structure_by_branch.csv, structure_branch_mechanism.csv  ·  Yes for the stores — but not yet for the cause</w:t>
      </w:r>
    </w:p>
    <w:p>
      <w:pPr>
        <w:spacing w:after="20"/>
      </w:pPr>
      <w:r>
        <w:rPr>
          <w:rFonts w:ascii="Liberation Sans" w:hAnsi="Liberation Sans"/>
          <w:b/>
          <w:i w:val="0"/>
          <w:color w:val="27241B"/>
          <w:sz w:val="20"/>
        </w:rPr>
        <w:t>Why 4 — Why did Mombasa Nyali lose so much more than the rest of the chain?</w:t>
      </w:r>
    </w:p>
    <w:p>
      <w:pPr>
        <w:spacing w:after="20"/>
      </w:pPr>
      <w:r>
        <w:rPr>
          <w:rFonts w:ascii="Liberation Sans" w:hAnsi="Liberation Sans"/>
          <w:b w:val="0"/>
          <w:i w:val="0"/>
          <w:color w:val="27241B"/>
          <w:sz w:val="19"/>
        </w:rPr>
        <w:t>Its two hero Personal Care SKUs were off the shelf for six weeks: 76 out-of-stock days out of 84 observations (9.5% shelf availability, first gap 2026-08-10). Personal Care revenue at that store fell -34.2% — but Mombasa's average order value also fell -22.6% (KSh 1,724 -&gt; KSh 1,334) against a group AOV change of -4.5%. The missing items cost the whole basket, not just the category.</w:t>
      </w:r>
    </w:p>
    <w:p>
      <w:pPr>
        <w:spacing w:after="160"/>
      </w:pPr>
      <w:r>
        <w:rPr>
          <w:rFonts w:ascii="Liberation Sans" w:hAnsi="Liberation Sans"/>
          <w:b w:val="0"/>
          <w:i w:val="0"/>
          <w:color w:val="89877B"/>
          <w:sz w:val="16"/>
        </w:rPr>
        <w:t>Source: fact_stockouts, stockout_incident_vs_rest.csv, structure_category_mechanism.csv  ·  Yes — this is a supply-chain event with a date and a store</w:t>
      </w:r>
    </w:p>
    <w:p>
      <w:pPr>
        <w:spacing w:after="20"/>
      </w:pPr>
      <w:r>
        <w:rPr>
          <w:rFonts w:ascii="Liberation Sans" w:hAnsi="Liberation Sans"/>
          <w:b/>
          <w:i w:val="0"/>
          <w:color w:val="27241B"/>
          <w:sz w:val="20"/>
        </w:rPr>
        <w:t>Why 5 — Why were the SKUs unavailable for six weeks?</w:t>
      </w:r>
    </w:p>
    <w:p>
      <w:pPr>
        <w:spacing w:after="20"/>
      </w:pPr>
      <w:r>
        <w:rPr>
          <w:rFonts w:ascii="Liberation Sans" w:hAnsi="Liberation Sans"/>
          <w:b w:val="0"/>
          <w:i w:val="0"/>
          <w:color w:val="27241B"/>
          <w:sz w:val="19"/>
        </w:rPr>
        <w:t>The data shows WHAT happened (a 40-day gap on the worst single SKU, longest consecutive outage 33 days) but cannot show WHY. Replenishment, supplier and lead-time data are not in this dataset. Candidate causes — single-sourced supply, no safety stock, a mis-set reorder point — are HYPOTHESES and must be labelled as such until procurement data is pulled.</w:t>
      </w:r>
    </w:p>
    <w:p>
      <w:pPr>
        <w:spacing w:after="160"/>
      </w:pPr>
      <w:r>
        <w:rPr>
          <w:rFonts w:ascii="Liberation Sans" w:hAnsi="Liberation Sans"/>
          <w:b w:val="0"/>
          <w:i w:val="0"/>
          <w:color w:val="89877B"/>
          <w:sz w:val="16"/>
        </w:rPr>
        <w:t>Source: fact_stockouts (WHY is absent by design)  ·  Stop here: the actionable unit is 'restore stock and dual-source', not 'explain the universe'</w:t>
      </w:r>
    </w:p>
    <w:sectPr w:rsidR="00FC693F" w:rsidRPr="0006063C" w:rsidSect="00034616">
      <w:footerReference w:type="default" r:id="rId9"/>
      <w:pgSz w:w="12240" w:h="15840"/>
      <w:pgMar w:top="1368" w:right="1231" w:bottom="1163" w:left="12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iberation Sans" w:hAnsi="Liberation Sans"/>
        <w:color w:val="89877B"/>
        <w:sz w:val="16"/>
      </w:rPr>
      <w:t>Mavuno Home &amp; Care  ·  Revenue Decline Diagnostic  ·  Q3 2026 vs Q3 2025  ·  Internal — Commercial leadership</w:t>
    </w:r>
    <w:r>
      <w:tab/>
      <w:tab/>
    </w:r>
    <w:r>
      <w:rPr>
        <w:rFonts w:ascii="Liberation Sans" w:hAnsi="Liberation Sans"/>
        <w:color w:val="89877B"/>
        <w:sz w:val="16"/>
      </w:rPr>
      <w:t xml:space="preserve">Page </w:t>
    </w:r>
    <w:r>
      <w:fldChar w:fldCharType="begin"/>
    </w:r>
    <w:r>
      <w:instrText xml:space="preserve">PAGE</w:instrText>
    </w:r>
    <w:r>
      <w:fldChar w:fldCharType="end"/>
    </w:r>
    <w:r>
      <w:rPr>
        <w:rFonts w:ascii="Liberation Sans" w:hAnsi="Liberation Sans"/>
        <w:color w:val="89877B"/>
        <w:sz w:val="16"/>
      </w:rPr>
      <w:t xml:space="preserve"> of </w:t>
    </w:r>
    <w:r>
      <w:fldChar w:fldCharType="begin"/>
    </w:r>
    <w:r>
      <w:instrText xml:space="preserve">NUMPAGES</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Liberation Sans" w:hAnsi="Liberation Sans"/>
      <w:color w:val="2724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Liberation Sans" w:hAnsi="Liberation Sans"/>
      <w:b/>
      <w:bCs/>
      <w:i w:val="0"/>
      <w:caps w:val="0"/>
      <w:color w:val="1B6B34"/>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Liberation Sans" w:hAnsi="Liberation Sans"/>
      <w:b/>
      <w:bCs/>
      <w:i w:val="0"/>
      <w:color w:val="27241B"/>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Liberation Sans" w:hAnsi="Liberation Sans"/>
      <w:b/>
      <w:bCs/>
      <w:i w:val="0"/>
      <w:color w:val="FB610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