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5D2E5" w14:textId="370EFE28" w:rsidR="008B13E6" w:rsidRPr="0010596A" w:rsidRDefault="008B13E6">
      <w:pPr>
        <w:pStyle w:val="Heading1"/>
        <w:widowControl w:val="0"/>
        <w:rPr>
          <w:color w:val="434343"/>
          <w:sz w:val="50"/>
          <w:szCs w:val="50"/>
        </w:rPr>
      </w:pPr>
      <w:r w:rsidRPr="0010596A">
        <w:rPr>
          <w:color w:val="434343"/>
          <w:sz w:val="50"/>
          <w:szCs w:val="50"/>
        </w:rPr>
        <w:t>BICCN File Manifest Specification for Data Archive Communication</w:t>
      </w:r>
    </w:p>
    <w:p w14:paraId="00000001" w14:textId="07380A75" w:rsidR="00017A2E" w:rsidRPr="0010596A" w:rsidRDefault="0026417A">
      <w:pPr>
        <w:pStyle w:val="Heading1"/>
        <w:widowControl w:val="0"/>
        <w:rPr>
          <w:color w:val="434343"/>
          <w:sz w:val="38"/>
          <w:szCs w:val="38"/>
        </w:rPr>
      </w:pPr>
      <w:r w:rsidRPr="0010596A">
        <w:rPr>
          <w:color w:val="434343"/>
          <w:sz w:val="38"/>
          <w:szCs w:val="38"/>
        </w:rPr>
        <w:t>Version History</w:t>
      </w:r>
    </w:p>
    <w:tbl>
      <w:tblPr>
        <w:tblStyle w:val="a0"/>
        <w:tblW w:w="8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20"/>
        <w:gridCol w:w="4170"/>
        <w:gridCol w:w="1965"/>
      </w:tblGrid>
      <w:tr w:rsidR="00017A2E" w14:paraId="02E22F9C" w14:textId="77777777">
        <w:trPr>
          <w:trHeight w:val="40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2" w14:textId="77777777" w:rsidR="00017A2E" w:rsidRDefault="0026417A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Version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3" w14:textId="77777777" w:rsidR="00017A2E" w:rsidRDefault="0026417A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Date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4" w14:textId="77777777" w:rsidR="00017A2E" w:rsidRDefault="0026417A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Description of Change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5" w14:textId="77777777" w:rsidR="00017A2E" w:rsidRDefault="0026417A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Author</w:t>
            </w:r>
          </w:p>
        </w:tc>
      </w:tr>
      <w:tr w:rsidR="00017A2E" w14:paraId="3A4926B3" w14:textId="77777777">
        <w:trPr>
          <w:trHeight w:val="40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6" w14:textId="77777777" w:rsidR="00017A2E" w:rsidRDefault="0026417A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0.1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7" w14:textId="77777777" w:rsidR="00017A2E" w:rsidRDefault="0026417A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01/13/2021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8" w14:textId="77777777" w:rsidR="00017A2E" w:rsidRDefault="0026417A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Initial draft, to be circulated to File Metadata Task Force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9" w14:textId="77777777" w:rsidR="00017A2E" w:rsidRDefault="0026417A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Jimmy Mathews</w:t>
            </w:r>
          </w:p>
        </w:tc>
      </w:tr>
      <w:tr w:rsidR="00017A2E" w14:paraId="235E6F42" w14:textId="77777777">
        <w:trPr>
          <w:trHeight w:val="40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A" w14:textId="77777777" w:rsidR="00017A2E" w:rsidRDefault="0026417A">
            <w:pPr>
              <w:widowControl w:val="0"/>
              <w:spacing w:after="320"/>
              <w:rPr>
                <w:color w:val="434343"/>
              </w:rPr>
            </w:pPr>
            <w:r>
              <w:rPr>
                <w:color w:val="434343"/>
              </w:rPr>
              <w:t>0.2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B" w14:textId="77777777" w:rsidR="00017A2E" w:rsidRDefault="0026417A">
            <w:pPr>
              <w:widowControl w:val="0"/>
              <w:spacing w:after="320"/>
              <w:rPr>
                <w:color w:val="434343"/>
              </w:rPr>
            </w:pPr>
            <w:r>
              <w:rPr>
                <w:color w:val="434343"/>
              </w:rPr>
              <w:t>01/14/2021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C" w14:textId="77777777" w:rsidR="00017A2E" w:rsidRDefault="0026417A">
            <w:pPr>
              <w:widowControl w:val="0"/>
              <w:spacing w:after="320"/>
              <w:rPr>
                <w:color w:val="434343"/>
              </w:rPr>
            </w:pPr>
            <w:r>
              <w:rPr>
                <w:color w:val="434343"/>
              </w:rPr>
              <w:t>Added comments during discussion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D" w14:textId="77777777" w:rsidR="00017A2E" w:rsidRDefault="0026417A">
            <w:pPr>
              <w:widowControl w:val="0"/>
              <w:spacing w:after="320"/>
              <w:rPr>
                <w:color w:val="434343"/>
              </w:rPr>
            </w:pPr>
            <w:r>
              <w:rPr>
                <w:color w:val="434343"/>
              </w:rPr>
              <w:t>File Metadata Task Force</w:t>
            </w:r>
          </w:p>
        </w:tc>
      </w:tr>
      <w:tr w:rsidR="00017A2E" w14:paraId="78DEF35E" w14:textId="77777777">
        <w:trPr>
          <w:trHeight w:val="40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E" w14:textId="77777777" w:rsidR="00017A2E" w:rsidRDefault="0026417A">
            <w:pPr>
              <w:widowControl w:val="0"/>
              <w:spacing w:after="320"/>
              <w:rPr>
                <w:color w:val="434343"/>
              </w:rPr>
            </w:pPr>
            <w:bookmarkStart w:id="0" w:name="_heading=h.30j0zll" w:colFirst="0" w:colLast="0"/>
            <w:bookmarkEnd w:id="0"/>
            <w:r>
              <w:rPr>
                <w:color w:val="434343"/>
              </w:rPr>
              <w:t>0.3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0F" w14:textId="77777777" w:rsidR="00017A2E" w:rsidRDefault="0026417A">
            <w:pPr>
              <w:widowControl w:val="0"/>
              <w:spacing w:after="320"/>
              <w:rPr>
                <w:color w:val="434343"/>
              </w:rPr>
            </w:pPr>
            <w:r>
              <w:rPr>
                <w:color w:val="434343"/>
              </w:rPr>
              <w:t>01/15/2021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10" w14:textId="77777777" w:rsidR="00017A2E" w:rsidRDefault="0026417A">
            <w:pPr>
              <w:widowControl w:val="0"/>
              <w:spacing w:after="320"/>
              <w:rPr>
                <w:color w:val="434343"/>
              </w:rPr>
            </w:pPr>
            <w:r>
              <w:rPr>
                <w:color w:val="434343"/>
              </w:rPr>
              <w:t>Edited to include suggestions made by task force members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11" w14:textId="77777777" w:rsidR="00017A2E" w:rsidRDefault="0026417A">
            <w:pPr>
              <w:widowControl w:val="0"/>
              <w:spacing w:after="320"/>
              <w:rPr>
                <w:color w:val="434343"/>
              </w:rPr>
            </w:pPr>
            <w:r>
              <w:rPr>
                <w:color w:val="434343"/>
              </w:rPr>
              <w:t>Jimmy Mathews</w:t>
            </w:r>
          </w:p>
        </w:tc>
      </w:tr>
      <w:tr w:rsidR="00017A2E" w14:paraId="1C2B466D" w14:textId="77777777">
        <w:trPr>
          <w:trHeight w:val="40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12" w14:textId="77777777" w:rsidR="00017A2E" w:rsidRPr="004565B2" w:rsidRDefault="0026417A">
            <w:pPr>
              <w:widowControl w:val="0"/>
              <w:spacing w:after="320"/>
              <w:rPr>
                <w:iCs/>
                <w:color w:val="434343"/>
              </w:rPr>
            </w:pPr>
            <w:r w:rsidRPr="004565B2">
              <w:rPr>
                <w:iCs/>
                <w:color w:val="434343"/>
              </w:rPr>
              <w:t>0.4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13" w14:textId="77777777" w:rsidR="00017A2E" w:rsidRPr="004565B2" w:rsidRDefault="0026417A">
            <w:pPr>
              <w:widowControl w:val="0"/>
              <w:spacing w:after="320"/>
              <w:rPr>
                <w:iCs/>
                <w:color w:val="434343"/>
              </w:rPr>
            </w:pPr>
            <w:r w:rsidRPr="004565B2">
              <w:rPr>
                <w:iCs/>
                <w:color w:val="434343"/>
              </w:rPr>
              <w:t>01/15/2021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14" w14:textId="77777777" w:rsidR="00017A2E" w:rsidRPr="004565B2" w:rsidRDefault="0026417A">
            <w:pPr>
              <w:widowControl w:val="0"/>
              <w:spacing w:after="320"/>
              <w:rPr>
                <w:iCs/>
                <w:color w:val="434343"/>
              </w:rPr>
            </w:pPr>
            <w:r w:rsidRPr="004565B2">
              <w:rPr>
                <w:iCs/>
                <w:color w:val="434343"/>
              </w:rPr>
              <w:t>Comments – to occur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00015" w14:textId="77777777" w:rsidR="00017A2E" w:rsidRPr="004565B2" w:rsidRDefault="0026417A">
            <w:pPr>
              <w:widowControl w:val="0"/>
              <w:spacing w:after="320"/>
              <w:rPr>
                <w:iCs/>
                <w:color w:val="434343"/>
              </w:rPr>
            </w:pPr>
            <w:r w:rsidRPr="004565B2">
              <w:rPr>
                <w:iCs/>
                <w:color w:val="434343"/>
              </w:rPr>
              <w:t>BICCN Infrastructure Working Group</w:t>
            </w:r>
          </w:p>
        </w:tc>
      </w:tr>
      <w:tr w:rsidR="004565B2" w14:paraId="7C80D993" w14:textId="77777777">
        <w:trPr>
          <w:trHeight w:val="40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69146D" w14:textId="66C355AB" w:rsidR="004565B2" w:rsidRPr="004565B2" w:rsidRDefault="004565B2">
            <w:pPr>
              <w:widowControl w:val="0"/>
              <w:spacing w:after="320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1.0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414EDE" w14:textId="1DCA9453" w:rsidR="004565B2" w:rsidRPr="004565B2" w:rsidRDefault="004565B2">
            <w:pPr>
              <w:widowControl w:val="0"/>
              <w:spacing w:after="320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03/16/2021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7BA079" w14:textId="49AC314C" w:rsidR="004565B2" w:rsidRPr="004565B2" w:rsidRDefault="004565B2">
            <w:pPr>
              <w:widowControl w:val="0"/>
              <w:spacing w:after="320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Prepared for initial release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C80552" w14:textId="18694DD0" w:rsidR="004565B2" w:rsidRPr="004565B2" w:rsidRDefault="004565B2">
            <w:pPr>
              <w:widowControl w:val="0"/>
              <w:spacing w:after="320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Jimmy Mathews</w:t>
            </w:r>
          </w:p>
        </w:tc>
      </w:tr>
    </w:tbl>
    <w:p w14:paraId="00000023" w14:textId="58B8C4C1" w:rsidR="00017A2E" w:rsidRPr="0010596A" w:rsidRDefault="00237E45">
      <w:pPr>
        <w:pStyle w:val="Heading2"/>
        <w:rPr>
          <w:sz w:val="38"/>
          <w:szCs w:val="38"/>
        </w:rPr>
      </w:pPr>
      <w:bookmarkStart w:id="1" w:name="_heading=h.1fob9te" w:colFirst="0" w:colLast="0"/>
      <w:bookmarkEnd w:id="1"/>
      <w:r w:rsidRPr="0010596A">
        <w:rPr>
          <w:sz w:val="38"/>
          <w:szCs w:val="38"/>
        </w:rPr>
        <w:t>File</w:t>
      </w:r>
      <w:r w:rsidR="0026417A" w:rsidRPr="0010596A">
        <w:rPr>
          <w:sz w:val="38"/>
          <w:szCs w:val="38"/>
        </w:rPr>
        <w:t xml:space="preserve"> Manifest Specification</w:t>
      </w:r>
      <w:r w:rsidR="00DD6BFB" w:rsidRPr="0010596A">
        <w:rPr>
          <w:sz w:val="38"/>
          <w:szCs w:val="38"/>
        </w:rPr>
        <w:t xml:space="preserve"> Notes</w:t>
      </w:r>
    </w:p>
    <w:p w14:paraId="00000024" w14:textId="349F64A9" w:rsidR="00017A2E" w:rsidRDefault="0026417A">
      <w:pPr>
        <w:numPr>
          <w:ilvl w:val="0"/>
          <w:numId w:val="1"/>
        </w:numPr>
        <w:spacing w:before="280"/>
      </w:pPr>
      <w:r>
        <w:t xml:space="preserve">Each R24 archive </w:t>
      </w:r>
      <w:sdt>
        <w:sdtPr>
          <w:tag w:val="goog_rdk_7"/>
          <w:id w:val="771128369"/>
        </w:sdtPr>
        <w:sdtEndPr/>
        <w:sdtContent/>
      </w:sdt>
      <w:sdt>
        <w:sdtPr>
          <w:tag w:val="goog_rdk_8"/>
          <w:id w:val="-1324733658"/>
        </w:sdtPr>
        <w:sdtEndPr/>
        <w:sdtContent/>
      </w:sdt>
      <w:r>
        <w:t>will produce its own asset manifest.</w:t>
      </w:r>
      <w:r w:rsidR="00DD6BFB">
        <w:t xml:space="preserve"> Provisionally this</w:t>
      </w:r>
      <w:r w:rsidR="00EA6395">
        <w:t xml:space="preserve"> is planned to take place quarterly.</w:t>
      </w:r>
    </w:p>
    <w:p w14:paraId="00000025" w14:textId="67FF1C62" w:rsidR="00017A2E" w:rsidRDefault="0026417A">
      <w:pPr>
        <w:numPr>
          <w:ilvl w:val="0"/>
          <w:numId w:val="1"/>
        </w:numPr>
      </w:pPr>
      <w:r>
        <w:t xml:space="preserve">The manifest will follow a tabular logical data model, with one table. If a name for the table is needed, </w:t>
      </w:r>
      <w:r w:rsidR="00EA11D8">
        <w:rPr>
          <w:rFonts w:ascii="Consolas" w:eastAsia="Consolas" w:hAnsi="Consolas" w:cs="Consolas"/>
        </w:rPr>
        <w:t>file</w:t>
      </w:r>
      <w:r>
        <w:rPr>
          <w:rFonts w:ascii="Consolas" w:eastAsia="Consolas" w:hAnsi="Consolas" w:cs="Consolas"/>
        </w:rPr>
        <w:t>_manifest</w:t>
      </w:r>
      <w:r>
        <w:t xml:space="preserve"> or </w:t>
      </w:r>
      <w:r w:rsidR="00EA11D8">
        <w:rPr>
          <w:b/>
        </w:rPr>
        <w:t>File</w:t>
      </w:r>
      <w:r>
        <w:rPr>
          <w:b/>
        </w:rPr>
        <w:t xml:space="preserve"> manifest</w:t>
      </w:r>
      <w:r>
        <w:t xml:space="preserve"> may be used.</w:t>
      </w:r>
    </w:p>
    <w:p w14:paraId="00000026" w14:textId="77777777" w:rsidR="00017A2E" w:rsidRDefault="0026417A">
      <w:pPr>
        <w:numPr>
          <w:ilvl w:val="0"/>
          <w:numId w:val="1"/>
        </w:numPr>
      </w:pPr>
      <w:r>
        <w:t>The manifest itself should be hosted somehow by the R24 archives. CSV/TSV file download is acceptable in the short-term. A web API is acceptable, if it simulates the flat table structure effectively.</w:t>
      </w:r>
    </w:p>
    <w:p w14:paraId="00000027" w14:textId="2B3A3F6B" w:rsidR="00017A2E" w:rsidRDefault="0026417A">
      <w:pPr>
        <w:numPr>
          <w:ilvl w:val="0"/>
          <w:numId w:val="1"/>
        </w:numPr>
      </w:pPr>
      <w:r>
        <w:t>Each record in the table should pertain to exactly 1</w:t>
      </w:r>
      <w:r w:rsidR="00DD6BFB">
        <w:t xml:space="preserve"> file</w:t>
      </w:r>
      <w:r w:rsidR="0021354E">
        <w:t>, and that file must be uniquely determined by the table record</w:t>
      </w:r>
      <w:r>
        <w:t>.</w:t>
      </w:r>
      <w:r w:rsidR="00DD6BFB">
        <w:rPr>
          <w:rStyle w:val="FootnoteReference"/>
        </w:rPr>
        <w:footnoteReference w:id="1"/>
      </w:r>
    </w:p>
    <w:p w14:paraId="4B4BCFFC" w14:textId="7363DD0C" w:rsidR="001C0464" w:rsidRDefault="0026417A" w:rsidP="001C0464">
      <w:pPr>
        <w:numPr>
          <w:ilvl w:val="0"/>
          <w:numId w:val="1"/>
        </w:numPr>
      </w:pPr>
      <w:r>
        <w:lastRenderedPageBreak/>
        <w:t>Each record should include the 1</w:t>
      </w:r>
      <w:r w:rsidR="00EA11D8">
        <w:t>2</w:t>
      </w:r>
      <w:r>
        <w:t xml:space="preserve"> fields </w:t>
      </w:r>
      <w:r w:rsidR="001C0464">
        <w:t xml:space="preserve">listed in the Table 1 below. </w:t>
      </w:r>
      <w:r>
        <w:t>(</w:t>
      </w:r>
      <w:r w:rsidR="001C0464">
        <w:t>I</w:t>
      </w:r>
      <w:r>
        <w:t xml:space="preserve">f marked "Optional", the value </w:t>
      </w:r>
      <w:r w:rsidR="001C0464">
        <w:t xml:space="preserve">for that field </w:t>
      </w:r>
      <w:r>
        <w:t>may be empty to indicate that the information is not known or not applicable; otherwise it must not be empty)</w:t>
      </w:r>
      <w:r w:rsidR="001C0464">
        <w:t>.</w:t>
      </w:r>
    </w:p>
    <w:p w14:paraId="0000005D" w14:textId="74DA5DE9" w:rsidR="00017A2E" w:rsidRDefault="0026417A" w:rsidP="001C0464">
      <w:pPr>
        <w:numPr>
          <w:ilvl w:val="0"/>
          <w:numId w:val="1"/>
        </w:numPr>
      </w:pPr>
      <w:r>
        <w:t xml:space="preserve">In all non-empty fields, the only characters allowed are the printable ASCII characters. Note that this excludes hyphen-like characters beyond the ASCII hyphen “-”, as well as so-called smart quotation symbols. No trailing or prepended spaces are allowed. A regex pattern enforcing these requirements is: </w:t>
      </w:r>
      <w:r w:rsidRPr="001C0464">
        <w:rPr>
          <w:rFonts w:ascii="Consolas" w:eastAsia="Consolas" w:hAnsi="Consolas" w:cs="Consolas"/>
          <w:highlight w:val="darkCyan"/>
        </w:rPr>
        <w:t>^[!-~][ -~]*[!-~]$</w:t>
      </w:r>
      <w:r w:rsidR="001C0464">
        <w:rPr>
          <w:rFonts w:ascii="Consolas" w:eastAsia="Consolas" w:hAnsi="Consolas" w:cs="Consolas"/>
        </w:rPr>
        <w:t xml:space="preserve"> </w:t>
      </w:r>
      <w:r w:rsidR="001C0464">
        <w:rPr>
          <w:rStyle w:val="FootnoteReference"/>
          <w:rFonts w:ascii="Consolas" w:eastAsia="Consolas" w:hAnsi="Consolas" w:cs="Consolas"/>
        </w:rPr>
        <w:footnoteReference w:id="2"/>
      </w:r>
    </w:p>
    <w:p w14:paraId="0000005E" w14:textId="214D02A5" w:rsidR="00017A2E" w:rsidRDefault="0026417A">
      <w:pPr>
        <w:numPr>
          <w:ilvl w:val="0"/>
          <w:numId w:val="1"/>
        </w:numPr>
        <w:spacing w:after="280"/>
      </w:pPr>
      <w:r>
        <w:t xml:space="preserve">The archives and data submitters jointly decide which </w:t>
      </w:r>
      <w:r w:rsidR="0021354E">
        <w:t>file</w:t>
      </w:r>
      <w:r>
        <w:t xml:space="preserve"> assets to record in the manifest. For example, they may adopt a policy that excludes certain deposited files from appearing on this "BICCN-scoped" manifest, for simplicity or convenience.</w:t>
      </w:r>
    </w:p>
    <w:p w14:paraId="0BACA2A7" w14:textId="78475D83" w:rsidR="001C0464" w:rsidRDefault="001C0464" w:rsidP="001C0464">
      <w:pPr>
        <w:pStyle w:val="Caption"/>
        <w:keepNext/>
      </w:pPr>
      <w:r>
        <w:t xml:space="preserve">Table </w:t>
      </w:r>
      <w:r w:rsidR="000829B9">
        <w:fldChar w:fldCharType="begin"/>
      </w:r>
      <w:r w:rsidR="000829B9">
        <w:instrText xml:space="preserve"> SEQ Table \* ARABIC </w:instrText>
      </w:r>
      <w:r w:rsidR="000829B9">
        <w:fldChar w:fldCharType="separate"/>
      </w:r>
      <w:r>
        <w:rPr>
          <w:noProof/>
        </w:rPr>
        <w:t>1</w:t>
      </w:r>
      <w:r w:rsidR="000829B9">
        <w:rPr>
          <w:noProof/>
        </w:rPr>
        <w:fldChar w:fldCharType="end"/>
      </w:r>
    </w:p>
    <w:tbl>
      <w:tblPr>
        <w:tblStyle w:val="a1"/>
        <w:tblW w:w="1000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2098"/>
        <w:gridCol w:w="1440"/>
        <w:gridCol w:w="5329"/>
      </w:tblGrid>
      <w:tr w:rsidR="001C0464" w14:paraId="2DDA45DE" w14:textId="77777777" w:rsidTr="004F098E">
        <w:trPr>
          <w:trHeight w:val="323"/>
        </w:trPr>
        <w:tc>
          <w:tcPr>
            <w:tcW w:w="1137" w:type="dxa"/>
          </w:tcPr>
          <w:p w14:paraId="205FFE23" w14:textId="77777777" w:rsidR="001C0464" w:rsidRDefault="001C0464" w:rsidP="00B93E8E">
            <w:pPr>
              <w:rPr>
                <w:sz w:val="18"/>
                <w:szCs w:val="18"/>
              </w:rPr>
            </w:pPr>
            <w:bookmarkStart w:id="2" w:name="OLE_LINK1"/>
            <w:r>
              <w:rPr>
                <w:sz w:val="18"/>
                <w:szCs w:val="18"/>
              </w:rPr>
              <w:t>Name of field</w:t>
            </w:r>
          </w:p>
        </w:tc>
        <w:tc>
          <w:tcPr>
            <w:tcW w:w="2098" w:type="dxa"/>
          </w:tcPr>
          <w:p w14:paraId="1DA535B8" w14:textId="77777777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Machine-friendly name</w:t>
            </w:r>
          </w:p>
        </w:tc>
        <w:tc>
          <w:tcPr>
            <w:tcW w:w="1440" w:type="dxa"/>
          </w:tcPr>
          <w:p w14:paraId="660AA5BD" w14:textId="77777777" w:rsidR="001C0464" w:rsidRDefault="001C0464" w:rsidP="00B93E8E">
            <w:pPr>
              <w:rPr>
                <w:sz w:val="18"/>
                <w:szCs w:val="18"/>
              </w:rPr>
            </w:pPr>
          </w:p>
        </w:tc>
        <w:tc>
          <w:tcPr>
            <w:tcW w:w="5329" w:type="dxa"/>
          </w:tcPr>
          <w:p w14:paraId="418531F4" w14:textId="77777777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intended string contents</w:t>
            </w:r>
          </w:p>
        </w:tc>
      </w:tr>
      <w:tr w:rsidR="001C0464" w14:paraId="4E6BD3E9" w14:textId="77777777" w:rsidTr="004F098E">
        <w:trPr>
          <w:trHeight w:val="291"/>
        </w:trPr>
        <w:tc>
          <w:tcPr>
            <w:tcW w:w="1137" w:type="dxa"/>
          </w:tcPr>
          <w:p w14:paraId="29B72287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Asset ID</w:t>
            </w:r>
          </w:p>
        </w:tc>
        <w:tc>
          <w:tcPr>
            <w:tcW w:w="2098" w:type="dxa"/>
          </w:tcPr>
          <w:p w14:paraId="71B45674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asset_id</w:t>
            </w:r>
          </w:p>
        </w:tc>
        <w:tc>
          <w:tcPr>
            <w:tcW w:w="1440" w:type="dxa"/>
          </w:tcPr>
          <w:p w14:paraId="2E658FEF" w14:textId="77777777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Required</w:t>
            </w:r>
          </w:p>
        </w:tc>
        <w:tc>
          <w:tcPr>
            <w:tcW w:w="5329" w:type="dxa"/>
          </w:tcPr>
          <w:p w14:paraId="094F9DF7" w14:textId="77777777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digital asset identifier is preferably an archive-specific, archive-issued identifier, suitable for circulation.</w:t>
            </w:r>
          </w:p>
        </w:tc>
      </w:tr>
      <w:tr w:rsidR="001C0464" w14:paraId="12588E78" w14:textId="77777777" w:rsidTr="004F098E">
        <w:trPr>
          <w:trHeight w:val="278"/>
        </w:trPr>
        <w:tc>
          <w:tcPr>
            <w:tcW w:w="1137" w:type="dxa"/>
          </w:tcPr>
          <w:p w14:paraId="19AD80EA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ID</w:t>
            </w:r>
          </w:p>
        </w:tc>
        <w:tc>
          <w:tcPr>
            <w:tcW w:w="2098" w:type="dxa"/>
          </w:tcPr>
          <w:p w14:paraId="303760BC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project_id</w:t>
            </w:r>
          </w:p>
        </w:tc>
        <w:tc>
          <w:tcPr>
            <w:tcW w:w="1440" w:type="dxa"/>
          </w:tcPr>
          <w:p w14:paraId="5786C9F6" w14:textId="15328374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Optional</w:t>
            </w:r>
            <w:r w:rsidR="004F098E">
              <w:rPr>
                <w:i/>
                <w:sz w:val="18"/>
                <w:szCs w:val="18"/>
              </w:rPr>
              <w:t xml:space="preserve"> (recommended if </w:t>
            </w:r>
            <w:r w:rsidR="004F098E" w:rsidRPr="00667D5F">
              <w:rPr>
                <w:b/>
                <w:bCs/>
                <w:i/>
                <w:sz w:val="18"/>
                <w:szCs w:val="18"/>
              </w:rPr>
              <w:t>Sample ID</w:t>
            </w:r>
            <w:r w:rsidR="004F098E">
              <w:rPr>
                <w:i/>
                <w:sz w:val="18"/>
                <w:szCs w:val="18"/>
              </w:rPr>
              <w:t xml:space="preserve"> present)</w:t>
            </w:r>
          </w:p>
        </w:tc>
        <w:tc>
          <w:tcPr>
            <w:tcW w:w="5329" w:type="dxa"/>
          </w:tcPr>
          <w:p w14:paraId="68FECF03" w14:textId="64C3AE9D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identifier is preferably an archive-specific, archive-issued identifier, suitable for circulation, that identifies a logical unit similar to a “project”, “dataset”, or “data collection”, whatever such unit is most readily available from the point of view of the archive.</w:t>
            </w:r>
            <w:r w:rsidR="00FB670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Ideally this string is textual and somewhat human-readable, as opposed to numeric or hash-like.</w:t>
            </w:r>
            <w:r w:rsidR="00CD14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This field is optional to allow for the usage of this field as a convenience of data organization, in case it is helpful for the maintainer. A full account of asset-to-“project” relationships (and other “project” information) is considered out of scope for this specification.</w:t>
            </w:r>
          </w:p>
        </w:tc>
      </w:tr>
      <w:tr w:rsidR="001C0464" w14:paraId="167FE045" w14:textId="77777777" w:rsidTr="004F098E">
        <w:trPr>
          <w:trHeight w:val="278"/>
        </w:trPr>
        <w:tc>
          <w:tcPr>
            <w:tcW w:w="1137" w:type="dxa"/>
          </w:tcPr>
          <w:p w14:paraId="6A5E460B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Asset name</w:t>
            </w:r>
          </w:p>
        </w:tc>
        <w:tc>
          <w:tcPr>
            <w:tcW w:w="2098" w:type="dxa"/>
          </w:tcPr>
          <w:p w14:paraId="3DB1F388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asset_name</w:t>
            </w:r>
          </w:p>
        </w:tc>
        <w:tc>
          <w:tcPr>
            <w:tcW w:w="1440" w:type="dxa"/>
          </w:tcPr>
          <w:p w14:paraId="6ED87295" w14:textId="77777777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Optional</w:t>
            </w:r>
          </w:p>
        </w:tc>
        <w:tc>
          <w:tcPr>
            <w:tcW w:w="5329" w:type="dxa"/>
          </w:tcPr>
          <w:p w14:paraId="00B0B798" w14:textId="58254746" w:rsidR="001C0464" w:rsidRDefault="00385AE3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1C0464">
              <w:rPr>
                <w:sz w:val="18"/>
                <w:szCs w:val="18"/>
              </w:rPr>
              <w:t>his should ideally be the file’s basename (i.e. without path information, but with file extension if this extension is part of the filename).</w:t>
            </w:r>
            <w:r w:rsidR="00FB670E">
              <w:rPr>
                <w:sz w:val="18"/>
                <w:szCs w:val="18"/>
              </w:rPr>
              <w:t xml:space="preserve"> </w:t>
            </w:r>
            <w:r w:rsidR="001C0464">
              <w:rPr>
                <w:sz w:val="18"/>
                <w:szCs w:val="18"/>
              </w:rPr>
              <w:t>This field is optional to allow for the case that the archive and/or data submitter deems the values to be unsuitable for circulation, either because they are subject to change</w:t>
            </w:r>
            <w:r>
              <w:rPr>
                <w:sz w:val="18"/>
                <w:szCs w:val="18"/>
              </w:rPr>
              <w:t>, or because no canonical name exists in the filesystem of storage,</w:t>
            </w:r>
            <w:r w:rsidR="001C0464">
              <w:rPr>
                <w:sz w:val="18"/>
                <w:szCs w:val="18"/>
              </w:rPr>
              <w:t xml:space="preserve"> or for any other reason.</w:t>
            </w:r>
          </w:p>
        </w:tc>
      </w:tr>
      <w:tr w:rsidR="001C0464" w14:paraId="6A63AFB2" w14:textId="77777777" w:rsidTr="004F098E">
        <w:trPr>
          <w:trHeight w:val="278"/>
        </w:trPr>
        <w:tc>
          <w:tcPr>
            <w:tcW w:w="1137" w:type="dxa"/>
          </w:tcPr>
          <w:p w14:paraId="42CB6453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Sample ID</w:t>
            </w:r>
          </w:p>
        </w:tc>
        <w:tc>
          <w:tcPr>
            <w:tcW w:w="2098" w:type="dxa"/>
          </w:tcPr>
          <w:p w14:paraId="0FD49E68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sample_id</w:t>
            </w:r>
          </w:p>
        </w:tc>
        <w:tc>
          <w:tcPr>
            <w:tcW w:w="1440" w:type="dxa"/>
          </w:tcPr>
          <w:p w14:paraId="6ACDBA45" w14:textId="77777777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Optional</w:t>
            </w:r>
          </w:p>
        </w:tc>
        <w:tc>
          <w:tcPr>
            <w:tcW w:w="5329" w:type="dxa"/>
          </w:tcPr>
          <w:p w14:paraId="716FD5A3" w14:textId="46E4888D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identifier should identify a biological specimen that the </w:t>
            </w:r>
            <w:r w:rsidR="00385AE3">
              <w:rPr>
                <w:sz w:val="18"/>
                <w:szCs w:val="18"/>
              </w:rPr>
              <w:t xml:space="preserve">file </w:t>
            </w:r>
            <w:r>
              <w:rPr>
                <w:sz w:val="18"/>
                <w:szCs w:val="18"/>
              </w:rPr>
              <w:t xml:space="preserve">record is about, at whatever granularity the data submitter cares to provide, within the namespace defined by the </w:t>
            </w:r>
            <w:r w:rsidRPr="0021354E">
              <w:rPr>
                <w:b/>
                <w:bCs/>
                <w:sz w:val="18"/>
                <w:szCs w:val="18"/>
              </w:rPr>
              <w:t>Project ID</w:t>
            </w:r>
            <w:r>
              <w:rPr>
                <w:sz w:val="18"/>
                <w:szCs w:val="18"/>
              </w:rPr>
              <w:t xml:space="preserve"> value (which must therefore be provided, whenever </w:t>
            </w:r>
            <w:r w:rsidRPr="0021354E">
              <w:rPr>
                <w:b/>
                <w:bCs/>
                <w:sz w:val="18"/>
                <w:szCs w:val="18"/>
              </w:rPr>
              <w:t>Sample ID</w:t>
            </w:r>
            <w:r>
              <w:rPr>
                <w:sz w:val="18"/>
                <w:szCs w:val="18"/>
              </w:rPr>
              <w:t xml:space="preserve"> is</w:t>
            </w:r>
            <w:r w:rsidR="0021354E">
              <w:rPr>
                <w:sz w:val="18"/>
                <w:szCs w:val="18"/>
              </w:rPr>
              <w:t xml:space="preserve"> provided</w:t>
            </w:r>
            <w:r>
              <w:rPr>
                <w:sz w:val="18"/>
                <w:szCs w:val="18"/>
              </w:rPr>
              <w:t>).</w:t>
            </w:r>
            <w:r w:rsidR="00FB670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Note that specification of this granularity (e.g. cell, brain, organism) is the purview of a sample or specimen manifest, not this manifest.</w:t>
            </w:r>
            <w:r w:rsidR="00FB670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Usage of this field ideally implies that the </w:t>
            </w:r>
            <w:r w:rsidRPr="0021354E">
              <w:rPr>
                <w:b/>
                <w:bCs/>
                <w:sz w:val="18"/>
                <w:szCs w:val="18"/>
              </w:rPr>
              <w:t>Project ID</w:t>
            </w:r>
            <w:r>
              <w:rPr>
                <w:sz w:val="18"/>
                <w:szCs w:val="18"/>
              </w:rPr>
              <w:t xml:space="preserve"> provides enough information to identify a group of people (e.g. a lab</w:t>
            </w:r>
            <w:r w:rsidR="0021354E">
              <w:rPr>
                <w:sz w:val="18"/>
                <w:szCs w:val="18"/>
              </w:rPr>
              <w:t>’s members</w:t>
            </w:r>
            <w:r>
              <w:rPr>
                <w:sz w:val="18"/>
                <w:szCs w:val="18"/>
              </w:rPr>
              <w:t>)</w:t>
            </w:r>
            <w:r w:rsidR="0021354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some subset of which were responsible for the generation of these </w:t>
            </w:r>
            <w:r w:rsidRPr="0021354E">
              <w:rPr>
                <w:b/>
                <w:bCs/>
                <w:sz w:val="18"/>
                <w:szCs w:val="18"/>
              </w:rPr>
              <w:t>Sample ID</w:t>
            </w:r>
            <w:r w:rsidR="0021354E" w:rsidRPr="0021354E">
              <w:rPr>
                <w:sz w:val="18"/>
                <w:szCs w:val="18"/>
              </w:rPr>
              <w:t xml:space="preserve"> values</w:t>
            </w:r>
            <w:r>
              <w:rPr>
                <w:sz w:val="18"/>
                <w:szCs w:val="18"/>
              </w:rPr>
              <w:t>.</w:t>
            </w:r>
          </w:p>
        </w:tc>
      </w:tr>
      <w:tr w:rsidR="001C0464" w14:paraId="31EC51CB" w14:textId="77777777" w:rsidTr="004F098E">
        <w:trPr>
          <w:trHeight w:val="278"/>
        </w:trPr>
        <w:tc>
          <w:tcPr>
            <w:tcW w:w="1137" w:type="dxa"/>
          </w:tcPr>
          <w:p w14:paraId="0D5825A5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Public availability</w:t>
            </w:r>
          </w:p>
        </w:tc>
        <w:tc>
          <w:tcPr>
            <w:tcW w:w="2098" w:type="dxa"/>
          </w:tcPr>
          <w:p w14:paraId="09A8E697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public_availability</w:t>
            </w:r>
          </w:p>
        </w:tc>
        <w:tc>
          <w:tcPr>
            <w:tcW w:w="1440" w:type="dxa"/>
          </w:tcPr>
          <w:p w14:paraId="2FA2D273" w14:textId="77777777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Optional</w:t>
            </w:r>
          </w:p>
        </w:tc>
        <w:tc>
          <w:tcPr>
            <w:tcW w:w="5329" w:type="dxa"/>
          </w:tcPr>
          <w:p w14:paraId="147043F9" w14:textId="77777777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indication of the degree of public availability the data submitter and archive intend for the asset. Most commonly, this value will be “Public”, but archive- and project-specific special </w:t>
            </w:r>
            <w:r>
              <w:rPr>
                <w:sz w:val="18"/>
                <w:szCs w:val="18"/>
              </w:rPr>
              <w:lastRenderedPageBreak/>
              <w:t>cases may be indicated by alternatives like “Private”, “Controlled access by … ”.</w:t>
            </w:r>
          </w:p>
        </w:tc>
      </w:tr>
      <w:tr w:rsidR="001C0464" w14:paraId="24AF856D" w14:textId="77777777" w:rsidTr="004F098E">
        <w:trPr>
          <w:trHeight w:val="278"/>
        </w:trPr>
        <w:tc>
          <w:tcPr>
            <w:tcW w:w="1137" w:type="dxa"/>
          </w:tcPr>
          <w:p w14:paraId="520AA446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URI</w:t>
            </w:r>
          </w:p>
        </w:tc>
        <w:tc>
          <w:tcPr>
            <w:tcW w:w="2098" w:type="dxa"/>
          </w:tcPr>
          <w:p w14:paraId="7D4CEEDD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uri</w:t>
            </w:r>
          </w:p>
        </w:tc>
        <w:tc>
          <w:tcPr>
            <w:tcW w:w="1440" w:type="dxa"/>
          </w:tcPr>
          <w:p w14:paraId="0B748189" w14:textId="77777777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Optional</w:t>
            </w:r>
          </w:p>
        </w:tc>
        <w:tc>
          <w:tcPr>
            <w:tcW w:w="5329" w:type="dxa"/>
          </w:tcPr>
          <w:p w14:paraId="0F9A11F4" w14:textId="5775885A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identifier uniquely identifying the record (digital asset) using the syntactic conventions of a Uniform Resource Identifier (URI). In particular, the identifier should most likely begin with </w:t>
            </w:r>
            <w:hyperlink r:id="rId9">
              <w:r>
                <w:rPr>
                  <w:color w:val="0000FF"/>
                  <w:sz w:val="18"/>
                  <w:szCs w:val="18"/>
                  <w:u w:val="single"/>
                </w:rPr>
                <w:t>https://dandiarchive.org/</w:t>
              </w:r>
            </w:hyperlink>
            <w:r>
              <w:rPr>
                <w:sz w:val="18"/>
                <w:szCs w:val="18"/>
              </w:rPr>
              <w:t xml:space="preserve">, </w:t>
            </w:r>
            <w:hyperlink r:id="rId10">
              <w:r>
                <w:rPr>
                  <w:color w:val="0000FF"/>
                  <w:sz w:val="18"/>
                  <w:szCs w:val="18"/>
                  <w:u w:val="single"/>
                </w:rPr>
                <w:t>https://nemoarchive.org/</w:t>
              </w:r>
            </w:hyperlink>
            <w:r>
              <w:rPr>
                <w:sz w:val="18"/>
                <w:szCs w:val="18"/>
              </w:rPr>
              <w:t xml:space="preserve">, or </w:t>
            </w:r>
            <w:hyperlink r:id="rId11">
              <w:r>
                <w:rPr>
                  <w:color w:val="0000FF"/>
                  <w:sz w:val="18"/>
                  <w:szCs w:val="18"/>
                  <w:u w:val="single"/>
                </w:rPr>
                <w:t>https://www.brainimagelibrary.org/</w:t>
              </w:r>
            </w:hyperlink>
            <w:r>
              <w:rPr>
                <w:sz w:val="18"/>
                <w:szCs w:val="18"/>
              </w:rPr>
              <w:t xml:space="preserve"> </w:t>
            </w:r>
            <w:r w:rsidR="00F914D3">
              <w:rPr>
                <w:sz w:val="18"/>
                <w:szCs w:val="18"/>
              </w:rPr>
              <w:t>or similar.</w:t>
            </w:r>
            <w:r w:rsidR="00E740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General URI and URL specifications can be found in </w:t>
            </w:r>
            <w:hyperlink r:id="rId12">
              <w:r>
                <w:rPr>
                  <w:color w:val="0000FF"/>
                  <w:sz w:val="18"/>
                  <w:szCs w:val="18"/>
                  <w:u w:val="single"/>
                </w:rPr>
                <w:t>RFC 3986</w:t>
              </w:r>
            </w:hyperlink>
            <w:r>
              <w:rPr>
                <w:sz w:val="18"/>
                <w:szCs w:val="18"/>
              </w:rPr>
              <w:t>.</w:t>
            </w:r>
          </w:p>
        </w:tc>
      </w:tr>
      <w:tr w:rsidR="001C0464" w14:paraId="4F7E896C" w14:textId="77777777" w:rsidTr="004F098E">
        <w:trPr>
          <w:trHeight w:val="291"/>
        </w:trPr>
        <w:tc>
          <w:tcPr>
            <w:tcW w:w="1137" w:type="dxa"/>
          </w:tcPr>
          <w:p w14:paraId="7C9E5A85" w14:textId="18B08EA9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2098" w:type="dxa"/>
          </w:tcPr>
          <w:p w14:paraId="62039BCC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url</w:t>
            </w:r>
          </w:p>
        </w:tc>
        <w:tc>
          <w:tcPr>
            <w:tcW w:w="1440" w:type="dxa"/>
          </w:tcPr>
          <w:p w14:paraId="3F7CC823" w14:textId="77777777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Required if “URL direct” is not provided</w:t>
            </w:r>
          </w:p>
        </w:tc>
        <w:tc>
          <w:tcPr>
            <w:tcW w:w="5329" w:type="dxa"/>
          </w:tcPr>
          <w:p w14:paraId="3116B730" w14:textId="77777777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internet-resolvable Uniform Resource Locator (URL) that retrieves a document which provides precise instructions for the user to obtain the asset (or otherwise redirects the client to such a document; see HTTP status codes 303 and 307).</w:t>
            </w:r>
          </w:p>
        </w:tc>
      </w:tr>
      <w:tr w:rsidR="001C0464" w14:paraId="0C2362CF" w14:textId="77777777" w:rsidTr="004F098E">
        <w:trPr>
          <w:trHeight w:val="278"/>
        </w:trPr>
        <w:tc>
          <w:tcPr>
            <w:tcW w:w="1137" w:type="dxa"/>
          </w:tcPr>
          <w:p w14:paraId="446ADE08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 direct</w:t>
            </w:r>
          </w:p>
        </w:tc>
        <w:tc>
          <w:tcPr>
            <w:tcW w:w="2098" w:type="dxa"/>
          </w:tcPr>
          <w:p w14:paraId="52D4C507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url_direct</w:t>
            </w:r>
          </w:p>
        </w:tc>
        <w:tc>
          <w:tcPr>
            <w:tcW w:w="1440" w:type="dxa"/>
          </w:tcPr>
          <w:p w14:paraId="47977B81" w14:textId="77777777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Required if “URL” is not provided</w:t>
            </w:r>
          </w:p>
        </w:tc>
        <w:tc>
          <w:tcPr>
            <w:tcW w:w="5329" w:type="dxa"/>
          </w:tcPr>
          <w:p w14:paraId="1969D52A" w14:textId="467F4FEC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internet-resolvable Uniform Resource Locator (URL) that retrieves a document which is an exact representation of the digital asset.</w:t>
            </w:r>
            <w:r w:rsidR="00E740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Although this field theoretically enables programmatic access to raw assets, extensive such use is not recommended. Instead, a future system and specification should be used which is specifically designed to support such programmatic access (especially to satisfy bulk requests).</w:t>
            </w:r>
          </w:p>
        </w:tc>
      </w:tr>
      <w:tr w:rsidR="001C0464" w14:paraId="7A925D36" w14:textId="77777777" w:rsidTr="004F098E">
        <w:trPr>
          <w:trHeight w:val="278"/>
        </w:trPr>
        <w:tc>
          <w:tcPr>
            <w:tcW w:w="1137" w:type="dxa"/>
          </w:tcPr>
          <w:p w14:paraId="44925BAB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type</w:t>
            </w:r>
          </w:p>
        </w:tc>
        <w:tc>
          <w:tcPr>
            <w:tcW w:w="2098" w:type="dxa"/>
          </w:tcPr>
          <w:p w14:paraId="3DD37900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data_type</w:t>
            </w:r>
          </w:p>
        </w:tc>
        <w:tc>
          <w:tcPr>
            <w:tcW w:w="1440" w:type="dxa"/>
          </w:tcPr>
          <w:p w14:paraId="74D5D295" w14:textId="77777777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Required</w:t>
            </w:r>
          </w:p>
        </w:tc>
        <w:tc>
          <w:tcPr>
            <w:tcW w:w="5329" w:type="dxa"/>
          </w:tcPr>
          <w:p w14:paraId="49FC9950" w14:textId="77777777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relatively free-form string describing the data type of the asset. For example, “SAM file -- Sequence Alignment Map”. More detail should be included commensurate with feasibility and disambiguation utility. For example, there are non-interoperable variants of SWC neuron reconstruction files which ought to be disambiguated here if it is feasible to do so.</w:t>
            </w:r>
          </w:p>
        </w:tc>
      </w:tr>
      <w:tr w:rsidR="001C0464" w14:paraId="7476E49A" w14:textId="77777777" w:rsidTr="004F098E">
        <w:trPr>
          <w:trHeight w:val="278"/>
        </w:trPr>
        <w:tc>
          <w:tcPr>
            <w:tcW w:w="1137" w:type="dxa"/>
          </w:tcPr>
          <w:p w14:paraId="5C0EE7F0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Checksum</w:t>
            </w:r>
          </w:p>
        </w:tc>
        <w:tc>
          <w:tcPr>
            <w:tcW w:w="2098" w:type="dxa"/>
          </w:tcPr>
          <w:p w14:paraId="42E4BDD3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checksum</w:t>
            </w:r>
          </w:p>
        </w:tc>
        <w:tc>
          <w:tcPr>
            <w:tcW w:w="1440" w:type="dxa"/>
          </w:tcPr>
          <w:p w14:paraId="5C53271C" w14:textId="4F2BE70E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Required</w:t>
            </w:r>
          </w:p>
        </w:tc>
        <w:tc>
          <w:tcPr>
            <w:tcW w:w="5329" w:type="dxa"/>
          </w:tcPr>
          <w:p w14:paraId="7D1046BE" w14:textId="1E55C4BF" w:rsidR="001C0464" w:rsidRDefault="00F914D3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1C0464">
              <w:rPr>
                <w:sz w:val="18"/>
                <w:szCs w:val="18"/>
              </w:rPr>
              <w:t>he value of this field should be the hash of th</w:t>
            </w:r>
            <w:r>
              <w:rPr>
                <w:sz w:val="18"/>
                <w:szCs w:val="18"/>
              </w:rPr>
              <w:t>e</w:t>
            </w:r>
            <w:r w:rsidR="001C0464">
              <w:rPr>
                <w:sz w:val="18"/>
                <w:szCs w:val="18"/>
              </w:rPr>
              <w:t xml:space="preserve"> byte string </w:t>
            </w:r>
            <w:r>
              <w:rPr>
                <w:sz w:val="18"/>
                <w:szCs w:val="18"/>
              </w:rPr>
              <w:t xml:space="preserve">representing the contents of the file, </w:t>
            </w:r>
            <w:r w:rsidR="001C0464">
              <w:rPr>
                <w:sz w:val="18"/>
                <w:szCs w:val="18"/>
              </w:rPr>
              <w:t xml:space="preserve">with respect to the checksum scheme named in the </w:t>
            </w:r>
            <w:r w:rsidR="001C0464" w:rsidRPr="009A3E2C">
              <w:rPr>
                <w:b/>
                <w:bCs/>
                <w:sz w:val="18"/>
                <w:szCs w:val="18"/>
              </w:rPr>
              <w:t>Checksum scheme</w:t>
            </w:r>
            <w:r w:rsidR="001C0464">
              <w:rPr>
                <w:sz w:val="18"/>
                <w:szCs w:val="18"/>
              </w:rPr>
              <w:t xml:space="preserve"> field. Use the ASCII representation of this checksum which is standard for that scheme (e.g. for SHA256, a 64-character lowercase alphanumeric string).</w:t>
            </w:r>
          </w:p>
        </w:tc>
      </w:tr>
      <w:tr w:rsidR="001C0464" w14:paraId="01FBC82E" w14:textId="77777777" w:rsidTr="004F098E">
        <w:trPr>
          <w:trHeight w:val="291"/>
        </w:trPr>
        <w:tc>
          <w:tcPr>
            <w:tcW w:w="1137" w:type="dxa"/>
          </w:tcPr>
          <w:p w14:paraId="102CD246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Checksum scheme</w:t>
            </w:r>
          </w:p>
        </w:tc>
        <w:tc>
          <w:tcPr>
            <w:tcW w:w="2098" w:type="dxa"/>
          </w:tcPr>
          <w:p w14:paraId="228B7151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checksum_scheme</w:t>
            </w:r>
          </w:p>
        </w:tc>
        <w:tc>
          <w:tcPr>
            <w:tcW w:w="1440" w:type="dxa"/>
          </w:tcPr>
          <w:p w14:paraId="5A86F881" w14:textId="20ED6AEE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Required</w:t>
            </w:r>
          </w:p>
        </w:tc>
        <w:tc>
          <w:tcPr>
            <w:tcW w:w="5329" w:type="dxa"/>
          </w:tcPr>
          <w:p w14:paraId="06F86307" w14:textId="77777777" w:rsidR="001C0464" w:rsidRDefault="001C0464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Indication of the cryptographic hashing scheme used to verify the integrity of the asset. Most likely “SHA256” or “MD5”. Alternatives may be used according to need.</w:t>
            </w:r>
          </w:p>
        </w:tc>
      </w:tr>
      <w:tr w:rsidR="001C0464" w14:paraId="3A1CE6A5" w14:textId="77777777" w:rsidTr="004F098E">
        <w:trPr>
          <w:trHeight w:val="278"/>
        </w:trPr>
        <w:tc>
          <w:tcPr>
            <w:tcW w:w="1137" w:type="dxa"/>
          </w:tcPr>
          <w:p w14:paraId="333B4EE0" w14:textId="77777777" w:rsidR="001C0464" w:rsidRDefault="001C0464" w:rsidP="00B93E8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2098" w:type="dxa"/>
          </w:tcPr>
          <w:p w14:paraId="054DA9C5" w14:textId="77777777" w:rsidR="001C0464" w:rsidRDefault="001C0464" w:rsidP="00B93E8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</w:p>
        </w:tc>
        <w:tc>
          <w:tcPr>
            <w:tcW w:w="1440" w:type="dxa"/>
          </w:tcPr>
          <w:p w14:paraId="0F768C23" w14:textId="382850F3" w:rsidR="001C0464" w:rsidRDefault="001C0464" w:rsidP="00B93E8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Required</w:t>
            </w:r>
          </w:p>
        </w:tc>
        <w:tc>
          <w:tcPr>
            <w:tcW w:w="5329" w:type="dxa"/>
          </w:tcPr>
          <w:p w14:paraId="51EADC93" w14:textId="2129A545" w:rsidR="001C0464" w:rsidRDefault="00A6711E" w:rsidP="00B9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</w:t>
            </w:r>
            <w:r w:rsidR="001C0464">
              <w:rPr>
                <w:sz w:val="18"/>
                <w:szCs w:val="18"/>
              </w:rPr>
              <w:t xml:space="preserve">alue of this field should be the </w:t>
            </w:r>
            <w:r w:rsidR="00412158">
              <w:rPr>
                <w:sz w:val="18"/>
                <w:szCs w:val="18"/>
              </w:rPr>
              <w:t xml:space="preserve">decimal-formatted </w:t>
            </w:r>
            <w:r w:rsidR="001C0464">
              <w:rPr>
                <w:sz w:val="18"/>
                <w:szCs w:val="18"/>
              </w:rPr>
              <w:t>integer number of bytes in th</w:t>
            </w:r>
            <w:r>
              <w:rPr>
                <w:sz w:val="18"/>
                <w:szCs w:val="18"/>
              </w:rPr>
              <w:t xml:space="preserve">e </w:t>
            </w:r>
            <w:r w:rsidR="001C0464">
              <w:rPr>
                <w:sz w:val="18"/>
                <w:szCs w:val="18"/>
              </w:rPr>
              <w:t>byte string</w:t>
            </w:r>
            <w:r>
              <w:rPr>
                <w:sz w:val="18"/>
                <w:szCs w:val="18"/>
              </w:rPr>
              <w:t xml:space="preserve"> representation of the file.</w:t>
            </w:r>
          </w:p>
        </w:tc>
      </w:tr>
      <w:bookmarkEnd w:id="2"/>
    </w:tbl>
    <w:p w14:paraId="00000066" w14:textId="77777777" w:rsidR="00017A2E" w:rsidRDefault="00017A2E">
      <w:pPr>
        <w:tabs>
          <w:tab w:val="left" w:pos="3048"/>
          <w:tab w:val="left" w:pos="5345"/>
        </w:tabs>
        <w:rPr>
          <w:color w:val="434343"/>
        </w:rPr>
      </w:pPr>
    </w:p>
    <w:sectPr w:rsidR="00017A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A377D" w14:textId="77777777" w:rsidR="000829B9" w:rsidRDefault="000829B9" w:rsidP="00DD6BFB">
      <w:pPr>
        <w:spacing w:line="240" w:lineRule="auto"/>
      </w:pPr>
      <w:r>
        <w:separator/>
      </w:r>
    </w:p>
  </w:endnote>
  <w:endnote w:type="continuationSeparator" w:id="0">
    <w:p w14:paraId="7DE81FA3" w14:textId="77777777" w:rsidR="000829B9" w:rsidRDefault="000829B9" w:rsidP="00DD6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7E8DE" w14:textId="77777777" w:rsidR="000829B9" w:rsidRDefault="000829B9" w:rsidP="00DD6BFB">
      <w:pPr>
        <w:spacing w:line="240" w:lineRule="auto"/>
      </w:pPr>
      <w:r>
        <w:separator/>
      </w:r>
    </w:p>
  </w:footnote>
  <w:footnote w:type="continuationSeparator" w:id="0">
    <w:p w14:paraId="4B7278E2" w14:textId="77777777" w:rsidR="000829B9" w:rsidRDefault="000829B9" w:rsidP="00DD6BFB">
      <w:pPr>
        <w:spacing w:line="240" w:lineRule="auto"/>
      </w:pPr>
      <w:r>
        <w:continuationSeparator/>
      </w:r>
    </w:p>
  </w:footnote>
  <w:footnote w:id="1">
    <w:p w14:paraId="75E66EA3" w14:textId="77EA24B6" w:rsidR="00DD6BFB" w:rsidRDefault="00DD6BFB">
      <w:pPr>
        <w:pStyle w:val="FootnoteText"/>
      </w:pPr>
      <w:r>
        <w:rPr>
          <w:rStyle w:val="FootnoteReference"/>
        </w:rPr>
        <w:footnoteRef/>
      </w:r>
      <w:r>
        <w:t xml:space="preserve"> Prior versions of this document proposed an extension to directory contents, but that turned out to be too difficult to specify in exchange for too little benefit.</w:t>
      </w:r>
    </w:p>
  </w:footnote>
  <w:footnote w:id="2">
    <w:p w14:paraId="7851B365" w14:textId="5950061A" w:rsidR="001C0464" w:rsidRDefault="001C0464">
      <w:pPr>
        <w:pStyle w:val="FootnoteText"/>
      </w:pPr>
      <w:r>
        <w:rPr>
          <w:rStyle w:val="FootnoteReference"/>
        </w:rPr>
        <w:footnoteRef/>
      </w:r>
      <w:r>
        <w:t xml:space="preserve"> It was noted that this limitation is almost certainly too strict. Lifting this limitation, however, requires some consideration to determine the appropriate replacement. Surely not all bytestrings should be allowed.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6A83"/>
    <w:multiLevelType w:val="multilevel"/>
    <w:tmpl w:val="C658D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BE41F55"/>
    <w:multiLevelType w:val="multilevel"/>
    <w:tmpl w:val="863AEEA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</w:rPr>
    </w:lvl>
  </w:abstractNum>
  <w:abstractNum w:abstractNumId="2" w15:restartNumberingAfterBreak="0">
    <w:nsid w:val="3EF32EEA"/>
    <w:multiLevelType w:val="multilevel"/>
    <w:tmpl w:val="EE1C6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2E"/>
    <w:rsid w:val="00017A2E"/>
    <w:rsid w:val="000829B9"/>
    <w:rsid w:val="0010596A"/>
    <w:rsid w:val="001C0464"/>
    <w:rsid w:val="0021354E"/>
    <w:rsid w:val="00237E45"/>
    <w:rsid w:val="0026417A"/>
    <w:rsid w:val="00385AE3"/>
    <w:rsid w:val="00412158"/>
    <w:rsid w:val="004565B2"/>
    <w:rsid w:val="004F098E"/>
    <w:rsid w:val="005E2A37"/>
    <w:rsid w:val="00667D5F"/>
    <w:rsid w:val="006B5758"/>
    <w:rsid w:val="007264FE"/>
    <w:rsid w:val="007C5BE2"/>
    <w:rsid w:val="008B13E6"/>
    <w:rsid w:val="009A3E2C"/>
    <w:rsid w:val="00A6711E"/>
    <w:rsid w:val="00B95C2C"/>
    <w:rsid w:val="00CD1436"/>
    <w:rsid w:val="00DD6BFB"/>
    <w:rsid w:val="00E7403F"/>
    <w:rsid w:val="00EA11D8"/>
    <w:rsid w:val="00EA6395"/>
    <w:rsid w:val="00F914D3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E4D8"/>
  <w15:docId w15:val="{30A310D4-6AEF-4064-8B73-7330358E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3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3E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44F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4FF8"/>
    <w:rPr>
      <w:b/>
      <w:bCs/>
    </w:rPr>
  </w:style>
  <w:style w:type="character" w:styleId="Emphasis">
    <w:name w:val="Emphasis"/>
    <w:basedOn w:val="DefaultParagraphFont"/>
    <w:uiPriority w:val="20"/>
    <w:qFormat/>
    <w:rsid w:val="00944FF8"/>
    <w:rPr>
      <w:i/>
      <w:iCs/>
    </w:rPr>
  </w:style>
  <w:style w:type="table" w:styleId="TableGrid">
    <w:name w:val="Table Grid"/>
    <w:basedOn w:val="TableNormal"/>
    <w:uiPriority w:val="39"/>
    <w:rsid w:val="00151D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06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1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D6BF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B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6BF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C04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ools.ietf.org/html/rfc398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rainimagelibrary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nemoarchive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dandiarchiv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zx4Dz3VsoefQCSibct+ksEnXg==">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</go:docsCustomData>
</go:gDocsCustomXmlDataStorage>
</file>

<file path=customXml/itemProps1.xml><?xml version="1.0" encoding="utf-8"?>
<ds:datastoreItem xmlns:ds="http://schemas.openxmlformats.org/officeDocument/2006/customXml" ds:itemID="{4156DE2B-BC28-4B9E-AF37-9FC84864E1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Mathews</dc:creator>
  <cp:lastModifiedBy>Jimmy Mathews</cp:lastModifiedBy>
  <cp:revision>11</cp:revision>
  <dcterms:created xsi:type="dcterms:W3CDTF">2021-03-17T01:04:00Z</dcterms:created>
  <dcterms:modified xsi:type="dcterms:W3CDTF">2021-03-17T08:06:00Z</dcterms:modified>
</cp:coreProperties>
</file>