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民间借贷纠纷判决书摘要</w:t>
      </w:r>
    </w:p>
    <w:p>
      <w:r>
        <w:t>原告：陈某</w:t>
      </w:r>
    </w:p>
    <w:p>
      <w:r>
        <w:t>被告：刘某</w:t>
      </w:r>
    </w:p>
    <w:p>
      <w:r>
        <w:t>案由：民间借贷纠纷</w:t>
      </w:r>
    </w:p>
    <w:p>
      <w:r>
        <w:t>基本事实：2025年3月1日，被告向原告借款人民币80000元，并出具借条。双方约定借款期限为6个月，年利率为8%。借款到期后，被告仅归还本金20000元，剩余本金及利息未支付。</w:t>
      </w:r>
    </w:p>
    <w:p>
      <w:r>
        <w:t>争议焦点：借贷关系是否成立、剩余本金和利息是否应当支付、利率约定是否合法。</w:t>
      </w:r>
    </w:p>
    <w:p>
      <w:r>
        <w:t>裁判结果：法院认为借条、转账记录可以相互印证，借贷关系成立。被告应偿还剩余本金60000元及合法利息。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