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pPr>
        <w:jc w:val="center"/>
      </w:pPr>
      <w:r>
        <w:rPr>
          <w:b/>
          <w:sz w:val="32"/>
        </w:rPr>
        <w:t xml:space="preserve">Document Quality Summary</w:t>
      </w:r>
    </w:p>
    <w:p>
      <w:r>
        <w:t xml:space="preserve">--------------------------------------------------</w:t>
      </w:r>
    </w:p>
    <w:p>
      <w:pPr>
        <w:spacing w:after="100"/>
      </w:pPr>
      <w:r>
        <w:t xml:space="preserve">Overall Document Quality Score: 16.700000000000003/100</w:t>
      </w:r>
    </w:p>
    <w:p>
      <w:pPr>
        <w:spacing w:after="300"/>
      </w:pPr>
      <w:r>
        <w:t xml:space="preserve">Qualitative Grade: Poor</w:t>
      </w:r>
    </w:p>
    <w:p>
      <w:pPr>
        <w:spacing w:after="200"/>
      </w:pPr>
      <w:r>
        <w:t xml:space="preserve">Severity Summary: 15 Critical, 20 Major, 4 Minor errors</w:t>
      </w:r>
    </w:p>
    <w:p>
      <w:pPr>
        <w:spacing w:after="200"/>
      </w:pPr>
      <w:r>
        <w:t xml:space="preserve">Error Type Breakdown:</w:t>
      </w:r>
    </w:p>
    <w:tbl>
      <w:tblPr/>
      <w:tblGrid>
        <w:gridCol w:w="3093"/>
        <w:gridCol w:w="771"/>
        <w:gridCol w:w="910"/>
      </w:tblGrid>
      <w:tr>
        <w:tc>
          <w:tcPr>
            <w:vAlign w:val="center"/>
          </w:tcPr>
          <w:p>
            <w:r>
              <w:t xml:space="preserve">Error Type</w:t>
            </w:r>
          </w:p>
        </w:tc>
        <w:tc>
          <w:tcPr>
            <w:vAlign w:val="center"/>
          </w:tcPr>
          <w:p>
            <w:r>
              <w:t xml:space="preserve">Count</w:t>
            </w:r>
          </w:p>
        </w:tc>
        <w:tc>
          <w:tcPr>
            <w:vAlign w:val="center"/>
          </w:tcPr>
          <w:p>
            <w:r>
              <w:t xml:space="preserve">Penalty</w:t>
            </w:r>
          </w:p>
        </w:tc>
      </w:tr>
      <w:tr>
        <w:tc>
          <w:tcPr/>
          <w:p>
            <w:r>
              <w:t xml:space="preserve">Grammar and Spelling Check</w:t>
            </w:r>
          </w:p>
        </w:tc>
        <w:tc>
          <w:tcPr/>
          <w:p>
            <w:r>
              <w:t xml:space="preserve">20</w:t>
            </w:r>
          </w:p>
        </w:tc>
        <w:tc>
          <w:tcPr/>
          <w:p>
            <w:r>
              <w:t xml:space="preserve">40</w:t>
            </w:r>
          </w:p>
        </w:tc>
      </w:tr>
      <w:tr>
        <w:tc>
          <w:tcPr/>
          <w:p>
            <w:r>
              <w:t xml:space="preserve">Acronym Definitions and Usage</w:t>
            </w:r>
          </w:p>
        </w:tc>
        <w:tc>
          <w:tcPr/>
          <w:p>
            <w:r>
              <w:t xml:space="preserve">7</w:t>
            </w:r>
          </w:p>
        </w:tc>
        <w:tc>
          <w:tcPr/>
          <w:p>
            <w:r>
              <w:t xml:space="preserve">35</w:t>
            </w:r>
          </w:p>
        </w:tc>
      </w:tr>
      <w:tr>
        <w:tc>
          <w:tcPr/>
          <w:p>
            <w:r>
              <w:t xml:space="preserve">Terminology Consistency</w:t>
            </w:r>
          </w:p>
        </w:tc>
        <w:tc>
          <w:tcPr/>
          <w:p>
            <w:r>
              <w:t xml:space="preserve">6</w:t>
            </w:r>
          </w:p>
        </w:tc>
        <w:tc>
          <w:tcPr/>
          <w:p>
            <w:r>
              <w:t xml:space="preserve">30</w:t>
            </w:r>
          </w:p>
        </w:tc>
      </w:tr>
      <w:tr>
        <w:tc>
          <w:tcPr/>
          <w:p>
            <w:r>
              <w:t xml:space="preserve">Units and Symbols Consistency</w:t>
            </w:r>
          </w:p>
        </w:tc>
        <w:tc>
          <w:tcPr/>
          <w:p>
            <w:r>
              <w:t xml:space="preserve">4</w:t>
            </w:r>
          </w:p>
        </w:tc>
        <w:tc>
          <w:tcPr/>
          <w:p>
            <w:r>
              <w:t xml:space="preserve">4</w:t>
            </w:r>
          </w:p>
        </w:tc>
      </w:tr>
      <w:tr>
        <w:tc>
          <w:tcPr/>
          <w:p>
            <w:r>
              <w:t xml:space="preserve">Mandatory Sections Present</w:t>
            </w:r>
          </w:p>
        </w:tc>
        <w:tc>
          <w:tcPr/>
          <w:p>
            <w:r>
              <w:t xml:space="preserve">2</w:t>
            </w:r>
          </w:p>
        </w:tc>
        <w:tc>
          <w:tcPr/>
          <w:p>
            <w:r>
              <w:t xml:space="preserve">10</w:t>
            </w:r>
          </w:p>
        </w:tc>
      </w:tr>
    </w:tbl>
    <w:p>
      <w:pPr>
        <w:spacing w:after="300"/>
      </w:pPr>
    </w:p>
    <w:p>
      <w:pPr>
        <w:spacing w:after="200"/>
      </w:pPr>
      <w:r>
        <w:t xml:space="preserve">Top 9 Key Issues:</w:t>
      </w:r>
    </w:p>
    <w:p>
      <w:pPr>
        <w:numPr>
          <w:numId w:val="1"/>
        </w:numPr>
        <w:spacing w:after="100"/>
      </w:pPr>
      <w:r>
        <w:t xml:space="preserve">Numerous spelling and grammatical errors throughout the report.</w:t>
      </w:r>
    </w:p>
    <w:p>
      <w:pPr>
        <w:numPr>
          <w:numId w:val="1"/>
        </w:numPr>
        <w:spacing w:after="100"/>
      </w:pPr>
      <w:r>
        <w:t xml:space="preserve">Inconsistent use of terminology (e.g., Superlot names, volcanic ash, expansive soils).</w:t>
      </w:r>
    </w:p>
    <w:p>
      <w:pPr>
        <w:numPr>
          <w:numId w:val="1"/>
        </w:numPr>
        <w:spacing w:after="100"/>
      </w:pPr>
      <w:r>
        <w:t xml:space="preserve">Missing conclusion section to summarize key findings.</w:t>
      </w:r>
    </w:p>
    <w:p>
      <w:pPr>
        <w:numPr>
          <w:numId w:val="1"/>
        </w:numPr>
        <w:spacing w:after="100"/>
      </w:pPr>
      <w:r>
        <w:t xml:space="preserve">Missing reference section for cited sources.</w:t>
      </w:r>
    </w:p>
    <w:p>
      <w:pPr>
        <w:numPr>
          <w:numId w:val="1"/>
        </w:numPr>
        <w:spacing w:after="100"/>
      </w:pPr>
      <w:r>
        <w:t xml:space="preserve">Undefined acronyms (e.g., CBR, SPR, RCC, GAP40, ULS, SED, PS4).</w:t>
      </w:r>
    </w:p>
    <w:p>
      <w:pPr>
        <w:numPr>
          <w:numId w:val="1"/>
        </w:numPr>
        <w:spacing w:after="100"/>
      </w:pPr>
      <w:r>
        <w:t xml:space="preserve">Inconsistent units (psi mixed with kPa).</w:t>
      </w:r>
    </w:p>
    <w:p>
      <w:pPr>
        <w:numPr>
          <w:numId w:val="1"/>
        </w:numPr>
        <w:spacing w:after="100"/>
      </w:pPr>
      <w:r>
        <w:t xml:space="preserve">Grammatically incorrect or unclear sentences.</w:t>
      </w:r>
    </w:p>
    <w:p>
      <w:pPr>
        <w:numPr>
          <w:numId w:val="1"/>
        </w:numPr>
        <w:spacing w:after="100"/>
      </w:pPr>
      <w:r>
        <w:t xml:space="preserve">Repetition of phrases (e.g., Land Remediation Investigation Report).</w:t>
      </w:r>
    </w:p>
    <w:p>
      <w:pPr>
        <w:numPr>
          <w:numId w:val="1"/>
        </w:numPr>
        <w:spacing w:after="100"/>
      </w:pPr>
      <w:r>
        <w:t xml:space="preserve">Report is missing reference section</w:t>
      </w:r>
    </w:p>
    <w:p>
      <w:pPr>
        <w:spacing w:after="300"/>
      </w:pPr>
    </w:p>
    <w:p>
      <w:pPr>
        <w:spacing w:after="200"/>
      </w:pPr>
      <w:r>
        <w:t xml:space="preserve">Detailed Feedback:</w:t>
      </w:r>
    </w:p>
    <w:p>
      <w:pPr>
        <w:spacing w:after="160"/>
      </w:pPr>
      <w:r>
        <w:t xml:space="preserve">The report provides a good overview of the geotechnical considerations for the proposed subdivision development. However, the report suffers from several issues that detract from its overall quality and clarity. There are numerous spelling and grammatical errors throughout the document that need to be corrected. Consistency in terminology is lacking, with multiple terms used for the same concept. The report also lacks a conclusion section to summarize the key findings and recommendations, as well as a reference section. Furthermore, several acronyms are used without definition, making it difficult for readers unfamiliar with geotechnical engineering to understand the report fully. To improve the report, the following steps are recommended:</w:t>
      </w:r>
    </w:p>
    <w:p>
      <w:pPr>
        <w:spacing w:after="160"/>
      </w:pPr>
      <w:r>
        <w:t xml:space="preserve">1.  **Proofread Thoroughly:** Conduct a thorough review of the entire document to correct all spelling, grammar, and punctuation errors.</w:t>
      </w:r>
    </w:p>
    <w:p>
      <w:pPr>
        <w:spacing w:after="160"/>
      </w:pPr>
      <w:r>
        <w:t xml:space="preserve">2.  **Standardize Terminology:** Ensure consistent use of terminology throughout the report. Choose one term for each concept and use it consistently.</w:t>
      </w:r>
    </w:p>
    <w:p>
      <w:pPr>
        <w:spacing w:after="160"/>
      </w:pPr>
      <w:r>
        <w:t xml:space="preserve">3.  **Add a Conclusion Section:** Include a conclusion section that summarizes the key findings and recommendations of the report.</w:t>
      </w:r>
    </w:p>
    <w:p>
      <w:pPr>
        <w:spacing w:after="160"/>
      </w:pPr>
      <w:r>
        <w:t xml:space="preserve">4.  **Include a Reference Section:** Add a reference section that lists all the references cited in the report.</w:t>
      </w:r>
    </w:p>
    <w:p>
      <w:pPr>
        <w:spacing w:after="160"/>
      </w:pPr>
      <w:r>
        <w:t xml:space="preserve">5.  **Define Acronyms:** Define all acronyms at their first use in the report.</w:t>
      </w:r>
    </w:p>
    <w:p>
      <w:pPr>
        <w:spacing w:after="160"/>
      </w:pPr>
      <w:r>
        <w:t xml:space="preserve">6.  **Ensure Unit Consistency:** Maintain consistency in the units used throughout the report. Convert all 'psi' values to 'kPa' to align with the rest of the report.</w:t>
      </w:r>
    </w:p>
    <w:p>
      <w:pPr>
        <w:spacing w:after="160"/>
      </w:pPr>
      <w:r>
        <w:t xml:space="preserve">7.  **Review Sentence Structure:** Rephrase sentences that are grammatically incorrect or unclear for improved readability.</w:t>
      </w:r>
    </w:p>
    <w:p>
      <w:pPr>
        <w:spacing w:after="160"/>
      </w:pPr>
      <w:r>
        <w:t xml:space="preserve">8.  **Address Repetitions:** Remove any redundant repetitions of phrases or sentences.</w:t>
      </w:r>
    </w:p>
    <w:p>
      <w:pPr>
        <w:spacing w:after="160"/>
      </w:pPr>
      <w:r>
        <w:t xml:space="preserve">Addressing these issues will significantly improve the clarity, accuracy, and overall quality of the report.</w:t>
      </w:r>
    </w:p>
    <w:p>
      <w:r>
        <w:br w:type="page"/>
      </w:r>
    </w:p>
    <w:p w:rsidR="00A154E5">
      <w:pPr>
        <w:pStyle w:val="BodyText"/>
        <w:rPr>
          <w:rFonts w:ascii="Times New Roman"/>
          <w:sz w:val="100"/>
        </w:rPr>
      </w:pPr>
    </w:p>
    <w:p w:rsidR="00A154E5">
      <w:pPr>
        <w:pStyle w:val="BodyText"/>
        <w:rPr>
          <w:rFonts w:ascii="Times New Roman"/>
          <w:sz w:val="100"/>
        </w:rPr>
      </w:pPr>
    </w:p>
    <w:p w:rsidR="00A154E5">
      <w:pPr>
        <w:pStyle w:val="BodyText"/>
        <w:spacing w:before="824"/>
        <w:rPr>
          <w:rFonts w:ascii="Times New Roman"/>
          <w:sz w:val="100"/>
        </w:rPr>
      </w:pPr>
    </w:p>
    <w:p w:rsidR="00A154E5">
      <w:pPr>
        <w:pStyle w:val="Title"/>
      </w:pPr>
      <w:r>
        <w:t xml:space="preserve">GEOTECHNICAL REPORT FOR</w:t>
      </w:r>
    </w:p>
    <w:p w:rsidR="00A154E5">
      <w:pPr>
        <w:pStyle w:val="Title"/>
        <w:spacing w:before="2"/>
      </w:pPr>
      <w:r>
        <w:t xml:space="preserve">SUBDIVISION DEVELOPMENT</w:t>
      </w:r>
    </w:p>
    <w:p w:rsidR="00A154E5">
      <w:pPr>
        <w:spacing w:before="279" w:line="326" w:lineRule="auto"/>
        <w:ind w:left="117" w:right="3149"/>
        <w:rPr>
          <w:b/>
          <w:sz w:val="50"/>
        </w:rPr>
      </w:pPr>
      <w:r>
        <w:t xml:space="preserve">MANGERE STAGE 2 SUPERLOT MW-A58</w:t>
      </w:r>
    </w:p>
    <w:p w:rsidR="00A154E5">
      <w:pPr>
        <w:spacing w:before="4"/>
        <w:ind w:left="117"/>
        <w:rPr>
          <w:sz w:val="30"/>
        </w:rPr>
      </w:pPr>
      <w:r>
        <w:t xml:space="preserve">Version 1.0 | October 2019</w:t>
      </w:r>
    </w:p>
    <w:p w:rsidR="00A154E5">
      <w:pPr>
        <w:rPr>
          <w:sz w:val="30"/>
        </w:rPr>
        <w:sectPr>
          <w:type w:val="continuous"/>
          <w:pgSz w:w="11910" w:h="16840" w:orient="portrait"/>
          <w:pgMar w:top="0" w:right="960" w:bottom="280" w:left="960" w:header="720" w:footer="720" w:gutter="0"/>
          <w:cols w:num="1" w:space="720">
            <w:col w:w="9990" w:space="720"/>
          </w:cols>
        </w:sectPr>
      </w:pPr>
    </w:p>
    <w:p w:rsidR="00A154E5">
      <w:pPr>
        <w:spacing w:line="591" w:lineRule="exact"/>
        <w:ind w:left="120"/>
        <w:rPr>
          <w:b/>
          <w:sz w:val="50"/>
        </w:rPr>
      </w:pPr>
      <w:r>
        <w:t xml:space="preserve">Document Control</w:t>
      </w:r>
    </w:p>
    <w:p w:rsidR="00A154E5">
      <w:pPr>
        <w:pStyle w:val="BodyText"/>
        <w:spacing w:before="65"/>
        <w:rPr>
          <w:b/>
          <w:sz w:val="20"/>
        </w:rPr>
      </w:pPr>
    </w:p>
    <w:tbl>
      <w:tblPr>
        <w:tblStyle w:val="NormalTable"/>
        <w:tblW w:w="0" w:type="auto"/>
        <w:tblInd w:w="216"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tblPr>
      <w:tblGrid>
        <w:gridCol w:w="1902"/>
        <w:gridCol w:w="1949"/>
        <w:gridCol w:w="1947"/>
        <w:gridCol w:w="1946"/>
        <w:gridCol w:w="1905"/>
      </w:tblGrid>
      <w:tr w14:paraId="599CD195" w14:textId="77777777">
        <w:tblPrEx>
          <w:tblW w:w="0" w:type="auto"/>
          <w:tblInd w:w="216"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tblPrEx>
        <w:trPr>
          <w:trHeight w:val="534"/>
        </w:trPr>
        <w:tc>
          <w:tcPr>
            <w:tcW w:w="9649" w:type="dxa"/>
            <w:gridSpan w:val="5"/>
            <w:tcBorders>
              <w:top w:val="nil"/>
              <w:left w:val="nil"/>
              <w:bottom w:val="nil"/>
              <w:right w:val="nil"/>
            </w:tcBorders>
            <w:shd w:val="clear" w:color="auto" w:fill="48B757"/>
          </w:tcPr>
          <w:p w:rsidR="00A154E5">
            <w:pPr>
              <w:pStyle w:val="TableParagraph"/>
              <w:spacing w:before="81"/>
              <w:ind w:left="631"/>
              <w:rPr>
                <w:b/>
              </w:rPr>
            </w:pPr>
            <w:r>
              <w:rPr>
                <w:noProof/>
              </w:rPr>
              <mc:AlternateContent>
                <mc:Choice Requires="wpg">
                  <w:drawing>
                    <wp:anchor distT="0" distB="0" distL="0" distR="0" simplePos="0" relativeHeight="251658240" behindDoc="0" locked="0" layoutInCell="1" allowOverlap="1">
                      <wp:simplePos x="0" y="0"/>
                      <wp:positionH relativeFrom="column">
                        <wp:posOffset>6106414</wp:posOffset>
                      </wp:positionH>
                      <wp:positionV relativeFrom="paragraph">
                        <wp:posOffset>321609</wp:posOffset>
                      </wp:positionV>
                      <wp:extent cx="20320" cy="52069"/>
                      <wp:effectExtent l="0" t="0" r="0" b="0"/>
                      <wp:wrapNone/>
                      <wp:docPr id="17" name="Group 17"/>
                      <wp:cNvGraphicFramePr/>
                      <a:graphic xmlns:a="http://schemas.openxmlformats.org/drawingml/2006/main">
                        <a:graphicData uri="http://schemas.microsoft.com/office/word/2010/wordprocessingGroup">
                          <wpg:wgp xmlns:wpg="http://schemas.microsoft.com/office/word/2010/wordprocessingGroup">
                            <wpg:cNvGrpSpPr/>
                            <wpg:grpSpPr>
                              <a:xfrm>
                                <a:off x="0" y="0"/>
                                <a:ext cx="20320" cy="52069"/>
                                <a:chOff x="0" y="0"/>
                                <a:chExt cx="20320" cy="52069"/>
                              </a:xfrm>
                            </wpg:grpSpPr>
                            <wps:wsp xmlns:wps="http://schemas.microsoft.com/office/word/2010/wordprocessingShape">
                              <wps:cNvPr id="18" name="Graphic 18"/>
                              <wps:cNvSpPr/>
                              <wps:spPr>
                                <a:xfrm>
                                  <a:off x="0" y="0"/>
                                  <a:ext cx="20320" cy="52069"/>
                                </a:xfrm>
                                <a:custGeom>
                                  <a:avLst/>
                                  <a:gdLst/>
                                  <a:rect l="l" t="t" r="r" b="b"/>
                                  <a:pathLst>
                                    <a:path fill="norm" h="52069" w="20320" stroke="1">
                                      <a:moveTo>
                                        <a:pt x="15227" y="0"/>
                                      </a:moveTo>
                                      <a:lnTo>
                                        <a:pt x="9144" y="0"/>
                                      </a:lnTo>
                                      <a:lnTo>
                                        <a:pt x="0" y="0"/>
                                      </a:lnTo>
                                      <a:lnTo>
                                        <a:pt x="0" y="51816"/>
                                      </a:lnTo>
                                      <a:lnTo>
                                        <a:pt x="9144" y="51816"/>
                                      </a:lnTo>
                                      <a:lnTo>
                                        <a:pt x="15227" y="51816"/>
                                      </a:lnTo>
                                      <a:lnTo>
                                        <a:pt x="15227" y="0"/>
                                      </a:lnTo>
                                      <a:close/>
                                    </a:path>
                                    <a:path fill="norm" h="52069" w="20320" stroke="1">
                                      <a:moveTo>
                                        <a:pt x="19799" y="0"/>
                                      </a:moveTo>
                                      <a:lnTo>
                                        <a:pt x="15240" y="0"/>
                                      </a:lnTo>
                                      <a:lnTo>
                                        <a:pt x="15240" y="51816"/>
                                      </a:lnTo>
                                      <a:lnTo>
                                        <a:pt x="19799" y="51816"/>
                                      </a:lnTo>
                                      <a:lnTo>
                                        <a:pt x="19799" y="0"/>
                                      </a:lnTo>
                                      <a:close/>
                                    </a:path>
                                  </a:pathLst>
                                </a:custGeom>
                                <a:solidFill>
                                  <a:srgbClr val="F1F1F1"/>
                                </a:solidFill>
                              </wps:spPr>
                              <wps:bodyPr wrap="square" lIns="0" tIns="0" rIns="0" bIns="0" rtlCol="0">
                                <a:prstTxWarp prst="textNoShape">
                                  <a:avLst/>
                                </a:prstTxWarp>
                              </wps:bodyPr>
                            </wps:wsp>
                          </wpg:wgp>
                        </a:graphicData>
                      </a:graphic>
                    </wp:anchor>
                  </w:drawing>
                </mc:Choice>
                <mc:Fallback>
                  <w:pict>
                    <v:group id="Group 17" o:spid="_x0000_s1025" style="width:1.6pt;height:4.1pt;margin-top:25.3pt;margin-left:480.8pt;mso-wrap-distance-left:0;mso-wrap-distance-right:0;position:absolute;z-index:251659264" coordsize="20320,52069">
                      <v:shape id="Graphic 18" o:spid="_x0000_s1026" style="width:20320;height:52069;mso-wrap-style:square;position:absolute;v-text-anchor:top;visibility:visible" coordsize="20320,52069" path="m15227,l9144,,,,,51816l9144,51816l15227,51816,15227,xem19799,l15240,l15240,51816l19799,51816,19799,xe" fillcolor="#f1f1f1" stroked="f">
                        <v:path arrowok="t"/>
                      </v:shape>
                    </v:group>
                  </w:pict>
                </mc:Fallback>
              </mc:AlternateContent>
            </w:r>
            <w:r>
              <w:rPr>
                <w:b/>
                <w:color w:val="FFFFFF"/>
              </w:rPr>
              <w:t xml:space="preserve">Geotechnical</w:t>
            </w:r>
            <w:r>
              <w:rPr>
                <w:b/>
                <w:color w:val="FFFFFF"/>
                <w:spacing w:val="-4"/>
              </w:rPr>
              <w:t xml:space="preserve"> </w:t>
            </w:r>
            <w:r>
              <w:rPr>
                <w:b/>
                <w:color w:val="FFFFFF"/>
              </w:rPr>
              <w:t xml:space="preserve">report</w:t>
            </w:r>
            <w:r>
              <w:rPr>
                <w:b/>
                <w:color w:val="FFFFFF"/>
                <w:spacing w:val="-3"/>
              </w:rPr>
              <w:t xml:space="preserve"> </w:t>
            </w:r>
            <w:r>
              <w:rPr>
                <w:b/>
                <w:color w:val="FFFFFF"/>
              </w:rPr>
              <w:t xml:space="preserve">for</w:t>
            </w:r>
            <w:r>
              <w:rPr>
                <w:b/>
                <w:color w:val="FFFFFF"/>
                <w:spacing w:val="-5"/>
              </w:rPr>
              <w:t xml:space="preserve"> </w:t>
            </w:r>
            <w:r>
              <w:rPr>
                <w:b/>
                <w:color w:val="FFFFFF"/>
              </w:rPr>
              <w:t xml:space="preserve">subdivision</w:t>
            </w:r>
            <w:r>
              <w:rPr>
                <w:b/>
                <w:color w:val="FFFFFF"/>
                <w:spacing w:val="-3"/>
              </w:rPr>
              <w:t xml:space="preserve"> </w:t>
            </w:r>
            <w:r>
              <w:rPr>
                <w:b/>
                <w:color w:val="FFFFFF"/>
              </w:rPr>
              <w:t xml:space="preserve">development</w:t>
            </w:r>
            <w:r>
              <w:rPr>
                <w:b/>
                <w:color w:val="FFFFFF"/>
                <w:spacing w:val="-3"/>
              </w:rPr>
              <w:t xml:space="preserve"> </w:t>
            </w:r>
            <w:r>
              <w:rPr>
                <w:b/>
                <w:color w:val="FFFFFF"/>
              </w:rPr>
              <w:t xml:space="preserve">–</w:t>
            </w:r>
            <w:r>
              <w:rPr>
                <w:b/>
                <w:color w:val="FFFFFF"/>
                <w:spacing w:val="-5"/>
              </w:rPr>
              <w:t xml:space="preserve"> </w:t>
            </w:r>
            <w:r>
              <w:rPr>
                <w:b/>
                <w:color w:val="FFFFFF"/>
              </w:rPr>
              <w:t xml:space="preserve">Evergreen</w:t>
            </w:r>
            <w:r>
              <w:rPr>
                <w:b/>
                <w:color w:val="FFFFFF"/>
                <w:spacing w:val="-3"/>
              </w:rPr>
              <w:t xml:space="preserve"> </w:t>
            </w:r>
            <w:r>
              <w:rPr>
                <w:b/>
                <w:color w:val="FFFFFF"/>
              </w:rPr>
              <w:t xml:space="preserve">Stage</w:t>
            </w:r>
            <w:r>
              <w:rPr>
                <w:b/>
                <w:color w:val="FFFFFF"/>
                <w:spacing w:val="-4"/>
              </w:rPr>
              <w:t xml:space="preserve"> </w:t>
            </w:r>
            <w:r>
              <w:rPr>
                <w:b/>
                <w:color w:val="FFFFFF"/>
              </w:rPr>
              <w:t xml:space="preserve">2</w:t>
            </w:r>
            <w:r>
              <w:rPr>
                <w:b/>
                <w:color w:val="FFFFFF"/>
                <w:spacing w:val="-3"/>
              </w:rPr>
              <w:t xml:space="preserve"> </w:t>
            </w:r>
            <w:r>
              <w:rPr>
                <w:b/>
                <w:color w:val="FFFFFF"/>
              </w:rPr>
              <w:t xml:space="preserve">–</w:t>
            </w:r>
            <w:r>
              <w:rPr>
                <w:b/>
                <w:color w:val="FFFFFF"/>
                <w:spacing w:val="-6"/>
              </w:rPr>
              <w:t xml:space="preserve"> </w:t>
            </w:r>
            <w:r>
              <w:rPr>
                <w:b/>
                <w:color w:val="FFFFFF"/>
              </w:rPr>
              <w:t xml:space="preserve">Superlot</w:t>
            </w:r>
            <w:r>
              <w:rPr>
                <w:b/>
                <w:color w:val="FFFFFF"/>
                <w:spacing w:val="-3"/>
              </w:rPr>
              <w:t xml:space="preserve"> </w:t>
            </w:r>
            <w:r>
              <w:rPr>
                <w:b/>
                <w:color w:val="FFFFFF"/>
              </w:rPr>
              <w:t xml:space="preserve">MW-</w:t>
            </w:r>
            <w:r>
              <w:rPr>
                <w:b/>
                <w:color w:val="FFFFFF"/>
                <w:spacing w:val="-5"/>
              </w:rPr>
              <w:t xml:space="preserve">A58</w:t>
            </w:r>
          </w:p>
        </w:tc>
      </w:tr>
      <w:tr w14:paraId="3937A9E6" w14:textId="77777777">
        <w:tblPrEx>
          <w:tblW w:w="0" w:type="auto"/>
          <w:tblInd w:w="216" w:type="dxa"/>
          <w:tblLayout w:type="fixed"/>
          <w:tblCellMar>
            <w:left w:w="0" w:type="dxa"/>
            <w:right w:w="0" w:type="dxa"/>
          </w:tblCellMar>
          <w:tblLook w:val="01E0"/>
        </w:tblPrEx>
        <w:trPr>
          <w:trHeight w:val="487"/>
        </w:trPr>
        <w:tc>
          <w:tcPr>
            <w:tcW w:w="1902" w:type="dxa"/>
            <w:tcBorders>
              <w:top w:val="nil"/>
              <w:left w:val="nil"/>
            </w:tcBorders>
            <w:shd w:val="clear" w:color="auto" w:fill="F1F1F1"/>
          </w:tcPr>
          <w:p w:rsidR="00A154E5">
            <w:pPr>
              <w:pStyle w:val="TableParagraph"/>
              <w:spacing w:before="72"/>
              <w:ind w:left="64"/>
            </w:pPr>
            <w:r>
              <w:rPr>
                <w:spacing w:val="-4"/>
              </w:rPr>
              <w:t xml:space="preserve">DATE</w:t>
            </w:r>
          </w:p>
        </w:tc>
        <w:tc>
          <w:tcPr>
            <w:tcW w:w="1949" w:type="dxa"/>
            <w:tcBorders>
              <w:top w:val="nil"/>
            </w:tcBorders>
            <w:shd w:val="clear" w:color="auto" w:fill="F1F1F1"/>
          </w:tcPr>
          <w:p w:rsidR="00A154E5">
            <w:pPr>
              <w:pStyle w:val="TableParagraph"/>
              <w:spacing w:before="72"/>
              <w:ind w:left="64"/>
            </w:pPr>
            <w:r>
              <w:rPr>
                <w:spacing w:val="-2"/>
              </w:rPr>
              <w:t xml:space="preserve">VERSION</w:t>
            </w:r>
          </w:p>
        </w:tc>
        <w:tc>
          <w:tcPr>
            <w:tcW w:w="1947" w:type="dxa"/>
            <w:tcBorders>
              <w:top w:val="nil"/>
            </w:tcBorders>
            <w:shd w:val="clear" w:color="auto" w:fill="F1F1F1"/>
          </w:tcPr>
          <w:p w:rsidR="00A154E5">
            <w:pPr>
              <w:pStyle w:val="TableParagraph"/>
              <w:spacing w:before="72"/>
              <w:ind w:left="62"/>
            </w:pPr>
            <w:r>
              <w:rPr>
                <w:spacing w:val="-2"/>
              </w:rPr>
              <w:t xml:space="preserve">DESCRIPTION</w:t>
            </w:r>
          </w:p>
        </w:tc>
        <w:tc>
          <w:tcPr>
            <w:tcW w:w="1946" w:type="dxa"/>
            <w:tcBorders>
              <w:top w:val="nil"/>
            </w:tcBorders>
            <w:shd w:val="clear" w:color="auto" w:fill="F1F1F1"/>
          </w:tcPr>
          <w:p w:rsidR="00A154E5">
            <w:pPr>
              <w:pStyle w:val="TableParagraph"/>
              <w:spacing w:before="72"/>
              <w:ind w:left="62"/>
            </w:pPr>
            <w:r>
              <w:t xml:space="preserve">PREPARED</w:t>
            </w:r>
            <w:r>
              <w:rPr>
                <w:spacing w:val="-9"/>
              </w:rPr>
              <w:t xml:space="preserve"> </w:t>
            </w:r>
            <w:r>
              <w:rPr>
                <w:spacing w:val="-5"/>
              </w:rPr>
              <w:t xml:space="preserve">BY</w:t>
            </w:r>
          </w:p>
        </w:tc>
        <w:tc>
          <w:tcPr>
            <w:tcW w:w="1905" w:type="dxa"/>
            <w:tcBorders>
              <w:top w:val="single" w:sz="24" w:space="0" w:color="F1F1F1"/>
              <w:right w:val="nil"/>
            </w:tcBorders>
            <w:shd w:val="clear" w:color="auto" w:fill="F1F1F1"/>
          </w:tcPr>
          <w:p w:rsidR="00A154E5">
            <w:pPr>
              <w:pStyle w:val="TableParagraph"/>
              <w:spacing w:before="72"/>
              <w:ind w:left="65"/>
            </w:pPr>
            <w:r>
              <w:t xml:space="preserve">AUTHORISED</w:t>
            </w:r>
            <w:r>
              <w:rPr>
                <w:spacing w:val="-10"/>
              </w:rPr>
              <w:t xml:space="preserve"> </w:t>
            </w:r>
            <w:r>
              <w:rPr>
                <w:spacing w:val="-5"/>
              </w:rPr>
              <w:t xml:space="preserve">BY</w:t>
            </w:r>
          </w:p>
        </w:tc>
      </w:tr>
      <w:tr w14:paraId="5C825A72" w14:textId="77777777">
        <w:tblPrEx>
          <w:tblW w:w="0" w:type="auto"/>
          <w:tblInd w:w="216" w:type="dxa"/>
          <w:tblLayout w:type="fixed"/>
          <w:tblCellMar>
            <w:left w:w="0" w:type="dxa"/>
            <w:right w:w="0" w:type="dxa"/>
          </w:tblCellMar>
          <w:tblLook w:val="01E0"/>
        </w:tblPrEx>
        <w:trPr>
          <w:trHeight w:val="496"/>
        </w:trPr>
        <w:tc>
          <w:tcPr>
            <w:tcW w:w="1902" w:type="dxa"/>
            <w:tcBorders>
              <w:left w:val="nil"/>
              <w:bottom w:val="nil"/>
            </w:tcBorders>
            <w:shd w:val="clear" w:color="auto" w:fill="F1F1F1"/>
          </w:tcPr>
          <w:p w:rsidR="00A154E5">
            <w:pPr>
              <w:pStyle w:val="TableParagraph"/>
              <w:spacing w:before="80"/>
              <w:ind w:left="64"/>
            </w:pPr>
            <w:r>
              <w:t xml:space="preserve">October</w:t>
            </w:r>
            <w:r>
              <w:rPr>
                <w:spacing w:val="-4"/>
              </w:rPr>
              <w:t xml:space="preserve"> 2019</w:t>
            </w:r>
          </w:p>
        </w:tc>
        <w:tc>
          <w:tcPr>
            <w:tcW w:w="1949" w:type="dxa"/>
            <w:tcBorders>
              <w:bottom w:val="nil"/>
            </w:tcBorders>
            <w:shd w:val="clear" w:color="auto" w:fill="F1F1F1"/>
          </w:tcPr>
          <w:p w:rsidR="00A154E5">
            <w:pPr>
              <w:pStyle w:val="TableParagraph"/>
              <w:spacing w:before="80"/>
              <w:ind w:left="64"/>
            </w:pPr>
            <w:r>
              <w:rPr>
                <w:spacing w:val="-5"/>
                <w:w w:val="105"/>
              </w:rPr>
              <w:t xml:space="preserve">1.0</w:t>
            </w:r>
          </w:p>
        </w:tc>
        <w:tc>
          <w:tcPr>
            <w:tcW w:w="1947" w:type="dxa"/>
            <w:tcBorders>
              <w:bottom w:val="nil"/>
            </w:tcBorders>
            <w:shd w:val="clear" w:color="auto" w:fill="F1F1F1"/>
          </w:tcPr>
          <w:p w:rsidR="00A154E5">
            <w:pPr>
              <w:pStyle w:val="TableParagraph"/>
              <w:spacing w:before="80"/>
              <w:ind w:left="62"/>
            </w:pPr>
            <w:r>
              <w:t xml:space="preserve">For</w:t>
            </w:r>
            <w:r>
              <w:rPr>
                <w:spacing w:val="-1"/>
              </w:rPr>
              <w:t xml:space="preserve"> </w:t>
            </w:r>
            <w:r>
              <w:rPr>
                <w:spacing w:val="-2"/>
              </w:rPr>
              <w:t xml:space="preserve">Issue</w:t>
            </w:r>
          </w:p>
        </w:tc>
        <w:tc>
          <w:tcPr>
            <w:tcW w:w="1946" w:type="dxa"/>
            <w:tcBorders>
              <w:bottom w:val="nil"/>
            </w:tcBorders>
            <w:shd w:val="clear" w:color="auto" w:fill="F1F1F1"/>
          </w:tcPr>
          <w:p w:rsidR="00A154E5">
            <w:pPr>
              <w:pStyle w:val="TableParagraph"/>
              <w:spacing w:before="80"/>
              <w:ind w:left="62"/>
            </w:pPr>
            <w:r>
              <w:t xml:space="preserve">K</w:t>
            </w:r>
            <w:r>
              <w:rPr>
                <w:spacing w:val="-1"/>
              </w:rPr>
              <w:t xml:space="preserve"> </w:t>
            </w:r>
            <w:r>
              <w:rPr>
                <w:spacing w:val="-2"/>
              </w:rPr>
              <w:t xml:space="preserve">Bursell</w:t>
            </w:r>
          </w:p>
        </w:tc>
        <w:tc>
          <w:tcPr>
            <w:tcW w:w="1905" w:type="dxa"/>
            <w:tcBorders>
              <w:bottom w:val="nil"/>
              <w:right w:val="nil"/>
            </w:tcBorders>
            <w:shd w:val="clear" w:color="auto" w:fill="F1F1F1"/>
          </w:tcPr>
          <w:p w:rsidR="00A154E5">
            <w:pPr>
              <w:pStyle w:val="TableParagraph"/>
              <w:spacing w:before="80"/>
              <w:ind w:left="65"/>
            </w:pPr>
            <w:r>
              <w:t xml:space="preserve">M</w:t>
            </w:r>
            <w:r>
              <w:rPr>
                <w:spacing w:val="-1"/>
              </w:rPr>
              <w:t xml:space="preserve"> </w:t>
            </w:r>
            <w:r>
              <w:rPr>
                <w:spacing w:val="-2"/>
              </w:rPr>
              <w:t xml:space="preserve">Thomas</w:t>
            </w:r>
          </w:p>
        </w:tc>
      </w:tr>
    </w:tbl>
    <w:p w:rsidR="00A154E5">
      <w:pPr>
        <w:spacing w:before="585"/>
        <w:ind w:left="120"/>
        <w:rPr>
          <w:b/>
          <w:sz w:val="50"/>
        </w:rPr>
      </w:pPr>
      <w:r>
        <w:t xml:space="preserve">Distribution</w:t>
      </w:r>
    </w:p>
    <w:p w:rsidR="00A154E5">
      <w:pPr>
        <w:pStyle w:val="BodyText"/>
        <w:spacing w:before="104"/>
        <w:rPr>
          <w:b/>
          <w:sz w:val="20"/>
        </w:rPr>
      </w:pPr>
    </w:p>
    <w:tbl>
      <w:tblPr>
        <w:tblStyle w:val="NormalTable"/>
        <w:tblW w:w="0" w:type="auto"/>
        <w:tblInd w:w="185" w:type="dxa"/>
        <w:tblLayout w:type="fixed"/>
        <w:tblCellMar>
          <w:left w:w="0" w:type="dxa"/>
          <w:right w:w="0" w:type="dxa"/>
        </w:tblCellMar>
        <w:tblLook w:val="01E0"/>
      </w:tblPr>
      <w:tblGrid>
        <w:gridCol w:w="6274"/>
        <w:gridCol w:w="3348"/>
      </w:tblGrid>
      <w:tr w14:paraId="6220972A" w14:textId="77777777">
        <w:tblPrEx>
          <w:tblW w:w="0" w:type="auto"/>
          <w:tblInd w:w="185" w:type="dxa"/>
          <w:tblLayout w:type="fixed"/>
          <w:tblCellMar>
            <w:left w:w="0" w:type="dxa"/>
            <w:right w:w="0" w:type="dxa"/>
          </w:tblCellMar>
          <w:tblLook w:val="01E0"/>
        </w:tblPrEx>
        <w:trPr>
          <w:trHeight w:val="357"/>
        </w:trPr>
        <w:tc>
          <w:tcPr>
            <w:tcW w:w="6274" w:type="dxa"/>
          </w:tcPr>
          <w:p w:rsidR="00A154E5">
            <w:pPr>
              <w:pStyle w:val="TableParagraph"/>
              <w:spacing w:line="223" w:lineRule="exact"/>
              <w:ind w:left="50"/>
            </w:pPr>
            <w:r w:rsidRPr="00C30AFE">
              <w:t xml:space="preserve">ClientCorp</w:t>
            </w:r>
            <w:r w:rsidRPr="00C30AFE">
              <w:t xml:space="preserve"> Ltd</w:t>
            </w:r>
            <w:r>
              <w:t xml:space="preserve"> </w:t>
            </w:r>
            <w:r>
              <w:t xml:space="preserve">–</w:t>
            </w:r>
            <w:r>
              <w:rPr>
                <w:spacing w:val="-2"/>
              </w:rPr>
              <w:t xml:space="preserve"> </w:t>
            </w:r>
            <w:r>
              <w:t xml:space="preserve">Homes</w:t>
            </w:r>
            <w:r>
              <w:rPr>
                <w:spacing w:val="-3"/>
              </w:rPr>
              <w:t xml:space="preserve"> </w:t>
            </w:r>
            <w:r>
              <w:t xml:space="preserve">and</w:t>
            </w:r>
            <w:r>
              <w:rPr>
                <w:spacing w:val="-3"/>
              </w:rPr>
              <w:t xml:space="preserve"> </w:t>
            </w:r>
            <w:r>
              <w:rPr>
                <w:spacing w:val="-2"/>
              </w:rPr>
              <w:t xml:space="preserve">Communities</w:t>
            </w:r>
          </w:p>
        </w:tc>
        <w:tc>
          <w:tcPr>
            <w:tcW w:w="3348" w:type="dxa"/>
          </w:tcPr>
          <w:p w:rsidR="00A154E5">
            <w:pPr>
              <w:pStyle w:val="TableParagraph"/>
              <w:spacing w:line="223" w:lineRule="exact"/>
              <w:ind w:right="46"/>
              <w:jc w:val="right"/>
            </w:pPr>
            <w:r>
              <w:rPr>
                <w:w w:val="105"/>
              </w:rPr>
              <w:t xml:space="preserve">1</w:t>
            </w:r>
            <w:r>
              <w:rPr>
                <w:spacing w:val="-3"/>
                <w:w w:val="105"/>
              </w:rPr>
              <w:t xml:space="preserve"> </w:t>
            </w:r>
            <w:r>
              <w:rPr>
                <w:spacing w:val="-4"/>
                <w:w w:val="105"/>
              </w:rPr>
              <w:t xml:space="preserve">copy</w:t>
            </w:r>
          </w:p>
        </w:tc>
      </w:tr>
      <w:tr w14:paraId="2FC87E1E" w14:textId="77777777">
        <w:tblPrEx>
          <w:tblW w:w="0" w:type="auto"/>
          <w:tblInd w:w="185" w:type="dxa"/>
          <w:tblLayout w:type="fixed"/>
          <w:tblCellMar>
            <w:left w:w="0" w:type="dxa"/>
            <w:right w:w="0" w:type="dxa"/>
          </w:tblCellMar>
          <w:tblLook w:val="01E0"/>
        </w:tblPrEx>
        <w:trPr>
          <w:trHeight w:val="357"/>
        </w:trPr>
        <w:tc>
          <w:tcPr>
            <w:tcW w:w="6274" w:type="dxa"/>
          </w:tcPr>
          <w:p w:rsidR="00A154E5">
            <w:pPr>
              <w:pStyle w:val="TableParagraph"/>
              <w:spacing w:before="91" w:line="246" w:lineRule="exact"/>
              <w:ind w:left="50"/>
            </w:pPr>
            <w:r>
              <w:rPr>
                <w:spacing w:val="-2"/>
              </w:rPr>
              <w:t xml:space="preserve">SolidEarth</w:t>
            </w:r>
          </w:p>
        </w:tc>
        <w:tc>
          <w:tcPr>
            <w:tcW w:w="3348" w:type="dxa"/>
          </w:tcPr>
          <w:p w:rsidR="00A154E5">
            <w:pPr>
              <w:pStyle w:val="TableParagraph"/>
              <w:spacing w:before="91" w:line="246" w:lineRule="exact"/>
              <w:ind w:right="46"/>
              <w:jc w:val="right"/>
            </w:pPr>
            <w:r>
              <w:rPr>
                <w:w w:val="105"/>
              </w:rPr>
              <w:t xml:space="preserve">1</w:t>
            </w:r>
            <w:r>
              <w:rPr>
                <w:spacing w:val="-3"/>
                <w:w w:val="105"/>
              </w:rPr>
              <w:t xml:space="preserve"> </w:t>
            </w:r>
            <w:r>
              <w:rPr>
                <w:spacing w:val="-4"/>
                <w:w w:val="105"/>
              </w:rPr>
              <w:t xml:space="preserve">copy</w:t>
            </w:r>
          </w:p>
        </w:tc>
      </w:tr>
    </w:tbl>
    <w:p w:rsidR="00A154E5">
      <w:pPr>
        <w:spacing w:line="246" w:lineRule="exact"/>
        <w:jc w:val="right"/>
        <w:sectPr>
          <w:footerReference w:type="default" r:id="rId3"/>
          <w:pgSz w:w="11910" w:h="16840" w:orient="portrait"/>
          <w:pgMar w:top="1440" w:right="960" w:bottom="740" w:left="960" w:header="0" w:footer="553" w:gutter="0"/>
          <w:cols w:num="1" w:space="720">
            <w:col w:w="9990" w:space="720"/>
          </w:cols>
        </w:sectPr>
      </w:pPr>
    </w:p>
    <w:p w:rsidR="00A154E5">
      <w:pPr>
        <w:spacing w:line="567" w:lineRule="exact"/>
        <w:ind w:left="120"/>
        <w:rPr>
          <w:sz w:val="48"/>
        </w:rPr>
      </w:pPr>
      <w:r>
        <w:t xml:space="preserve">Contents</w:t>
      </w:r>
    </w:p>
    <w:p w:rsidR="00A154E5">
      <w:pPr>
        <w:pStyle w:val="BodyText"/>
        <w:rPr>
          <w:sz w:val="48"/>
        </w:rPr>
      </w:pPr>
    </w:p>
    <w:p w:rsidR="00A154E5">
      <w:pPr>
        <w:pStyle w:val="BodyText"/>
        <w:spacing w:before="151"/>
        <w:rPr>
          <w:sz w:val="48"/>
        </w:rPr>
      </w:pPr>
    </w:p>
    <w:p w:rsidR="00A154E5">
      <w:pPr>
        <w:rPr>
          <w:sz w:val="48"/>
        </w:rPr>
        <w:sectPr>
          <w:pgSz w:w="11910" w:h="16840" w:orient="portrait"/>
          <w:pgMar w:top="1440" w:right="960" w:bottom="473" w:left="960" w:header="0" w:footer="553" w:gutter="0"/>
          <w:cols w:num="1" w:space="720">
            <w:col w:w="9990" w:space="720"/>
          </w:cols>
        </w:sectPr>
      </w:pPr>
    </w:p>
    <w:sdt>
      <w:sdtPr>
        <w:rPr>
          <w:sz w:val="22"/>
          <w:szCs w:val="22"/>
        </w:rPr>
        <w:id w:val="-1786724794"/>
        <w:docPartObj>
          <w:docPartGallery w:val="Table of Contents"/>
          <w:docPartUnique/>
        </w:docPartObj>
      </w:sdtPr>
      <w:sdtContent>
        <w:p w:rsidR="00A154E5">
          <w:pPr>
            <w:pStyle w:val="TOC1"/>
            <w:numPr>
              <w:ilvl w:val="0"/>
              <w:numId w:val="19"/>
            </w:numPr>
            <w:tabs>
              <w:tab w:val="left" w:pos="780"/>
              <w:tab w:val="right" w:leader="dot" w:pos="9760"/>
            </w:tabs>
            <w:ind w:hanging="660"/>
          </w:pPr>
          <w:hyperlink w:anchor="_bookmark0" w:history="1">
            <w:r>
              <w:rPr>
                <w:spacing w:val="-2"/>
              </w:rPr>
              <w:t xml:space="preserve">Applicability</w:t>
            </w:r>
            <w:r>
              <w:rPr>
                <w:rFonts w:ascii="Times New Roman"/>
              </w:rPr>
              <w:tab/>
            </w:r>
            <w:r>
              <w:rPr>
                <w:spacing w:val="-10"/>
              </w:rPr>
              <w:t xml:space="preserve">1</w:t>
            </w:r>
          </w:hyperlink>
        </w:p>
        <w:p w:rsidR="00A154E5">
          <w:pPr>
            <w:pStyle w:val="TOC1"/>
            <w:numPr>
              <w:ilvl w:val="0"/>
              <w:numId w:val="19"/>
            </w:numPr>
            <w:tabs>
              <w:tab w:val="left" w:pos="780"/>
              <w:tab w:val="right" w:leader="dot" w:pos="9761"/>
            </w:tabs>
            <w:spacing w:before="335"/>
            <w:ind w:hanging="660"/>
          </w:pPr>
          <w:hyperlink w:anchor="_bookmark1" w:history="1">
            <w:r>
              <w:rPr>
                <w:spacing w:val="-2"/>
              </w:rPr>
              <w:t xml:space="preserve">Summary</w:t>
            </w:r>
            <w:r>
              <w:rPr>
                <w:rFonts w:ascii="Times New Roman"/>
              </w:rPr>
              <w:tab/>
            </w:r>
            <w:r>
              <w:rPr>
                <w:spacing w:val="-10"/>
              </w:rPr>
              <w:t xml:space="preserve">2</w:t>
            </w:r>
          </w:hyperlink>
        </w:p>
        <w:p w:rsidR="00A154E5">
          <w:pPr>
            <w:pStyle w:val="TOC1"/>
            <w:numPr>
              <w:ilvl w:val="0"/>
              <w:numId w:val="19"/>
            </w:numPr>
            <w:tabs>
              <w:tab w:val="left" w:pos="780"/>
              <w:tab w:val="right" w:leader="dot" w:pos="9760"/>
            </w:tabs>
            <w:spacing w:before="332"/>
            <w:ind w:hanging="660"/>
          </w:pPr>
          <w:hyperlink w:anchor="_bookmark2" w:history="1">
            <w:r>
              <w:rPr>
                <w:spacing w:val="-2"/>
              </w:rPr>
              <w:t xml:space="preserve">Introduction</w:t>
            </w:r>
            <w:r>
              <w:rPr>
                <w:rFonts w:ascii="Times New Roman"/>
              </w:rPr>
              <w:tab/>
            </w:r>
            <w:r>
              <w:rPr>
                <w:spacing w:val="-10"/>
              </w:rPr>
              <w:t xml:space="preserve">4</w:t>
            </w:r>
          </w:hyperlink>
        </w:p>
        <w:p w:rsidR="00A154E5">
          <w:pPr>
            <w:pStyle w:val="TOC2"/>
            <w:numPr>
              <w:ilvl w:val="1"/>
              <w:numId w:val="19"/>
            </w:numPr>
            <w:tabs>
              <w:tab w:val="left" w:pos="1219"/>
              <w:tab w:val="right" w:leader="dot" w:pos="9760"/>
            </w:tabs>
            <w:spacing w:before="152"/>
            <w:ind w:hanging="1099"/>
          </w:pPr>
          <w:hyperlink w:anchor="_bookmark3" w:history="1">
            <w:r>
              <w:t xml:space="preserve">Proposed</w:t>
            </w:r>
            <w:r>
              <w:rPr>
                <w:spacing w:val="-6"/>
              </w:rPr>
              <w:t xml:space="preserve"> </w:t>
            </w:r>
            <w:r>
              <w:rPr>
                <w:spacing w:val="-2"/>
              </w:rPr>
              <w:t xml:space="preserve">Superlot</w:t>
            </w:r>
            <w:r>
              <w:rPr>
                <w:rFonts w:ascii="Times New Roman"/>
              </w:rPr>
              <w:tab/>
            </w:r>
            <w:r>
              <w:rPr>
                <w:spacing w:val="-10"/>
              </w:rPr>
              <w:t xml:space="preserve">4</w:t>
            </w:r>
          </w:hyperlink>
        </w:p>
        <w:p w:rsidR="00A154E5">
          <w:pPr>
            <w:pStyle w:val="TOC1"/>
            <w:numPr>
              <w:ilvl w:val="0"/>
              <w:numId w:val="19"/>
            </w:numPr>
            <w:tabs>
              <w:tab w:val="left" w:pos="780"/>
              <w:tab w:val="right" w:leader="dot" w:pos="9760"/>
            </w:tabs>
            <w:spacing w:before="304"/>
            <w:ind w:hanging="660"/>
          </w:pPr>
          <w:hyperlink w:anchor="_bookmark4" w:history="1">
            <w:r>
              <w:t xml:space="preserve">Geotechnical</w:t>
            </w:r>
            <w:r>
              <w:rPr>
                <w:spacing w:val="-7"/>
              </w:rPr>
              <w:t xml:space="preserve"> </w:t>
            </w:r>
            <w:r>
              <w:t xml:space="preserve">site</w:t>
            </w:r>
            <w:r>
              <w:rPr>
                <w:spacing w:val="-6"/>
              </w:rPr>
              <w:t xml:space="preserve"> </w:t>
            </w:r>
            <w:r>
              <w:rPr>
                <w:spacing w:val="-2"/>
              </w:rPr>
              <w:t xml:space="preserve">investigations</w:t>
            </w:r>
            <w:r>
              <w:rPr>
                <w:rFonts w:ascii="Times New Roman"/>
              </w:rPr>
              <w:tab/>
            </w:r>
            <w:r>
              <w:rPr>
                <w:spacing w:val="-10"/>
              </w:rPr>
              <w:t xml:space="preserve">5</w:t>
            </w:r>
          </w:hyperlink>
        </w:p>
        <w:p w:rsidR="00A154E5">
          <w:pPr>
            <w:pStyle w:val="TOC2"/>
            <w:numPr>
              <w:ilvl w:val="1"/>
              <w:numId w:val="19"/>
            </w:numPr>
            <w:tabs>
              <w:tab w:val="left" w:pos="1219"/>
              <w:tab w:val="right" w:leader="dot" w:pos="9760"/>
            </w:tabs>
            <w:spacing w:before="152"/>
            <w:ind w:hanging="1099"/>
          </w:pPr>
          <w:hyperlink w:anchor="_bookmark5" w:history="1">
            <w:r>
              <w:t xml:space="preserve">Published</w:t>
            </w:r>
            <w:r>
              <w:rPr>
                <w:spacing w:val="-7"/>
              </w:rPr>
              <w:t xml:space="preserve"> </w:t>
            </w:r>
            <w:r>
              <w:rPr>
                <w:spacing w:val="-2"/>
              </w:rPr>
              <w:t xml:space="preserve">geology</w:t>
            </w:r>
            <w:r>
              <w:rPr>
                <w:rFonts w:ascii="Times New Roman"/>
              </w:rPr>
              <w:tab/>
            </w:r>
            <w:r>
              <w:rPr>
                <w:spacing w:val="-10"/>
              </w:rPr>
              <w:t xml:space="preserve">5</w:t>
            </w:r>
          </w:hyperlink>
        </w:p>
        <w:p w:rsidR="00A154E5">
          <w:pPr>
            <w:pStyle w:val="TOC2"/>
            <w:numPr>
              <w:ilvl w:val="1"/>
              <w:numId w:val="19"/>
            </w:numPr>
            <w:tabs>
              <w:tab w:val="left" w:pos="1219"/>
              <w:tab w:val="right" w:leader="dot" w:pos="9760"/>
            </w:tabs>
            <w:spacing w:before="121"/>
            <w:ind w:hanging="1099"/>
          </w:pPr>
          <w:hyperlink w:anchor="_bookmark6" w:history="1">
            <w:r>
              <w:t xml:space="preserve">Historical</w:t>
            </w:r>
            <w:r>
              <w:rPr>
                <w:spacing w:val="-6"/>
              </w:rPr>
              <w:t xml:space="preserve"> </w:t>
            </w:r>
            <w:r>
              <w:rPr>
                <w:spacing w:val="-2"/>
              </w:rPr>
              <w:t xml:space="preserve">investigations</w:t>
            </w:r>
            <w:r>
              <w:rPr>
                <w:rFonts w:ascii="Times New Roman"/>
              </w:rPr>
              <w:tab/>
            </w:r>
            <w:r>
              <w:rPr>
                <w:spacing w:val="-10"/>
              </w:rPr>
              <w:t xml:space="preserve">5</w:t>
            </w:r>
          </w:hyperlink>
        </w:p>
        <w:p w:rsidR="00A154E5">
          <w:pPr>
            <w:pStyle w:val="TOC2"/>
            <w:numPr>
              <w:ilvl w:val="1"/>
              <w:numId w:val="19"/>
            </w:numPr>
            <w:tabs>
              <w:tab w:val="left" w:pos="1219"/>
              <w:tab w:val="right" w:leader="dot" w:pos="9760"/>
            </w:tabs>
            <w:spacing w:before="117"/>
            <w:ind w:hanging="1099"/>
          </w:pPr>
          <w:hyperlink w:anchor="_bookmark7" w:history="1">
            <w:r>
              <w:t xml:space="preserve">Project</w:t>
            </w:r>
            <w:r>
              <w:rPr>
                <w:spacing w:val="-8"/>
              </w:rPr>
              <w:t xml:space="preserve"> </w:t>
            </w:r>
            <w:r>
              <w:t xml:space="preserve">specific</w:t>
            </w:r>
            <w:r>
              <w:rPr>
                <w:spacing w:val="-7"/>
              </w:rPr>
              <w:t xml:space="preserve"> </w:t>
            </w:r>
            <w:r>
              <w:rPr>
                <w:spacing w:val="-2"/>
              </w:rPr>
              <w:t xml:space="preserve">investigations</w:t>
            </w:r>
            <w:r>
              <w:rPr>
                <w:rFonts w:ascii="Times New Roman"/>
              </w:rPr>
              <w:tab/>
            </w:r>
            <w:r>
              <w:rPr>
                <w:spacing w:val="-10"/>
              </w:rPr>
              <w:t xml:space="preserve">5</w:t>
            </w:r>
          </w:hyperlink>
        </w:p>
        <w:p w:rsidR="00A154E5">
          <w:pPr>
            <w:pStyle w:val="TOC2"/>
            <w:numPr>
              <w:ilvl w:val="1"/>
              <w:numId w:val="19"/>
            </w:numPr>
            <w:tabs>
              <w:tab w:val="left" w:pos="1219"/>
              <w:tab w:val="right" w:leader="dot" w:pos="9760"/>
            </w:tabs>
            <w:spacing w:before="121"/>
            <w:ind w:hanging="1099"/>
          </w:pPr>
          <w:hyperlink w:anchor="_bookmark8" w:history="1">
            <w:r>
              <w:rPr>
                <w:spacing w:val="-2"/>
              </w:rPr>
              <w:t xml:space="preserve">Groundwater</w:t>
            </w:r>
            <w:r>
              <w:rPr>
                <w:rFonts w:ascii="Times New Roman"/>
              </w:rPr>
              <w:tab/>
            </w:r>
            <w:r>
              <w:rPr>
                <w:spacing w:val="-10"/>
              </w:rPr>
              <w:t xml:space="preserve">6</w:t>
            </w:r>
          </w:hyperlink>
        </w:p>
        <w:p w:rsidR="00A154E5">
          <w:pPr>
            <w:pStyle w:val="TOC2"/>
            <w:numPr>
              <w:ilvl w:val="1"/>
              <w:numId w:val="19"/>
            </w:numPr>
            <w:tabs>
              <w:tab w:val="left" w:pos="1219"/>
              <w:tab w:val="right" w:leader="dot" w:pos="9760"/>
            </w:tabs>
            <w:spacing w:before="120"/>
            <w:ind w:hanging="1099"/>
          </w:pPr>
          <w:hyperlink w:anchor="_bookmark9" w:history="1">
            <w:r>
              <w:t xml:space="preserve">Geotechnical</w:t>
            </w:r>
            <w:r>
              <w:rPr>
                <w:spacing w:val="-6"/>
              </w:rPr>
              <w:t xml:space="preserve"> </w:t>
            </w:r>
            <w:r>
              <w:t xml:space="preserve">laboratory</w:t>
            </w:r>
            <w:r>
              <w:rPr>
                <w:spacing w:val="-5"/>
              </w:rPr>
              <w:t xml:space="preserve"> </w:t>
            </w:r>
            <w:r>
              <w:rPr>
                <w:spacing w:val="-2"/>
              </w:rPr>
              <w:t xml:space="preserve">testing</w:t>
            </w:r>
            <w:r>
              <w:rPr>
                <w:rFonts w:ascii="Times New Roman"/>
              </w:rPr>
              <w:tab/>
            </w:r>
            <w:r>
              <w:rPr>
                <w:spacing w:val="-10"/>
              </w:rPr>
              <w:t xml:space="preserve">6</w:t>
            </w:r>
          </w:hyperlink>
        </w:p>
        <w:p w:rsidR="00A154E5">
          <w:pPr>
            <w:pStyle w:val="TOC1"/>
            <w:numPr>
              <w:ilvl w:val="0"/>
              <w:numId w:val="19"/>
            </w:numPr>
            <w:tabs>
              <w:tab w:val="left" w:pos="780"/>
              <w:tab w:val="right" w:leader="dot" w:pos="9760"/>
            </w:tabs>
            <w:spacing w:before="303"/>
            <w:ind w:hanging="660"/>
          </w:pPr>
          <w:hyperlink w:anchor="_bookmark10" w:history="1">
            <w:r>
              <w:t xml:space="preserve">Subsurface</w:t>
            </w:r>
            <w:r>
              <w:rPr>
                <w:spacing w:val="-8"/>
              </w:rPr>
              <w:t xml:space="preserve"> </w:t>
            </w:r>
            <w:r>
              <w:rPr>
                <w:spacing w:val="-2"/>
              </w:rPr>
              <w:t xml:space="preserve">conditions</w:t>
            </w:r>
            <w:r>
              <w:rPr>
                <w:rFonts w:ascii="Times New Roman"/>
              </w:rPr>
              <w:tab/>
            </w:r>
            <w:r>
              <w:rPr>
                <w:spacing w:val="-10"/>
              </w:rPr>
              <w:t xml:space="preserve">8</w:t>
            </w:r>
          </w:hyperlink>
        </w:p>
        <w:p w:rsidR="00A154E5">
          <w:pPr>
            <w:pStyle w:val="TOC2"/>
            <w:numPr>
              <w:ilvl w:val="1"/>
              <w:numId w:val="19"/>
            </w:numPr>
            <w:tabs>
              <w:tab w:val="left" w:pos="1219"/>
              <w:tab w:val="right" w:leader="dot" w:pos="9761"/>
            </w:tabs>
            <w:spacing w:before="152"/>
            <w:ind w:hanging="1099"/>
          </w:pPr>
          <w:hyperlink w:anchor="_bookmark11" w:history="1">
            <w:r>
              <w:rPr>
                <w:spacing w:val="-2"/>
              </w:rPr>
              <w:t xml:space="preserve">General</w:t>
            </w:r>
            <w:r>
              <w:rPr>
                <w:rFonts w:ascii="Times New Roman"/>
              </w:rPr>
              <w:tab/>
            </w:r>
            <w:r>
              <w:rPr>
                <w:spacing w:val="-10"/>
              </w:rPr>
              <w:t xml:space="preserve">8</w:t>
            </w:r>
          </w:hyperlink>
        </w:p>
        <w:p w:rsidR="00A154E5">
          <w:pPr>
            <w:pStyle w:val="TOC2"/>
            <w:numPr>
              <w:ilvl w:val="1"/>
              <w:numId w:val="19"/>
            </w:numPr>
            <w:tabs>
              <w:tab w:val="left" w:pos="1219"/>
              <w:tab w:val="right" w:leader="dot" w:pos="9761"/>
            </w:tabs>
            <w:spacing w:before="121"/>
            <w:ind w:hanging="1099"/>
          </w:pPr>
          <w:hyperlink w:anchor="_bookmark12" w:history="1">
            <w:r>
              <w:t xml:space="preserve">Geological</w:t>
            </w:r>
            <w:r>
              <w:rPr>
                <w:spacing w:val="-7"/>
              </w:rPr>
              <w:t xml:space="preserve"> </w:t>
            </w:r>
            <w:r>
              <w:rPr>
                <w:spacing w:val="-2"/>
              </w:rPr>
              <w:t xml:space="preserve">units</w:t>
            </w:r>
            <w:r>
              <w:rPr>
                <w:rFonts w:ascii="Times New Roman"/>
              </w:rPr>
              <w:tab/>
            </w:r>
            <w:r>
              <w:rPr>
                <w:spacing w:val="-10"/>
              </w:rPr>
              <w:t xml:space="preserve">8</w:t>
            </w:r>
          </w:hyperlink>
        </w:p>
        <w:p w:rsidR="00A154E5">
          <w:pPr>
            <w:pStyle w:val="TOC2"/>
            <w:numPr>
              <w:ilvl w:val="2"/>
              <w:numId w:val="19"/>
            </w:numPr>
            <w:tabs>
              <w:tab w:val="left" w:pos="1219"/>
              <w:tab w:val="right" w:leader="dot" w:pos="9761"/>
            </w:tabs>
            <w:spacing w:before="120"/>
            <w:ind w:hanging="1099"/>
          </w:pPr>
          <w:hyperlink w:anchor="_bookmark13" w:history="1">
            <w:r>
              <w:rPr>
                <w:spacing w:val="-2"/>
              </w:rPr>
              <w:t xml:space="preserve">Topsoil</w:t>
            </w:r>
            <w:r>
              <w:rPr>
                <w:rFonts w:ascii="Times New Roman"/>
              </w:rPr>
              <w:tab/>
            </w:r>
            <w:r>
              <w:rPr>
                <w:spacing w:val="-10"/>
              </w:rPr>
              <w:t xml:space="preserve">8</w:t>
            </w:r>
          </w:hyperlink>
        </w:p>
        <w:p w:rsidR="00A154E5">
          <w:pPr>
            <w:pStyle w:val="TOC2"/>
            <w:numPr>
              <w:ilvl w:val="2"/>
              <w:numId w:val="19"/>
            </w:numPr>
            <w:tabs>
              <w:tab w:val="left" w:pos="1219"/>
              <w:tab w:val="right" w:leader="dot" w:pos="9761"/>
            </w:tabs>
            <w:ind w:hanging="1099"/>
          </w:pPr>
          <w:hyperlink w:anchor="_bookmark14" w:history="1">
            <w:r>
              <w:t xml:space="preserve">Auckland</w:t>
            </w:r>
            <w:r>
              <w:rPr>
                <w:spacing w:val="-7"/>
              </w:rPr>
              <w:t xml:space="preserve"> </w:t>
            </w:r>
            <w:r>
              <w:t xml:space="preserve">volcanic</w:t>
            </w:r>
            <w:r>
              <w:rPr>
                <w:spacing w:val="-6"/>
              </w:rPr>
              <w:t xml:space="preserve"> </w:t>
            </w:r>
            <w:r>
              <w:t xml:space="preserve">field</w:t>
            </w:r>
            <w:r>
              <w:rPr>
                <w:spacing w:val="-6"/>
              </w:rPr>
              <w:t xml:space="preserve"> </w:t>
            </w:r>
            <w:r>
              <w:rPr>
                <w:spacing w:val="-5"/>
              </w:rPr>
              <w:t xml:space="preserve">ash</w:t>
            </w:r>
            <w:r>
              <w:rPr>
                <w:rFonts w:ascii="Times New Roman"/>
              </w:rPr>
              <w:tab/>
            </w:r>
            <w:r>
              <w:rPr>
                <w:spacing w:val="-10"/>
              </w:rPr>
              <w:t xml:space="preserve">8</w:t>
            </w:r>
          </w:hyperlink>
        </w:p>
        <w:p w:rsidR="00A154E5">
          <w:pPr>
            <w:pStyle w:val="TOC2"/>
            <w:numPr>
              <w:ilvl w:val="2"/>
              <w:numId w:val="19"/>
            </w:numPr>
            <w:tabs>
              <w:tab w:val="left" w:pos="1219"/>
              <w:tab w:val="right" w:leader="dot" w:pos="9760"/>
            </w:tabs>
            <w:spacing w:before="146"/>
            <w:ind w:hanging="1099"/>
          </w:pPr>
          <w:hyperlink w:anchor="_bookmark15" w:history="1">
            <w:r>
              <w:t xml:space="preserve">Puketoka</w:t>
            </w:r>
            <w:r>
              <w:rPr>
                <w:spacing w:val="-7"/>
              </w:rPr>
              <w:t xml:space="preserve"> </w:t>
            </w:r>
            <w:r>
              <w:rPr>
                <w:spacing w:val="-2"/>
              </w:rPr>
              <w:t xml:space="preserve">formation</w:t>
            </w:r>
            <w:r>
              <w:rPr>
                <w:rFonts w:ascii="Times New Roman"/>
              </w:rPr>
              <w:tab/>
            </w:r>
            <w:r>
              <w:rPr>
                <w:spacing w:val="-10"/>
              </w:rPr>
              <w:t xml:space="preserve">9</w:t>
            </w:r>
          </w:hyperlink>
        </w:p>
        <w:p w:rsidR="00A154E5">
          <w:pPr>
            <w:pStyle w:val="TOC2"/>
            <w:numPr>
              <w:ilvl w:val="2"/>
              <w:numId w:val="19"/>
            </w:numPr>
            <w:tabs>
              <w:tab w:val="left" w:pos="1219"/>
              <w:tab w:val="right" w:leader="dot" w:pos="9760"/>
            </w:tabs>
            <w:ind w:hanging="1099"/>
          </w:pPr>
          <w:hyperlink w:anchor="_bookmark16" w:history="1">
            <w:r>
              <w:t xml:space="preserve">Underlying</w:t>
            </w:r>
            <w:r>
              <w:rPr>
                <w:spacing w:val="-6"/>
              </w:rPr>
              <w:t xml:space="preserve"> </w:t>
            </w:r>
            <w:r>
              <w:t xml:space="preserve">geological</w:t>
            </w:r>
            <w:r>
              <w:rPr>
                <w:spacing w:val="-6"/>
              </w:rPr>
              <w:t xml:space="preserve"> </w:t>
            </w:r>
            <w:r>
              <w:rPr>
                <w:spacing w:val="-4"/>
              </w:rPr>
              <w:t xml:space="preserve">units</w:t>
            </w:r>
            <w:r>
              <w:rPr>
                <w:rFonts w:ascii="Times New Roman"/>
              </w:rPr>
              <w:tab/>
            </w:r>
            <w:r>
              <w:rPr>
                <w:spacing w:val="-10"/>
              </w:rPr>
              <w:t xml:space="preserve">9</w:t>
            </w:r>
          </w:hyperlink>
        </w:p>
        <w:p w:rsidR="00A154E5">
          <w:pPr>
            <w:pStyle w:val="TOC1"/>
            <w:numPr>
              <w:ilvl w:val="0"/>
              <w:numId w:val="19"/>
            </w:numPr>
            <w:tabs>
              <w:tab w:val="left" w:pos="780"/>
              <w:tab w:val="right" w:leader="dot" w:pos="9759"/>
            </w:tabs>
            <w:spacing w:before="329"/>
            <w:ind w:hanging="660"/>
          </w:pPr>
          <w:hyperlink w:anchor="_bookmark17" w:history="1">
            <w:r>
              <w:t xml:space="preserve">Geotechnical</w:t>
            </w:r>
            <w:r>
              <w:rPr>
                <w:spacing w:val="-11"/>
              </w:rPr>
              <w:t xml:space="preserve"> </w:t>
            </w:r>
            <w:r>
              <w:t xml:space="preserve">considerations</w:t>
            </w:r>
            <w:r>
              <w:rPr>
                <w:spacing w:val="-7"/>
              </w:rPr>
              <w:t xml:space="preserve"> </w:t>
            </w:r>
            <w:r>
              <w:t xml:space="preserve">and</w:t>
            </w:r>
            <w:r>
              <w:rPr>
                <w:spacing w:val="-6"/>
              </w:rPr>
              <w:t xml:space="preserve"> </w:t>
            </w:r>
            <w:r>
              <w:rPr>
                <w:spacing w:val="-2"/>
              </w:rPr>
              <w:t xml:space="preserve">recommendations</w:t>
            </w:r>
            <w:r>
              <w:rPr>
                <w:rFonts w:ascii="Times New Roman"/>
              </w:rPr>
              <w:tab/>
            </w:r>
            <w:r>
              <w:rPr>
                <w:spacing w:val="-5"/>
              </w:rPr>
              <w:t xml:space="preserve">10</w:t>
            </w:r>
          </w:hyperlink>
        </w:p>
        <w:p w:rsidR="00A154E5">
          <w:pPr>
            <w:pStyle w:val="TOC2"/>
            <w:numPr>
              <w:ilvl w:val="1"/>
              <w:numId w:val="19"/>
            </w:numPr>
            <w:tabs>
              <w:tab w:val="left" w:pos="1219"/>
              <w:tab w:val="right" w:leader="dot" w:pos="9759"/>
            </w:tabs>
            <w:spacing w:before="153"/>
            <w:ind w:hanging="1099"/>
          </w:pPr>
          <w:hyperlink w:anchor="_bookmark18" w:history="1">
            <w:r>
              <w:t xml:space="preserve">Variability</w:t>
            </w:r>
            <w:r>
              <w:rPr>
                <w:spacing w:val="-3"/>
              </w:rPr>
              <w:t xml:space="preserve"> </w:t>
            </w:r>
            <w:r>
              <w:t xml:space="preserve">of</w:t>
            </w:r>
            <w:r>
              <w:rPr>
                <w:spacing w:val="-3"/>
              </w:rPr>
              <w:t xml:space="preserve"> </w:t>
            </w:r>
            <w:r>
              <w:t xml:space="preserve">ground</w:t>
            </w:r>
            <w:r>
              <w:rPr>
                <w:spacing w:val="-3"/>
              </w:rPr>
              <w:t xml:space="preserve"> </w:t>
            </w:r>
            <w:r>
              <w:rPr>
                <w:spacing w:val="-2"/>
              </w:rPr>
              <w:t xml:space="preserve">conditions</w:t>
            </w:r>
            <w:r>
              <w:rPr>
                <w:rFonts w:ascii="Times New Roman"/>
              </w:rPr>
              <w:tab/>
            </w:r>
            <w:r>
              <w:rPr>
                <w:spacing w:val="-5"/>
              </w:rPr>
              <w:t xml:space="preserve">10</w:t>
            </w:r>
          </w:hyperlink>
        </w:p>
        <w:p w:rsidR="00A154E5">
          <w:pPr>
            <w:pStyle w:val="TOC2"/>
            <w:numPr>
              <w:ilvl w:val="1"/>
              <w:numId w:val="19"/>
            </w:numPr>
            <w:tabs>
              <w:tab w:val="left" w:pos="1219"/>
              <w:tab w:val="right" w:leader="dot" w:pos="9759"/>
            </w:tabs>
            <w:spacing w:before="120"/>
            <w:ind w:hanging="1099"/>
          </w:pPr>
          <w:hyperlink w:anchor="_bookmark19" w:history="1">
            <w:r>
              <w:t xml:space="preserve">Key</w:t>
            </w:r>
            <w:r>
              <w:rPr>
                <w:spacing w:val="-7"/>
              </w:rPr>
              <w:t xml:space="preserve"> </w:t>
            </w:r>
            <w:r>
              <w:t xml:space="preserve">geotechnical</w:t>
            </w:r>
            <w:r>
              <w:rPr>
                <w:spacing w:val="-6"/>
              </w:rPr>
              <w:t xml:space="preserve"> </w:t>
            </w:r>
            <w:r>
              <w:rPr>
                <w:spacing w:val="-2"/>
              </w:rPr>
              <w:t xml:space="preserve">considerations</w:t>
            </w:r>
            <w:r>
              <w:rPr>
                <w:rFonts w:ascii="Times New Roman"/>
              </w:rPr>
              <w:tab/>
            </w:r>
            <w:r>
              <w:rPr>
                <w:spacing w:val="-5"/>
              </w:rPr>
              <w:t xml:space="preserve">10</w:t>
            </w:r>
          </w:hyperlink>
        </w:p>
        <w:p w:rsidR="00A154E5">
          <w:pPr>
            <w:pStyle w:val="TOC2"/>
            <w:numPr>
              <w:ilvl w:val="1"/>
              <w:numId w:val="19"/>
            </w:numPr>
            <w:tabs>
              <w:tab w:val="left" w:pos="1219"/>
              <w:tab w:val="right" w:leader="dot" w:pos="9759"/>
            </w:tabs>
            <w:spacing w:before="118"/>
            <w:ind w:hanging="1099"/>
          </w:pPr>
          <w:hyperlink w:anchor="_bookmark20" w:history="1">
            <w:r>
              <w:t xml:space="preserve">Upper</w:t>
            </w:r>
            <w:r>
              <w:rPr>
                <w:spacing w:val="-6"/>
              </w:rPr>
              <w:t xml:space="preserve"> </w:t>
            </w:r>
            <w:r>
              <w:t xml:space="preserve">soil</w:t>
            </w:r>
            <w:r>
              <w:rPr>
                <w:spacing w:val="-3"/>
              </w:rPr>
              <w:t xml:space="preserve"> </w:t>
            </w:r>
            <w:r>
              <w:rPr>
                <w:spacing w:val="-4"/>
              </w:rPr>
              <w:t xml:space="preserve">crust</w:t>
            </w:r>
            <w:r>
              <w:rPr>
                <w:rFonts w:ascii="Times New Roman"/>
              </w:rPr>
              <w:tab/>
            </w:r>
            <w:r>
              <w:rPr>
                <w:spacing w:val="-5"/>
              </w:rPr>
              <w:t xml:space="preserve">10</w:t>
            </w:r>
          </w:hyperlink>
        </w:p>
        <w:p w:rsidR="00A154E5">
          <w:pPr>
            <w:pStyle w:val="TOC2"/>
            <w:numPr>
              <w:ilvl w:val="1"/>
              <w:numId w:val="19"/>
            </w:numPr>
            <w:tabs>
              <w:tab w:val="left" w:pos="1219"/>
              <w:tab w:val="right" w:leader="dot" w:pos="9760"/>
            </w:tabs>
            <w:spacing w:before="121"/>
            <w:ind w:hanging="1099"/>
          </w:pPr>
          <w:hyperlink w:anchor="_bookmark21" w:history="1">
            <w:r>
              <w:rPr>
                <w:spacing w:val="-2"/>
              </w:rPr>
              <w:t xml:space="preserve">Earthworks</w:t>
            </w:r>
            <w:r>
              <w:rPr>
                <w:rFonts w:ascii="Times New Roman"/>
              </w:rPr>
              <w:tab/>
            </w:r>
            <w:r>
              <w:rPr>
                <w:spacing w:val="-5"/>
              </w:rPr>
              <w:t xml:space="preserve">11</w:t>
            </w:r>
          </w:hyperlink>
        </w:p>
        <w:p w:rsidR="00A154E5">
          <w:pPr>
            <w:pStyle w:val="TOC2"/>
            <w:numPr>
              <w:ilvl w:val="2"/>
              <w:numId w:val="19"/>
            </w:numPr>
            <w:tabs>
              <w:tab w:val="left" w:pos="1219"/>
              <w:tab w:val="right" w:leader="dot" w:pos="9760"/>
            </w:tabs>
            <w:spacing w:before="120"/>
            <w:ind w:hanging="1099"/>
          </w:pPr>
          <w:hyperlink w:anchor="_bookmark22" w:history="1">
            <w:r>
              <w:rPr>
                <w:spacing w:val="-2"/>
              </w:rPr>
              <w:t xml:space="preserve">General</w:t>
            </w:r>
            <w:r>
              <w:rPr>
                <w:rFonts w:ascii="Times New Roman"/>
              </w:rPr>
              <w:tab/>
            </w:r>
            <w:r>
              <w:rPr>
                <w:spacing w:val="-5"/>
              </w:rPr>
              <w:t xml:space="preserve">11</w:t>
            </w:r>
          </w:hyperlink>
        </w:p>
        <w:p w:rsidR="00A154E5">
          <w:pPr>
            <w:pStyle w:val="TOC2"/>
            <w:numPr>
              <w:ilvl w:val="2"/>
              <w:numId w:val="19"/>
            </w:numPr>
            <w:tabs>
              <w:tab w:val="left" w:pos="1219"/>
              <w:tab w:val="right" w:leader="dot" w:pos="9760"/>
            </w:tabs>
            <w:spacing w:before="146"/>
            <w:ind w:hanging="1099"/>
          </w:pPr>
          <w:hyperlink w:anchor="_bookmark23" w:history="1">
            <w:r>
              <w:t xml:space="preserve">Consolidation</w:t>
            </w:r>
            <w:r>
              <w:rPr>
                <w:spacing w:val="-4"/>
              </w:rPr>
              <w:t xml:space="preserve"> </w:t>
            </w:r>
            <w:r>
              <w:t xml:space="preserve">due</w:t>
            </w:r>
            <w:r>
              <w:rPr>
                <w:spacing w:val="-3"/>
              </w:rPr>
              <w:t xml:space="preserve"> </w:t>
            </w:r>
            <w:r>
              <w:t xml:space="preserve">to</w:t>
            </w:r>
            <w:r>
              <w:rPr>
                <w:spacing w:val="-5"/>
              </w:rPr>
              <w:t xml:space="preserve"> </w:t>
            </w:r>
            <w:r>
              <w:rPr>
                <w:spacing w:val="-2"/>
              </w:rPr>
              <w:t xml:space="preserve">filling</w:t>
            </w:r>
            <w:r>
              <w:rPr>
                <w:rFonts w:ascii="Times New Roman"/>
              </w:rPr>
              <w:tab/>
            </w:r>
            <w:r>
              <w:rPr>
                <w:spacing w:val="-5"/>
              </w:rPr>
              <w:t xml:space="preserve">11</w:t>
            </w:r>
          </w:hyperlink>
        </w:p>
        <w:p w:rsidR="00A154E5">
          <w:pPr>
            <w:pStyle w:val="TOC2"/>
            <w:numPr>
              <w:ilvl w:val="2"/>
              <w:numId w:val="19"/>
            </w:numPr>
            <w:tabs>
              <w:tab w:val="left" w:pos="1219"/>
              <w:tab w:val="right" w:leader="dot" w:pos="9760"/>
            </w:tabs>
            <w:ind w:hanging="1099"/>
          </w:pPr>
          <w:hyperlink w:anchor="_bookmark24" w:history="1">
            <w:r>
              <w:rPr>
                <w:spacing w:val="-2"/>
              </w:rPr>
              <w:t xml:space="preserve">Excavations</w:t>
            </w:r>
            <w:r>
              <w:rPr>
                <w:rFonts w:ascii="Times New Roman"/>
              </w:rPr>
              <w:tab/>
            </w:r>
            <w:r>
              <w:rPr>
                <w:spacing w:val="-5"/>
              </w:rPr>
              <w:t xml:space="preserve">11</w:t>
            </w:r>
          </w:hyperlink>
        </w:p>
        <w:p w:rsidR="00A154E5">
          <w:pPr>
            <w:pStyle w:val="TOC2"/>
            <w:numPr>
              <w:ilvl w:val="2"/>
              <w:numId w:val="19"/>
            </w:numPr>
            <w:tabs>
              <w:tab w:val="left" w:pos="1219"/>
              <w:tab w:val="right" w:leader="dot" w:pos="9759"/>
            </w:tabs>
            <w:spacing w:after="240"/>
            <w:ind w:hanging="1099"/>
          </w:pPr>
          <w:hyperlink w:anchor="_bookmark25" w:history="1">
            <w:r>
              <w:t xml:space="preserve">Suitability</w:t>
            </w:r>
            <w:r>
              <w:rPr>
                <w:spacing w:val="-4"/>
              </w:rPr>
              <w:t xml:space="preserve"> </w:t>
            </w:r>
            <w:r>
              <w:t xml:space="preserve">of</w:t>
            </w:r>
            <w:r>
              <w:rPr>
                <w:spacing w:val="-5"/>
              </w:rPr>
              <w:t xml:space="preserve"> </w:t>
            </w:r>
            <w:r>
              <w:t xml:space="preserve">site-won</w:t>
            </w:r>
            <w:r>
              <w:rPr>
                <w:spacing w:val="-3"/>
              </w:rPr>
              <w:t xml:space="preserve"> </w:t>
            </w:r>
            <w:r>
              <w:rPr>
                <w:spacing w:val="-4"/>
              </w:rPr>
              <w:t xml:space="preserve">fill</w:t>
            </w:r>
            <w:r>
              <w:rPr>
                <w:rFonts w:ascii="Times New Roman"/>
              </w:rPr>
              <w:tab/>
            </w:r>
            <w:r>
              <w:rPr>
                <w:spacing w:val="-5"/>
              </w:rPr>
              <w:t xml:space="preserve">12</w:t>
            </w:r>
          </w:hyperlink>
        </w:p>
        <w:p w:rsidR="00A154E5">
          <w:pPr>
            <w:pStyle w:val="TOC2"/>
            <w:numPr>
              <w:ilvl w:val="2"/>
              <w:numId w:val="19"/>
            </w:numPr>
            <w:tabs>
              <w:tab w:val="left" w:pos="1219"/>
              <w:tab w:val="right" w:leader="dot" w:pos="9760"/>
            </w:tabs>
            <w:spacing w:before="41"/>
            <w:ind w:hanging="1099"/>
          </w:pPr>
          <w:hyperlink w:anchor="_bookmark26" w:history="1">
            <w:r>
              <w:t xml:space="preserve">Preliminary</w:t>
            </w:r>
            <w:r>
              <w:rPr>
                <w:spacing w:val="-6"/>
              </w:rPr>
              <w:t xml:space="preserve"> </w:t>
            </w:r>
            <w:r>
              <w:t xml:space="preserve">compaction</w:t>
            </w:r>
            <w:r>
              <w:rPr>
                <w:spacing w:val="-5"/>
              </w:rPr>
              <w:t xml:space="preserve"> </w:t>
            </w:r>
            <w:r>
              <w:rPr>
                <w:spacing w:val="-2"/>
              </w:rPr>
              <w:t xml:space="preserve">specifications</w:t>
            </w:r>
            <w:r>
              <w:rPr>
                <w:rFonts w:ascii="Times New Roman"/>
              </w:rPr>
              <w:tab/>
            </w:r>
            <w:r>
              <w:rPr>
                <w:spacing w:val="-5"/>
              </w:rPr>
              <w:t xml:space="preserve">13</w:t>
            </w:r>
          </w:hyperlink>
        </w:p>
        <w:p w:rsidR="00A154E5">
          <w:pPr>
            <w:pStyle w:val="TOC2"/>
            <w:numPr>
              <w:ilvl w:val="1"/>
              <w:numId w:val="19"/>
            </w:numPr>
            <w:tabs>
              <w:tab w:val="left" w:pos="1219"/>
              <w:tab w:val="right" w:leader="dot" w:pos="9760"/>
            </w:tabs>
            <w:ind w:hanging="1099"/>
          </w:pPr>
          <w:hyperlink w:anchor="_bookmark27" w:history="1">
            <w:r>
              <w:t xml:space="preserve">Preliminary</w:t>
            </w:r>
            <w:r>
              <w:rPr>
                <w:spacing w:val="-7"/>
              </w:rPr>
              <w:t xml:space="preserve"> </w:t>
            </w:r>
            <w:r>
              <w:t xml:space="preserve">foundations</w:t>
            </w:r>
            <w:r>
              <w:rPr>
                <w:spacing w:val="-7"/>
              </w:rPr>
              <w:t xml:space="preserve"> </w:t>
            </w:r>
            <w:r>
              <w:rPr>
                <w:spacing w:val="-2"/>
              </w:rPr>
              <w:t xml:space="preserve">advice</w:t>
            </w:r>
            <w:r>
              <w:rPr>
                <w:rFonts w:ascii="Times New Roman"/>
              </w:rPr>
              <w:tab/>
            </w:r>
            <w:r>
              <w:rPr>
                <w:spacing w:val="-5"/>
              </w:rPr>
              <w:t xml:space="preserve">13</w:t>
            </w:r>
          </w:hyperlink>
        </w:p>
        <w:p w:rsidR="00A154E5">
          <w:pPr>
            <w:pStyle w:val="TOC2"/>
            <w:numPr>
              <w:ilvl w:val="2"/>
              <w:numId w:val="19"/>
            </w:numPr>
            <w:tabs>
              <w:tab w:val="left" w:pos="1219"/>
              <w:tab w:val="right" w:leader="dot" w:pos="9760"/>
            </w:tabs>
            <w:spacing w:before="120"/>
            <w:ind w:hanging="1099"/>
          </w:pPr>
          <w:hyperlink w:anchor="_bookmark28" w:history="1">
            <w:r>
              <w:rPr>
                <w:spacing w:val="-2"/>
              </w:rPr>
              <w:t xml:space="preserve">General</w:t>
            </w:r>
            <w:r>
              <w:rPr>
                <w:rFonts w:ascii="Times New Roman"/>
              </w:rPr>
              <w:tab/>
            </w:r>
            <w:r>
              <w:rPr>
                <w:spacing w:val="-5"/>
              </w:rPr>
              <w:t xml:space="preserve">13</w:t>
            </w:r>
          </w:hyperlink>
        </w:p>
        <w:p w:rsidR="00A154E5">
          <w:pPr>
            <w:pStyle w:val="TOC2"/>
            <w:numPr>
              <w:ilvl w:val="2"/>
              <w:numId w:val="19"/>
            </w:numPr>
            <w:tabs>
              <w:tab w:val="left" w:pos="1219"/>
              <w:tab w:val="right" w:leader="dot" w:pos="9760"/>
            </w:tabs>
            <w:ind w:hanging="1099"/>
          </w:pPr>
          <w:hyperlink w:anchor="_bookmark30" w:history="1">
            <w:r>
              <w:t xml:space="preserve">Expansive</w:t>
            </w:r>
            <w:r>
              <w:rPr>
                <w:spacing w:val="-6"/>
              </w:rPr>
              <w:t xml:space="preserve"> </w:t>
            </w:r>
            <w:r>
              <w:rPr>
                <w:spacing w:val="-2"/>
              </w:rPr>
              <w:t xml:space="preserve">soils</w:t>
            </w:r>
            <w:r>
              <w:rPr>
                <w:rFonts w:ascii="Times New Roman"/>
              </w:rPr>
              <w:tab/>
            </w:r>
            <w:r>
              <w:rPr>
                <w:spacing w:val="-5"/>
              </w:rPr>
              <w:t xml:space="preserve">16</w:t>
            </w:r>
          </w:hyperlink>
        </w:p>
        <w:p w:rsidR="00A154E5">
          <w:pPr>
            <w:pStyle w:val="TOC2"/>
            <w:numPr>
              <w:ilvl w:val="2"/>
              <w:numId w:val="19"/>
            </w:numPr>
            <w:tabs>
              <w:tab w:val="left" w:pos="1219"/>
              <w:tab w:val="right" w:leader="dot" w:pos="9760"/>
            </w:tabs>
            <w:spacing w:before="146"/>
            <w:ind w:hanging="1099"/>
          </w:pPr>
          <w:hyperlink w:anchor="_bookmark31" w:history="1">
            <w:r>
              <w:t xml:space="preserve">Geotechnical</w:t>
            </w:r>
            <w:r>
              <w:rPr>
                <w:spacing w:val="-7"/>
              </w:rPr>
              <w:t xml:space="preserve"> </w:t>
            </w:r>
            <w:r>
              <w:t xml:space="preserve">hazards</w:t>
            </w:r>
            <w:r>
              <w:rPr>
                <w:spacing w:val="-4"/>
              </w:rPr>
              <w:t xml:space="preserve"> </w:t>
            </w:r>
            <w:r>
              <w:t xml:space="preserve">as</w:t>
            </w:r>
            <w:r>
              <w:rPr>
                <w:spacing w:val="-4"/>
              </w:rPr>
              <w:t xml:space="preserve"> </w:t>
            </w:r>
            <w:r>
              <w:t xml:space="preserve">defined</w:t>
            </w:r>
            <w:r>
              <w:rPr>
                <w:spacing w:val="-4"/>
              </w:rPr>
              <w:t xml:space="preserve"> </w:t>
            </w:r>
            <w:r>
              <w:t xml:space="preserve">by</w:t>
            </w:r>
            <w:r>
              <w:rPr>
                <w:spacing w:val="-4"/>
              </w:rPr>
              <w:t xml:space="preserve"> </w:t>
            </w:r>
            <w:r>
              <w:t xml:space="preserve">NZS</w:t>
            </w:r>
            <w:r>
              <w:rPr>
                <w:spacing w:val="-3"/>
              </w:rPr>
              <w:t xml:space="preserve"> </w:t>
            </w:r>
            <w:r>
              <w:t xml:space="preserve">3604</w:t>
            </w:r>
            <w:r>
              <w:rPr>
                <w:spacing w:val="-3"/>
              </w:rPr>
              <w:t xml:space="preserve"> </w:t>
            </w:r>
            <w:r>
              <w:t xml:space="preserve">‘Good</w:t>
            </w:r>
            <w:r>
              <w:rPr>
                <w:spacing w:val="-4"/>
              </w:rPr>
              <w:t xml:space="preserve"> </w:t>
            </w:r>
            <w:r>
              <w:rPr>
                <w:spacing w:val="-2"/>
              </w:rPr>
              <w:t xml:space="preserve">ground’</w:t>
            </w:r>
            <w:r>
              <w:rPr>
                <w:rFonts w:ascii="Times New Roman" w:hAnsi="Times New Roman"/>
              </w:rPr>
              <w:tab/>
            </w:r>
            <w:r>
              <w:rPr>
                <w:spacing w:val="-5"/>
              </w:rPr>
              <w:t xml:space="preserve">18</w:t>
            </w:r>
          </w:hyperlink>
        </w:p>
        <w:p w:rsidR="00A154E5">
          <w:pPr>
            <w:pStyle w:val="TOC2"/>
            <w:numPr>
              <w:ilvl w:val="2"/>
              <w:numId w:val="19"/>
            </w:numPr>
            <w:tabs>
              <w:tab w:val="left" w:pos="1219"/>
              <w:tab w:val="right" w:leader="dot" w:pos="9760"/>
            </w:tabs>
            <w:ind w:hanging="1099"/>
          </w:pPr>
          <w:hyperlink w:anchor="_bookmark32" w:history="1">
            <w:r>
              <w:t xml:space="preserve">Driven</w:t>
            </w:r>
            <w:r>
              <w:rPr>
                <w:spacing w:val="-4"/>
              </w:rPr>
              <w:t xml:space="preserve"> </w:t>
            </w:r>
            <w:r>
              <w:t xml:space="preserve">timber</w:t>
            </w:r>
            <w:r>
              <w:rPr>
                <w:spacing w:val="-3"/>
              </w:rPr>
              <w:t xml:space="preserve"> </w:t>
            </w:r>
            <w:r>
              <w:t xml:space="preserve">pile</w:t>
            </w:r>
            <w:r>
              <w:rPr>
                <w:spacing w:val="-3"/>
              </w:rPr>
              <w:t xml:space="preserve"> </w:t>
            </w:r>
            <w:r>
              <w:rPr>
                <w:spacing w:val="-2"/>
              </w:rPr>
              <w:t xml:space="preserve">foundations</w:t>
            </w:r>
            <w:r>
              <w:rPr>
                <w:rFonts w:ascii="Times New Roman"/>
              </w:rPr>
              <w:tab/>
            </w:r>
            <w:r>
              <w:rPr>
                <w:spacing w:val="-5"/>
              </w:rPr>
              <w:t xml:space="preserve">18</w:t>
            </w:r>
          </w:hyperlink>
        </w:p>
        <w:p w:rsidR="00A154E5">
          <w:pPr>
            <w:pStyle w:val="TOC2"/>
            <w:numPr>
              <w:ilvl w:val="1"/>
              <w:numId w:val="19"/>
            </w:numPr>
            <w:tabs>
              <w:tab w:val="left" w:pos="1219"/>
              <w:tab w:val="right" w:leader="dot" w:pos="9760"/>
            </w:tabs>
            <w:spacing w:before="146"/>
            <w:ind w:hanging="1099"/>
          </w:pPr>
          <w:hyperlink w:anchor="_bookmark33" w:history="1">
            <w:r>
              <w:rPr>
                <w:spacing w:val="-2"/>
              </w:rPr>
              <w:t xml:space="preserve">Retention</w:t>
            </w:r>
            <w:r>
              <w:rPr>
                <w:rFonts w:ascii="Times New Roman"/>
              </w:rPr>
              <w:tab/>
            </w:r>
            <w:r>
              <w:rPr>
                <w:spacing w:val="-5"/>
              </w:rPr>
              <w:t xml:space="preserve">18</w:t>
            </w:r>
          </w:hyperlink>
        </w:p>
        <w:p w:rsidR="00A154E5">
          <w:pPr>
            <w:pStyle w:val="TOC2"/>
            <w:numPr>
              <w:ilvl w:val="1"/>
              <w:numId w:val="19"/>
            </w:numPr>
            <w:tabs>
              <w:tab w:val="left" w:pos="1219"/>
              <w:tab w:val="right" w:leader="dot" w:pos="9762"/>
            </w:tabs>
            <w:spacing w:before="121"/>
            <w:ind w:hanging="1099"/>
          </w:pPr>
          <w:hyperlink w:anchor="_bookmark34" w:history="1">
            <w:r>
              <w:rPr>
                <w:spacing w:val="-2"/>
              </w:rPr>
              <w:t xml:space="preserve">Pavements</w:t>
            </w:r>
            <w:r>
              <w:rPr>
                <w:rFonts w:ascii="Times New Roman"/>
              </w:rPr>
              <w:tab/>
            </w:r>
            <w:r>
              <w:rPr>
                <w:spacing w:val="-5"/>
              </w:rPr>
              <w:t xml:space="preserve">20</w:t>
            </w:r>
          </w:hyperlink>
        </w:p>
        <w:p w:rsidR="00A154E5">
          <w:pPr>
            <w:pStyle w:val="TOC2"/>
            <w:numPr>
              <w:ilvl w:val="1"/>
              <w:numId w:val="19"/>
            </w:numPr>
            <w:tabs>
              <w:tab w:val="left" w:pos="1219"/>
              <w:tab w:val="right" w:leader="dot" w:pos="9760"/>
            </w:tabs>
            <w:spacing w:before="120"/>
            <w:ind w:hanging="1099"/>
          </w:pPr>
          <w:hyperlink w:anchor="_bookmark35" w:history="1">
            <w:r>
              <w:t xml:space="preserve">Seismic</w:t>
            </w:r>
            <w:r>
              <w:rPr>
                <w:spacing w:val="-8"/>
              </w:rPr>
              <w:t xml:space="preserve"> </w:t>
            </w:r>
            <w:r>
              <w:rPr>
                <w:spacing w:val="-2"/>
              </w:rPr>
              <w:t xml:space="preserve">considerations</w:t>
            </w:r>
            <w:r>
              <w:rPr>
                <w:rFonts w:ascii="Times New Roman"/>
              </w:rPr>
              <w:tab/>
            </w:r>
            <w:r>
              <w:rPr>
                <w:spacing w:val="-5"/>
              </w:rPr>
              <w:t xml:space="preserve">21</w:t>
            </w:r>
          </w:hyperlink>
        </w:p>
        <w:p w:rsidR="00A154E5">
          <w:pPr>
            <w:pStyle w:val="TOC2"/>
            <w:numPr>
              <w:ilvl w:val="2"/>
              <w:numId w:val="19"/>
            </w:numPr>
            <w:tabs>
              <w:tab w:val="left" w:pos="1219"/>
              <w:tab w:val="right" w:leader="dot" w:pos="9760"/>
            </w:tabs>
            <w:spacing w:before="120"/>
            <w:ind w:hanging="1099"/>
          </w:pPr>
          <w:hyperlink w:anchor="_bookmark36" w:history="1">
            <w:r>
              <w:t xml:space="preserve">Site</w:t>
            </w:r>
            <w:r>
              <w:rPr>
                <w:spacing w:val="-3"/>
              </w:rPr>
              <w:t xml:space="preserve"> </w:t>
            </w:r>
            <w:r>
              <w:t xml:space="preserve">subsoil</w:t>
            </w:r>
            <w:r>
              <w:rPr>
                <w:spacing w:val="-4"/>
              </w:rPr>
              <w:t xml:space="preserve"> </w:t>
            </w:r>
            <w:r>
              <w:rPr>
                <w:spacing w:val="-2"/>
              </w:rPr>
              <w:t xml:space="preserve">class</w:t>
            </w:r>
            <w:r>
              <w:rPr>
                <w:rFonts w:ascii="Times New Roman"/>
              </w:rPr>
              <w:tab/>
            </w:r>
            <w:r>
              <w:rPr>
                <w:spacing w:val="-5"/>
              </w:rPr>
              <w:t xml:space="preserve">21</w:t>
            </w:r>
          </w:hyperlink>
        </w:p>
        <w:p w:rsidR="00A154E5">
          <w:pPr>
            <w:pStyle w:val="TOC2"/>
            <w:numPr>
              <w:ilvl w:val="2"/>
              <w:numId w:val="19"/>
            </w:numPr>
            <w:tabs>
              <w:tab w:val="left" w:pos="1219"/>
              <w:tab w:val="right" w:leader="dot" w:pos="9760"/>
            </w:tabs>
            <w:ind w:hanging="1099"/>
          </w:pPr>
          <w:hyperlink w:anchor="_bookmark37" w:history="1">
            <w:r>
              <w:t xml:space="preserve">Liquefaction</w:t>
            </w:r>
            <w:r>
              <w:rPr>
                <w:spacing w:val="-6"/>
              </w:rPr>
              <w:t xml:space="preserve"> </w:t>
            </w:r>
            <w:r>
              <w:rPr>
                <w:spacing w:val="-2"/>
              </w:rPr>
              <w:t xml:space="preserve">susceptibility</w:t>
            </w:r>
            <w:r>
              <w:rPr>
                <w:rFonts w:ascii="Times New Roman"/>
              </w:rPr>
              <w:tab/>
            </w:r>
            <w:r>
              <w:rPr>
                <w:spacing w:val="-5"/>
              </w:rPr>
              <w:t xml:space="preserve">21</w:t>
            </w:r>
          </w:hyperlink>
        </w:p>
        <w:p w:rsidR="00A154E5">
          <w:pPr>
            <w:pStyle w:val="TOC2"/>
            <w:numPr>
              <w:ilvl w:val="2"/>
              <w:numId w:val="19"/>
            </w:numPr>
            <w:tabs>
              <w:tab w:val="left" w:pos="1219"/>
              <w:tab w:val="right" w:leader="dot" w:pos="9760"/>
            </w:tabs>
            <w:ind w:hanging="1099"/>
          </w:pPr>
          <w:hyperlink w:anchor="_bookmark38" w:history="1">
            <w:r>
              <w:t xml:space="preserve">Cyclic</w:t>
            </w:r>
            <w:r>
              <w:rPr>
                <w:spacing w:val="-6"/>
              </w:rPr>
              <w:t xml:space="preserve"> </w:t>
            </w:r>
            <w:r>
              <w:rPr>
                <w:spacing w:val="-2"/>
              </w:rPr>
              <w:t xml:space="preserve">Softening</w:t>
            </w:r>
            <w:r>
              <w:rPr>
                <w:rFonts w:ascii="Times New Roman"/>
              </w:rPr>
              <w:tab/>
            </w:r>
            <w:r>
              <w:rPr>
                <w:spacing w:val="-5"/>
              </w:rPr>
              <w:t xml:space="preserve">21</w:t>
            </w:r>
          </w:hyperlink>
        </w:p>
        <w:p w:rsidR="00A154E5">
          <w:pPr>
            <w:pStyle w:val="TOC2"/>
            <w:numPr>
              <w:ilvl w:val="1"/>
              <w:numId w:val="19"/>
            </w:numPr>
            <w:tabs>
              <w:tab w:val="left" w:pos="1219"/>
              <w:tab w:val="right" w:leader="dot" w:pos="9760"/>
            </w:tabs>
            <w:ind w:hanging="1099"/>
          </w:pPr>
          <w:hyperlink w:anchor="_bookmark39" w:history="1">
            <w:r>
              <w:t xml:space="preserve">Further</w:t>
            </w:r>
            <w:r>
              <w:rPr>
                <w:spacing w:val="-7"/>
              </w:rPr>
              <w:t xml:space="preserve"> </w:t>
            </w:r>
            <w:r>
              <w:rPr>
                <w:spacing w:val="-4"/>
              </w:rPr>
              <w:t xml:space="preserve">work</w:t>
            </w:r>
            <w:r>
              <w:rPr>
                <w:rFonts w:ascii="Times New Roman"/>
              </w:rPr>
              <w:tab/>
            </w:r>
            <w:r>
              <w:rPr>
                <w:spacing w:val="-5"/>
              </w:rPr>
              <w:t xml:space="preserve">21</w:t>
            </w:r>
          </w:hyperlink>
        </w:p>
      </w:sdtContent>
    </w:sdt>
    <w:p w:rsidR="00A154E5">
      <w:pPr>
        <w:sectPr>
          <w:type w:val="continuous"/>
          <w:pgSz w:w="11910" w:h="16840" w:orient="portrait"/>
          <w:pgMar w:top="1399" w:right="960" w:bottom="473" w:left="960" w:header="0" w:footer="553" w:gutter="0"/>
          <w:cols w:num="1" w:space="720">
            <w:col w:w="9990" w:space="720"/>
          </w:cols>
        </w:sect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spacing w:before="232"/>
        <w:rPr>
          <w:sz w:val="20"/>
        </w:rPr>
      </w:pPr>
    </w:p>
    <w:p w:rsidR="00A154E5">
      <w:pPr>
        <w:rPr>
          <w:sz w:val="20"/>
        </w:rPr>
        <w:sectPr>
          <w:type w:val="continuous"/>
          <w:pgSz w:w="11910" w:h="16840" w:orient="portrait"/>
          <w:pgMar w:top="1380" w:right="960" w:bottom="280" w:left="960" w:header="0" w:footer="553" w:gutter="0"/>
          <w:cols w:num="1" w:space="720">
            <w:col w:w="9990" w:space="720"/>
          </w:cols>
        </w:sectPr>
      </w:pPr>
    </w:p>
    <w:p w:rsidR="00A154E5">
      <w:pPr>
        <w:pStyle w:val="Heading1"/>
        <w:numPr>
          <w:ilvl w:val="1"/>
          <w:numId w:val="22"/>
        </w:numPr>
        <w:tabs>
          <w:tab w:val="left" w:pos="1560"/>
        </w:tabs>
        <w:ind w:hanging="1440"/>
      </w:pPr>
      <w:r>
        <w:t xml:space="preserve">Applicability</w:t>
      </w:r>
    </w:p>
    <w:p w:rsidR="00A154E5">
      <w:pPr>
        <w:pStyle w:val="BodyText"/>
        <w:spacing w:before="600"/>
        <w:ind w:left="120"/>
      </w:pPr>
      <w:r>
        <w:t xml:space="preserve">This geotechnical report provides information about the general suitability of the land for subdivision</w:t>
      </w:r>
    </w:p>
    <w:p w:rsidR="00A154E5">
      <w:pPr>
        <w:pStyle w:val="BodyText"/>
        <w:spacing w:before="26" w:line="264" w:lineRule="auto"/>
        <w:ind w:left="120"/>
      </w:pPr>
      <w:r>
        <w:t xml:space="preserve">development at the proposed Superlot ZX-001 within Stage 2 and 3 of the Evergreen neighbourhood. Its primary purpose is to provide information for the civil design and consenting of the subdivision works.</w:t>
      </w:r>
    </w:p>
    <w:p w:rsidR="00A154E5">
      <w:pPr>
        <w:pStyle w:val="BodyText"/>
        <w:spacing w:line="264" w:lineRule="auto"/>
        <w:ind w:left="120" w:right="210"/>
      </w:pPr>
      <w:commentRangeStart w:id="0"/>
      <w:r>
        <w:t xml:space="preserve">ClientCorp Ltd will also provide this report to build partners to inforft them in assessing the suitability of the land for buildings.</w:t>
      </w:r>
      <w:commentRangeEnd w:id="0"/>
      <w:r>
        <w:commentReference w:id="0"/>
      </w:r>
      <w:r>
        <w:commentReference w:id="1"/>
      </w:r>
      <w:r>
        <w:t xml:space="preserve"> This report:</w:t>
      </w:r>
    </w:p>
    <w:p w:rsidR="00A154E5">
      <w:pPr>
        <w:pStyle w:val="ListParagraph"/>
        <w:numPr>
          <w:ilvl w:val="2"/>
          <w:numId w:val="22"/>
        </w:numPr>
        <w:tabs>
          <w:tab w:val="left" w:pos="480"/>
        </w:tabs>
        <w:spacing w:before="120"/>
        <w:ind w:hanging="360"/>
      </w:pPr>
      <w:r>
        <w:t xml:space="preserve">Summarises the ground and groundwater conditions.</w:t>
      </w:r>
    </w:p>
    <w:p w:rsidR="00A154E5">
      <w:pPr>
        <w:pStyle w:val="ListParagraph"/>
        <w:numPr>
          <w:ilvl w:val="2"/>
          <w:numId w:val="22"/>
        </w:numPr>
        <w:tabs>
          <w:tab w:val="left" w:pos="480"/>
        </w:tabs>
        <w:spacing w:before="105"/>
        <w:ind w:hanging="360"/>
      </w:pPr>
      <w:r>
        <w:t xml:space="preserve">Provides geotechnical design information for the civil works design and consent.</w:t>
      </w:r>
    </w:p>
    <w:p w:rsidR="00A154E5">
      <w:pPr>
        <w:pStyle w:val="ListParagraph"/>
        <w:numPr>
          <w:ilvl w:val="2"/>
          <w:numId w:val="22"/>
        </w:numPr>
        <w:tabs>
          <w:tab w:val="left" w:pos="480"/>
        </w:tabs>
        <w:spacing w:before="109"/>
        <w:ind w:hanging="360"/>
      </w:pPr>
      <w:r>
        <w:t xml:space="preserve">Provides information on the general suitability of the site for buildings.</w:t>
      </w:r>
    </w:p>
    <w:p w:rsidR="00A154E5">
      <w:pPr>
        <w:pStyle w:val="BodyText"/>
        <w:spacing w:before="106" w:line="266" w:lineRule="auto"/>
        <w:ind w:left="120"/>
      </w:pPr>
      <w:r>
        <w:t xml:space="preserve">This report is not suitable for detailed design of buildings at this site without a review by a Chartered Geotechnical Engineer for the specific requirements of the proposed development. Depending on the</w:t>
      </w:r>
    </w:p>
    <w:p w:rsidR="00A154E5">
      <w:pPr>
        <w:pStyle w:val="BodyText"/>
        <w:spacing w:line="264" w:lineRule="auto"/>
        <w:ind w:left="120"/>
      </w:pPr>
      <w:r>
        <w:t xml:space="preserve">building form, it may be necessary to carry out supplementary geotechnical investigations, analyses and design to inform detailed building design.</w:t>
      </w:r>
    </w:p>
    <w:p w:rsidR="00A154E5">
      <w:pPr>
        <w:spacing w:line="264" w:lineRule="auto"/>
        <w:sectPr>
          <w:footerReference w:type="default" r:id="rId6"/>
          <w:pgSz w:w="11910" w:h="16840" w:orient="portrait"/>
          <w:pgMar w:top="1460" w:right="960" w:bottom="1140" w:left="960" w:header="0" w:footer="953" w:gutter="0"/>
          <w:pgNumType w:start="1"/>
          <w:cols w:num="1" w:space="720">
            <w:col w:w="9990" w:space="720"/>
          </w:cols>
        </w:sectPr>
      </w:pPr>
    </w:p>
    <w:p w:rsidR="00A154E5">
      <w:pPr>
        <w:pStyle w:val="Heading1"/>
        <w:numPr>
          <w:ilvl w:val="0"/>
          <w:numId w:val="13"/>
        </w:numPr>
        <w:tabs>
          <w:tab w:val="left" w:pos="1560"/>
        </w:tabs>
        <w:ind w:hanging="1440"/>
      </w:pPr>
    </w:p>
    <w:p w:rsidR="00A154E5">
      <w:pPr>
        <w:pStyle w:val="BodyText"/>
        <w:spacing w:before="600" w:line="264" w:lineRule="auto"/>
        <w:ind w:left="120" w:right="210"/>
      </w:pPr>
    </w:p>
    <w:p w:rsidR="00A154E5">
      <w:pPr>
        <w:pStyle w:val="BodyText"/>
        <w:spacing w:before="1"/>
        <w:rPr>
          <w:sz w:val="17"/>
        </w:rPr>
      </w:pPr>
    </w:p>
    <w:tbl>
      <w:tblPr>
        <w:tblStyle w:val="NormalTable"/>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
      <w:tblGrid>
        <w:gridCol w:w="1653"/>
        <w:gridCol w:w="7918"/>
      </w:tblGrid>
      <w:tr w14:paraId="52BE2B5B" w14:textId="77777777">
        <w:tblPrEx>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Ex>
        <w:trPr>
          <w:trHeight w:val="469"/>
        </w:trPr>
        <w:tc>
          <w:tcPr>
            <w:tcW w:w="1653" w:type="dxa"/>
            <w:tcBorders>
              <w:top w:val="nil"/>
              <w:left w:val="nil"/>
              <w:right w:val="single" w:sz="36" w:space="0" w:color="FFFFFF"/>
            </w:tcBorders>
            <w:shd w:val="clear" w:color="auto" w:fill="48B757"/>
          </w:tcPr>
          <w:p w:rsidR="00A154E5">
            <w:pPr>
              <w:pStyle w:val="TableParagraph"/>
              <w:spacing w:before="83"/>
              <w:ind w:left="202"/>
              <w:rPr>
                <w:b/>
                <w:sz w:val="20"/>
              </w:rPr>
            </w:pPr>
            <w:r>
              <w:rPr>
                <w:b/>
                <w:color w:val="FFFFFF"/>
                <w:spacing w:val="-2"/>
                <w:sz w:val="20"/>
              </w:rPr>
              <w:t xml:space="preserve">Consideration</w:t>
            </w:r>
          </w:p>
        </w:tc>
        <w:tc>
          <w:tcPr>
            <w:tcW w:w="7918" w:type="dxa"/>
            <w:tcBorders>
              <w:top w:val="nil"/>
              <w:left w:val="single" w:sz="36" w:space="0" w:color="FFFFFF"/>
              <w:right w:val="nil"/>
            </w:tcBorders>
            <w:shd w:val="clear" w:color="auto" w:fill="48B757"/>
          </w:tcPr>
          <w:p w:rsidR="00A154E5">
            <w:pPr>
              <w:pStyle w:val="TableParagraph"/>
              <w:spacing w:before="83"/>
              <w:ind w:right="3"/>
              <w:jc w:val="center"/>
              <w:rPr>
                <w:b/>
                <w:sz w:val="20"/>
              </w:rPr>
            </w:pPr>
            <w:r>
              <w:rPr>
                <w:b/>
                <w:color w:val="FFFFFF"/>
                <w:spacing w:val="-2"/>
                <w:sz w:val="20"/>
              </w:rPr>
              <w:t xml:space="preserve">Conclusions/recommendations</w:t>
            </w:r>
          </w:p>
        </w:tc>
      </w:tr>
      <w:tr w14:paraId="58D5804C" w14:textId="77777777">
        <w:tblPrEx>
          <w:tblW w:w="0" w:type="auto"/>
          <w:tblInd w:w="216" w:type="dxa"/>
          <w:tblLayout w:type="fixed"/>
          <w:tblCellMar>
            <w:left w:w="0" w:type="dxa"/>
            <w:right w:w="0" w:type="dxa"/>
          </w:tblCellMar>
          <w:tblLook w:val="01E0"/>
        </w:tblPrEx>
        <w:trPr>
          <w:trHeight w:val="2245"/>
        </w:trPr>
        <w:tc>
          <w:tcPr>
            <w:tcW w:w="1653" w:type="dxa"/>
            <w:tcBorders>
              <w:left w:val="nil"/>
              <w:bottom w:val="single" w:sz="36" w:space="0" w:color="FFFFFF"/>
              <w:right w:val="single" w:sz="36" w:space="0" w:color="FFFFFF"/>
            </w:tcBorders>
            <w:shd w:val="clear" w:color="auto" w:fill="F1F1F1"/>
          </w:tcPr>
          <w:p w:rsidR="00A154E5">
            <w:pPr>
              <w:pStyle w:val="TableParagraph"/>
              <w:spacing w:before="125"/>
              <w:ind w:left="64"/>
              <w:rPr>
                <w:sz w:val="20"/>
              </w:rPr>
            </w:pPr>
            <w:r>
              <w:rPr>
                <w:sz w:val="20"/>
              </w:rPr>
              <w:t xml:space="preserve">Soil</w:t>
            </w:r>
            <w:r>
              <w:rPr>
                <w:spacing w:val="-5"/>
                <w:sz w:val="20"/>
              </w:rPr>
              <w:t xml:space="preserve"> </w:t>
            </w:r>
            <w:r>
              <w:rPr>
                <w:spacing w:val="-2"/>
                <w:sz w:val="20"/>
              </w:rPr>
              <w:t xml:space="preserve">Conditions</w:t>
            </w:r>
          </w:p>
        </w:tc>
        <w:tc>
          <w:tcPr>
            <w:tcW w:w="7918" w:type="dxa"/>
            <w:tcBorders>
              <w:left w:val="single" w:sz="36" w:space="0" w:color="FFFFFF"/>
              <w:bottom w:val="single" w:sz="36" w:space="0" w:color="FFFFFF"/>
              <w:right w:val="nil"/>
            </w:tcBorders>
            <w:shd w:val="clear" w:color="auto" w:fill="F1F1F1"/>
          </w:tcPr>
          <w:p w:rsidR="00A154E5">
            <w:pPr>
              <w:pStyle w:val="TableParagraph"/>
              <w:spacing w:before="125"/>
              <w:ind w:left="63"/>
              <w:rPr>
                <w:sz w:val="20"/>
              </w:rPr>
            </w:pPr>
            <w:r>
              <w:rPr>
                <w:sz w:val="20"/>
              </w:rPr>
              <w:t xml:space="preserve">The</w:t>
            </w:r>
            <w:r>
              <w:rPr>
                <w:spacing w:val="-8"/>
                <w:sz w:val="20"/>
              </w:rPr>
              <w:t xml:space="preserve"> </w:t>
            </w:r>
            <w:r>
              <w:rPr>
                <w:sz w:val="20"/>
              </w:rPr>
              <w:t xml:space="preserve">geological</w:t>
            </w:r>
            <w:r>
              <w:rPr>
                <w:spacing w:val="-6"/>
                <w:sz w:val="20"/>
              </w:rPr>
              <w:t xml:space="preserve"> </w:t>
            </w:r>
            <w:r>
              <w:rPr>
                <w:sz w:val="20"/>
              </w:rPr>
              <w:t xml:space="preserve">profile</w:t>
            </w:r>
            <w:r>
              <w:rPr>
                <w:spacing w:val="-8"/>
                <w:sz w:val="20"/>
              </w:rPr>
              <w:t xml:space="preserve"> </w:t>
            </w:r>
            <w:r>
              <w:rPr>
                <w:sz w:val="20"/>
              </w:rPr>
              <w:t xml:space="preserve">consists</w:t>
            </w:r>
            <w:r>
              <w:rPr>
                <w:spacing w:val="-5"/>
                <w:sz w:val="20"/>
              </w:rPr>
              <w:t xml:space="preserve"> </w:t>
            </w:r>
            <w:r>
              <w:rPr>
                <w:sz w:val="20"/>
              </w:rPr>
              <w:t xml:space="preserve">of</w:t>
            </w:r>
            <w:r>
              <w:rPr>
                <w:spacing w:val="-5"/>
                <w:sz w:val="20"/>
              </w:rPr>
              <w:t xml:space="preserve"> </w:t>
            </w:r>
            <w:r>
              <w:rPr>
                <w:sz w:val="20"/>
              </w:rPr>
              <w:t xml:space="preserve">topsoil</w:t>
            </w:r>
            <w:r>
              <w:rPr>
                <w:spacing w:val="-5"/>
                <w:sz w:val="20"/>
              </w:rPr>
              <w:t xml:space="preserve"> </w:t>
            </w:r>
            <w:r>
              <w:rPr>
                <w:sz w:val="20"/>
              </w:rPr>
              <w:t xml:space="preserve">overlying</w:t>
            </w:r>
            <w:r>
              <w:rPr>
                <w:spacing w:val="-6"/>
                <w:sz w:val="20"/>
              </w:rPr>
              <w:t xml:space="preserve"> </w:t>
            </w:r>
            <w:r>
              <w:rPr>
                <w:sz w:val="20"/>
              </w:rPr>
              <w:t xml:space="preserve">Auckland</w:t>
            </w:r>
            <w:r>
              <w:rPr>
                <w:spacing w:val="-7"/>
                <w:sz w:val="20"/>
              </w:rPr>
              <w:t xml:space="preserve"> </w:t>
            </w:r>
            <w:r>
              <w:rPr>
                <w:sz w:val="20"/>
              </w:rPr>
              <w:t xml:space="preserve">Volcanic</w:t>
            </w:r>
            <w:r>
              <w:rPr>
                <w:spacing w:val="-7"/>
                <w:sz w:val="20"/>
              </w:rPr>
              <w:t xml:space="preserve"> </w:t>
            </w:r>
            <w:r>
              <w:rPr>
                <w:sz w:val="20"/>
              </w:rPr>
              <w:t xml:space="preserve">Field</w:t>
            </w:r>
            <w:r>
              <w:rPr>
                <w:spacing w:val="-8"/>
                <w:sz w:val="20"/>
              </w:rPr>
              <w:t xml:space="preserve"> </w:t>
            </w:r>
            <w:r>
              <w:rPr>
                <w:sz w:val="20"/>
              </w:rPr>
              <w:t xml:space="preserve">ash,</w:t>
            </w:r>
            <w:r>
              <w:rPr>
                <w:spacing w:val="-6"/>
                <w:sz w:val="20"/>
              </w:rPr>
              <w:t xml:space="preserve"> </w:t>
            </w:r>
            <w:r>
              <w:rPr>
                <w:spacing w:val="-2"/>
                <w:sz w:val="20"/>
              </w:rPr>
              <w:t xml:space="preserve">overlying</w:t>
            </w:r>
          </w:p>
          <w:p w:rsidR="00A154E5">
            <w:pPr>
              <w:pStyle w:val="TableParagraph"/>
              <w:spacing w:before="27" w:line="264" w:lineRule="auto"/>
              <w:ind w:left="63"/>
              <w:rPr>
                <w:sz w:val="20"/>
              </w:rPr>
            </w:pPr>
            <w:r>
              <w:rPr>
                <w:sz w:val="20"/>
              </w:rPr>
              <w:t xml:space="preserve">Puketoka</w:t>
            </w:r>
            <w:r>
              <w:rPr>
                <w:spacing w:val="-2"/>
                <w:sz w:val="20"/>
              </w:rPr>
              <w:t xml:space="preserve"> </w:t>
            </w:r>
            <w:r>
              <w:rPr>
                <w:sz w:val="20"/>
              </w:rPr>
              <w:t xml:space="preserve">Formation</w:t>
            </w:r>
            <w:r>
              <w:rPr>
                <w:spacing w:val="-3"/>
                <w:sz w:val="20"/>
              </w:rPr>
              <w:t xml:space="preserve"> </w:t>
            </w:r>
            <w:r>
              <w:rPr>
                <w:sz w:val="20"/>
              </w:rPr>
              <w:t xml:space="preserve">Soils.</w:t>
            </w:r>
            <w:r>
              <w:rPr>
                <w:spacing w:val="-3"/>
                <w:sz w:val="20"/>
              </w:rPr>
              <w:t xml:space="preserve"> </w:t>
            </w:r>
            <w:r>
              <w:rPr>
                <w:sz w:val="20"/>
              </w:rPr>
              <w:t xml:space="preserve">The</w:t>
            </w:r>
            <w:r>
              <w:rPr>
                <w:spacing w:val="-4"/>
                <w:sz w:val="20"/>
              </w:rPr>
              <w:t xml:space="preserve"> </w:t>
            </w:r>
            <w:r>
              <w:rPr>
                <w:sz w:val="20"/>
              </w:rPr>
              <w:t xml:space="preserve">site</w:t>
            </w:r>
            <w:r>
              <w:rPr>
                <w:spacing w:val="-3"/>
                <w:sz w:val="20"/>
              </w:rPr>
              <w:t xml:space="preserve"> </w:t>
            </w:r>
            <w:r>
              <w:rPr>
                <w:sz w:val="20"/>
              </w:rPr>
              <w:t xml:space="preserve">has</w:t>
            </w:r>
            <w:r>
              <w:rPr>
                <w:spacing w:val="-2"/>
                <w:sz w:val="20"/>
              </w:rPr>
              <w:t xml:space="preserve"> </w:t>
            </w:r>
            <w:r>
              <w:rPr>
                <w:sz w:val="20"/>
              </w:rPr>
              <w:t xml:space="preserve">a</w:t>
            </w:r>
            <w:r>
              <w:rPr>
                <w:spacing w:val="-2"/>
                <w:sz w:val="20"/>
              </w:rPr>
              <w:t xml:space="preserve"> </w:t>
            </w:r>
            <w:r>
              <w:rPr>
                <w:sz w:val="20"/>
              </w:rPr>
              <w:t xml:space="preserve">stiff</w:t>
            </w:r>
            <w:r>
              <w:rPr>
                <w:spacing w:val="-4"/>
                <w:sz w:val="20"/>
              </w:rPr>
              <w:t xml:space="preserve"> </w:t>
            </w:r>
            <w:r>
              <w:rPr>
                <w:sz w:val="20"/>
              </w:rPr>
              <w:t xml:space="preserve">crust</w:t>
            </w:r>
            <w:r>
              <w:rPr>
                <w:spacing w:val="-3"/>
                <w:sz w:val="20"/>
              </w:rPr>
              <w:t xml:space="preserve"> </w:t>
            </w:r>
            <w:r>
              <w:rPr>
                <w:sz w:val="20"/>
              </w:rPr>
              <w:t xml:space="preserve">which</w:t>
            </w:r>
            <w:r>
              <w:rPr>
                <w:spacing w:val="-4"/>
                <w:sz w:val="20"/>
              </w:rPr>
              <w:t xml:space="preserve"> </w:t>
            </w:r>
            <w:r>
              <w:rPr>
                <w:sz w:val="20"/>
              </w:rPr>
              <w:t xml:space="preserve">varies</w:t>
            </w:r>
            <w:r>
              <w:rPr>
                <w:spacing w:val="-2"/>
                <w:sz w:val="20"/>
              </w:rPr>
              <w:t xml:space="preserve"> </w:t>
            </w:r>
            <w:r>
              <w:rPr>
                <w:sz w:val="20"/>
              </w:rPr>
              <w:t xml:space="preserve">in</w:t>
            </w:r>
            <w:r>
              <w:rPr>
                <w:spacing w:val="-3"/>
                <w:sz w:val="20"/>
              </w:rPr>
              <w:t xml:space="preserve"> </w:t>
            </w:r>
            <w:r>
              <w:rPr>
                <w:sz w:val="20"/>
              </w:rPr>
              <w:t xml:space="preserve">thickness</w:t>
            </w:r>
            <w:r>
              <w:rPr>
                <w:spacing w:val="-2"/>
                <w:sz w:val="20"/>
              </w:rPr>
              <w:t xml:space="preserve"> </w:t>
            </w:r>
            <w:r>
              <w:rPr>
                <w:sz w:val="20"/>
              </w:rPr>
              <w:t xml:space="preserve">from</w:t>
            </w:r>
            <w:r>
              <w:rPr>
                <w:spacing w:val="-2"/>
                <w:sz w:val="20"/>
              </w:rPr>
              <w:t xml:space="preserve"> </w:t>
            </w:r>
            <w:r>
              <w:rPr>
                <w:sz w:val="20"/>
              </w:rPr>
              <w:t xml:space="preserve">1.8 -</w:t>
            </w:r>
            <w:r>
              <w:rPr>
                <w:spacing w:val="-2"/>
                <w:sz w:val="20"/>
              </w:rPr>
              <w:t xml:space="preserve"> </w:t>
            </w:r>
            <w:r>
              <w:rPr>
                <w:sz w:val="20"/>
              </w:rPr>
              <w:t xml:space="preserve">2.1m</w:t>
            </w:r>
            <w:r>
              <w:rPr>
                <w:spacing w:val="-2"/>
                <w:sz w:val="20"/>
              </w:rPr>
              <w:t xml:space="preserve"> </w:t>
            </w:r>
            <w:r>
              <w:rPr>
                <w:sz w:val="20"/>
              </w:rPr>
              <w:t xml:space="preserve">in</w:t>
            </w:r>
            <w:r>
              <w:rPr>
                <w:spacing w:val="40"/>
                <w:sz w:val="20"/>
              </w:rPr>
              <w:t xml:space="preserve"> </w:t>
            </w:r>
            <w:r>
              <w:rPr>
                <w:sz w:val="20"/>
              </w:rPr>
              <w:t xml:space="preserve">the north-west region of the site to 0.6 - 1.2m in the south-east region.</w:t>
            </w:r>
            <w:r>
              <w:rPr>
                <w:spacing w:val="40"/>
                <w:sz w:val="20"/>
              </w:rPr>
              <w:t xml:space="preserve"> </w:t>
            </w:r>
            <w:r>
              <w:rPr>
                <w:sz w:val="20"/>
              </w:rPr>
              <w:t xml:space="preserve">Soft soils with typical</w:t>
            </w:r>
            <w:r>
              <w:rPr>
                <w:spacing w:val="40"/>
                <w:sz w:val="20"/>
              </w:rPr>
              <w:t xml:space="preserve"> </w:t>
            </w:r>
            <w:r>
              <w:rPr>
                <w:sz w:val="20"/>
              </w:rPr>
              <w:t xml:space="preserve">undrained</w:t>
            </w:r>
            <w:r>
              <w:rPr>
                <w:spacing w:val="-3"/>
                <w:sz w:val="20"/>
              </w:rPr>
              <w:t xml:space="preserve"> </w:t>
            </w:r>
            <w:r>
              <w:rPr>
                <w:sz w:val="20"/>
              </w:rPr>
              <w:t xml:space="preserve">shear</w:t>
            </w:r>
            <w:r>
              <w:rPr>
                <w:spacing w:val="-1"/>
                <w:sz w:val="20"/>
              </w:rPr>
              <w:t xml:space="preserve"> </w:t>
            </w:r>
            <w:r>
              <w:rPr>
                <w:sz w:val="20"/>
              </w:rPr>
              <w:t xml:space="preserve">strengths of</w:t>
            </w:r>
            <w:r>
              <w:rPr>
                <w:spacing w:val="-1"/>
                <w:sz w:val="20"/>
              </w:rPr>
              <w:t xml:space="preserve"> </w:t>
            </w:r>
            <w:r>
              <w:rPr>
                <w:sz w:val="20"/>
              </w:rPr>
              <w:t xml:space="preserve">16-40kPa</w:t>
            </w:r>
            <w:r>
              <w:rPr>
                <w:spacing w:val="-1"/>
                <w:sz w:val="20"/>
              </w:rPr>
              <w:t xml:space="preserve"> </w:t>
            </w:r>
            <w:r>
              <w:rPr>
                <w:sz w:val="20"/>
              </w:rPr>
              <w:t xml:space="preserve">were</w:t>
            </w:r>
            <w:r>
              <w:rPr>
                <w:spacing w:val="-2"/>
                <w:sz w:val="20"/>
              </w:rPr>
              <w:t xml:space="preserve"> </w:t>
            </w:r>
            <w:r>
              <w:rPr>
                <w:sz w:val="20"/>
              </w:rPr>
              <w:t xml:space="preserve">encountered</w:t>
            </w:r>
            <w:r>
              <w:rPr>
                <w:spacing w:val="-2"/>
                <w:sz w:val="20"/>
              </w:rPr>
              <w:t xml:space="preserve"> </w:t>
            </w:r>
            <w:r>
              <w:rPr>
                <w:sz w:val="20"/>
              </w:rPr>
              <w:t xml:space="preserve">directly</w:t>
            </w:r>
            <w:r>
              <w:rPr>
                <w:spacing w:val="-2"/>
                <w:sz w:val="20"/>
              </w:rPr>
              <w:t xml:space="preserve"> </w:t>
            </w:r>
            <w:r>
              <w:rPr>
                <w:sz w:val="20"/>
              </w:rPr>
              <w:t xml:space="preserve">below</w:t>
            </w:r>
            <w:r>
              <w:rPr>
                <w:spacing w:val="-3"/>
                <w:sz w:val="20"/>
              </w:rPr>
              <w:t xml:space="preserve"> </w:t>
            </w:r>
            <w:r>
              <w:rPr>
                <w:sz w:val="20"/>
              </w:rPr>
              <w:t xml:space="preserve">this</w:t>
            </w:r>
            <w:r>
              <w:rPr>
                <w:spacing w:val="-2"/>
                <w:sz w:val="20"/>
              </w:rPr>
              <w:t xml:space="preserve"> </w:t>
            </w:r>
            <w:r>
              <w:rPr>
                <w:sz w:val="20"/>
              </w:rPr>
              <w:t xml:space="preserve">crust.</w:t>
            </w:r>
            <w:r>
              <w:rPr>
                <w:spacing w:val="-2"/>
                <w:sz w:val="20"/>
              </w:rPr>
              <w:t xml:space="preserve"> </w:t>
            </w:r>
            <w:r>
              <w:rPr>
                <w:sz w:val="20"/>
              </w:rPr>
              <w:t xml:space="preserve">A medium</w:t>
            </w:r>
            <w:r>
              <w:rPr>
                <w:spacing w:val="40"/>
                <w:sz w:val="20"/>
              </w:rPr>
              <w:t xml:space="preserve"> </w:t>
            </w:r>
            <w:r>
              <w:rPr>
                <w:sz w:val="20"/>
              </w:rPr>
              <w:t xml:space="preserve">dense</w:t>
            </w:r>
            <w:r>
              <w:rPr>
                <w:spacing w:val="-2"/>
                <w:sz w:val="20"/>
              </w:rPr>
              <w:t xml:space="preserve"> </w:t>
            </w:r>
            <w:r>
              <w:rPr>
                <w:sz w:val="20"/>
              </w:rPr>
              <w:t xml:space="preserve">sand</w:t>
            </w:r>
            <w:r>
              <w:rPr>
                <w:spacing w:val="-3"/>
                <w:sz w:val="20"/>
              </w:rPr>
              <w:t xml:space="preserve"> </w:t>
            </w:r>
            <w:r>
              <w:rPr>
                <w:sz w:val="20"/>
              </w:rPr>
              <w:t xml:space="preserve">layer was observed</w:t>
            </w:r>
            <w:r>
              <w:rPr>
                <w:spacing w:val="-3"/>
                <w:sz w:val="20"/>
              </w:rPr>
              <w:t xml:space="preserve"> </w:t>
            </w:r>
            <w:r>
              <w:rPr>
                <w:sz w:val="20"/>
              </w:rPr>
              <w:t xml:space="preserve">between depths</w:t>
            </w:r>
            <w:r>
              <w:rPr>
                <w:spacing w:val="-1"/>
                <w:sz w:val="20"/>
              </w:rPr>
              <w:t xml:space="preserve"> </w:t>
            </w:r>
            <w:r>
              <w:rPr>
                <w:sz w:val="20"/>
              </w:rPr>
              <w:t xml:space="preserve">of</w:t>
            </w:r>
            <w:r>
              <w:rPr>
                <w:spacing w:val="-1"/>
                <w:sz w:val="20"/>
              </w:rPr>
              <w:t xml:space="preserve"> </w:t>
            </w:r>
            <w:r>
              <w:rPr>
                <w:sz w:val="20"/>
              </w:rPr>
              <w:t xml:space="preserve">between 7.5m</w:t>
            </w:r>
            <w:r>
              <w:rPr>
                <w:spacing w:val="-1"/>
                <w:sz w:val="20"/>
              </w:rPr>
              <w:t xml:space="preserve"> </w:t>
            </w:r>
            <w:r>
              <w:rPr>
                <w:sz w:val="20"/>
              </w:rPr>
              <w:t xml:space="preserve">and</w:t>
            </w:r>
            <w:r>
              <w:rPr>
                <w:spacing w:val="-3"/>
                <w:sz w:val="20"/>
              </w:rPr>
              <w:t xml:space="preserve"> </w:t>
            </w:r>
            <w:r>
              <w:rPr>
                <w:sz w:val="20"/>
              </w:rPr>
              <w:t xml:space="preserve">12m</w:t>
            </w:r>
            <w:r>
              <w:rPr>
                <w:spacing w:val="-1"/>
                <w:sz w:val="20"/>
              </w:rPr>
              <w:t xml:space="preserve"> </w:t>
            </w:r>
            <w:r>
              <w:rPr>
                <w:sz w:val="20"/>
              </w:rPr>
              <w:t xml:space="preserve">below</w:t>
            </w:r>
            <w:r>
              <w:rPr>
                <w:spacing w:val="-2"/>
                <w:sz w:val="20"/>
              </w:rPr>
              <w:t xml:space="preserve"> </w:t>
            </w:r>
            <w:r>
              <w:rPr>
                <w:sz w:val="20"/>
              </w:rPr>
              <w:t xml:space="preserve">ground</w:t>
            </w:r>
            <w:r>
              <w:rPr>
                <w:spacing w:val="-3"/>
                <w:sz w:val="20"/>
              </w:rPr>
              <w:t xml:space="preserve"> </w:t>
            </w:r>
            <w:r>
              <w:rPr>
                <w:sz w:val="20"/>
              </w:rPr>
              <w:t xml:space="preserve">level</w:t>
            </w:r>
            <w:r>
              <w:rPr>
                <w:spacing w:val="40"/>
                <w:sz w:val="20"/>
              </w:rPr>
              <w:t xml:space="preserve"> </w:t>
            </w:r>
            <w:r>
              <w:rPr>
                <w:sz w:val="20"/>
              </w:rPr>
              <w:t xml:space="preserve">which may be suitable for pile embedment.</w:t>
            </w:r>
          </w:p>
          <w:p w:rsidR="00A154E5">
            <w:pPr>
              <w:pStyle w:val="TableParagraph"/>
              <w:spacing w:before="120"/>
              <w:ind w:left="63"/>
              <w:rPr>
                <w:b/>
                <w:sz w:val="20"/>
              </w:rPr>
            </w:pPr>
            <w:r>
              <w:rPr>
                <w:b/>
                <w:sz w:val="20"/>
              </w:rPr>
              <w:t xml:space="preserve">Refer</w:t>
            </w:r>
            <w:r>
              <w:rPr>
                <w:b/>
                <w:spacing w:val="-5"/>
                <w:sz w:val="20"/>
              </w:rPr>
              <w:t xml:space="preserve"> </w:t>
            </w:r>
            <w:r>
              <w:rPr>
                <w:b/>
                <w:sz w:val="20"/>
              </w:rPr>
              <w:t xml:space="preserve">to</w:t>
            </w:r>
            <w:r>
              <w:rPr>
                <w:b/>
                <w:spacing w:val="-4"/>
                <w:sz w:val="20"/>
              </w:rPr>
              <w:t xml:space="preserve"> </w:t>
            </w:r>
            <w:r>
              <w:rPr>
                <w:b/>
                <w:sz w:val="20"/>
              </w:rPr>
              <w:t xml:space="preserve">Section</w:t>
            </w:r>
            <w:r>
              <w:rPr>
                <w:b/>
                <w:spacing w:val="-5"/>
                <w:sz w:val="20"/>
              </w:rPr>
              <w:t xml:space="preserve"> </w:t>
            </w:r>
            <w:r>
              <w:rPr>
                <w:b/>
                <w:sz w:val="20"/>
              </w:rPr>
              <w:t xml:space="preserve">5</w:t>
            </w:r>
            <w:r>
              <w:rPr>
                <w:b/>
                <w:spacing w:val="-4"/>
                <w:sz w:val="20"/>
              </w:rPr>
              <w:t xml:space="preserve"> </w:t>
            </w:r>
            <w:r>
              <w:rPr>
                <w:b/>
                <w:sz w:val="20"/>
              </w:rPr>
              <w:t xml:space="preserve">of</w:t>
            </w:r>
            <w:r>
              <w:rPr>
                <w:b/>
                <w:spacing w:val="-2"/>
                <w:sz w:val="20"/>
              </w:rPr>
              <w:t xml:space="preserve"> </w:t>
            </w:r>
            <w:r>
              <w:rPr>
                <w:b/>
                <w:sz w:val="20"/>
              </w:rPr>
              <w:t xml:space="preserve">this</w:t>
            </w:r>
            <w:r>
              <w:rPr>
                <w:b/>
                <w:spacing w:val="-4"/>
                <w:sz w:val="20"/>
              </w:rPr>
              <w:t xml:space="preserve"> </w:t>
            </w:r>
            <w:r>
              <w:rPr>
                <w:b/>
                <w:sz w:val="20"/>
              </w:rPr>
              <w:t xml:space="preserve">report</w:t>
            </w:r>
            <w:r>
              <w:rPr>
                <w:b/>
                <w:spacing w:val="-6"/>
                <w:sz w:val="20"/>
              </w:rPr>
              <w:t xml:space="preserve"> </w:t>
            </w:r>
            <w:r>
              <w:rPr>
                <w:b/>
                <w:sz w:val="20"/>
              </w:rPr>
              <w:t xml:space="preserve">for</w:t>
            </w:r>
            <w:r>
              <w:rPr>
                <w:b/>
                <w:spacing w:val="-4"/>
                <w:sz w:val="20"/>
              </w:rPr>
              <w:t xml:space="preserve"> </w:t>
            </w:r>
            <w:r>
              <w:rPr>
                <w:b/>
                <w:sz w:val="20"/>
              </w:rPr>
              <w:t xml:space="preserve">more</w:t>
            </w:r>
            <w:r>
              <w:rPr>
                <w:b/>
                <w:spacing w:val="-1"/>
                <w:sz w:val="20"/>
              </w:rPr>
              <w:t xml:space="preserve"> </w:t>
            </w:r>
            <w:r>
              <w:rPr>
                <w:b/>
                <w:spacing w:val="-2"/>
                <w:sz w:val="20"/>
              </w:rPr>
              <w:t xml:space="preserve">detail.</w:t>
            </w:r>
          </w:p>
        </w:tc>
      </w:tr>
      <w:tr w14:paraId="6D90B8BE" w14:textId="77777777">
        <w:tblPrEx>
          <w:tblW w:w="0" w:type="auto"/>
          <w:tblInd w:w="216" w:type="dxa"/>
          <w:tblLayout w:type="fixed"/>
          <w:tblCellMar>
            <w:left w:w="0" w:type="dxa"/>
            <w:right w:w="0" w:type="dxa"/>
          </w:tblCellMar>
          <w:tblLook w:val="01E0"/>
        </w:tblPrEx>
        <w:trPr>
          <w:trHeight w:val="3246"/>
        </w:trPr>
        <w:tc>
          <w:tcPr>
            <w:tcW w:w="1653" w:type="dxa"/>
            <w:tcBorders>
              <w:top w:val="single" w:sz="36" w:space="0" w:color="FFFFFF"/>
              <w:left w:val="nil"/>
              <w:bottom w:val="single" w:sz="36" w:space="0" w:color="FFFFFF"/>
              <w:right w:val="single" w:sz="36" w:space="0" w:color="FFFFFF"/>
            </w:tcBorders>
            <w:shd w:val="clear" w:color="auto" w:fill="F1F1F1"/>
          </w:tcPr>
          <w:p w:rsidR="00A154E5">
            <w:pPr>
              <w:pStyle w:val="TableParagraph"/>
              <w:spacing w:before="82" w:line="264" w:lineRule="auto"/>
              <w:ind w:left="64" w:right="547"/>
              <w:rPr>
                <w:sz w:val="20"/>
              </w:rPr>
            </w:pPr>
            <w:r>
              <w:rPr>
                <w:spacing w:val="-2"/>
                <w:sz w:val="20"/>
              </w:rPr>
              <w:t xml:space="preserve">General</w:t>
            </w:r>
            <w:r>
              <w:rPr>
                <w:spacing w:val="40"/>
                <w:sz w:val="20"/>
              </w:rPr>
              <w:t xml:space="preserve"> </w:t>
            </w:r>
            <w:r>
              <w:rPr>
                <w:spacing w:val="-2"/>
                <w:sz w:val="20"/>
              </w:rPr>
              <w:t xml:space="preserve">earthworks</w:t>
            </w:r>
          </w:p>
        </w:tc>
        <w:tc>
          <w:tcPr>
            <w:tcW w:w="7918" w:type="dxa"/>
            <w:tcBorders>
              <w:top w:val="single" w:sz="36" w:space="0" w:color="FFFFFF"/>
              <w:left w:val="single" w:sz="36" w:space="0" w:color="FFFFFF"/>
              <w:bottom w:val="single" w:sz="36" w:space="0" w:color="FFFFFF"/>
              <w:right w:val="nil"/>
            </w:tcBorders>
            <w:shd w:val="clear" w:color="auto" w:fill="F1F1F1"/>
          </w:tcPr>
          <w:p w:rsidR="00A154E5">
            <w:pPr>
              <w:pStyle w:val="TableParagraph"/>
              <w:spacing w:before="82"/>
              <w:ind w:left="63"/>
              <w:rPr>
                <w:sz w:val="20"/>
              </w:rPr>
            </w:pPr>
            <w:r>
              <w:rPr>
                <w:sz w:val="20"/>
              </w:rPr>
              <w:t xml:space="preserve">Topsoil</w:t>
            </w:r>
            <w:r>
              <w:rPr>
                <w:spacing w:val="-5"/>
                <w:sz w:val="20"/>
              </w:rPr>
              <w:t xml:space="preserve"> </w:t>
            </w:r>
            <w:r>
              <w:rPr>
                <w:sz w:val="20"/>
              </w:rPr>
              <w:t xml:space="preserve">and</w:t>
            </w:r>
            <w:r>
              <w:rPr>
                <w:spacing w:val="-4"/>
                <w:sz w:val="20"/>
              </w:rPr>
              <w:t xml:space="preserve"> </w:t>
            </w:r>
            <w:r>
              <w:rPr>
                <w:sz w:val="20"/>
              </w:rPr>
              <w:t xml:space="preserve">fill</w:t>
            </w:r>
            <w:r>
              <w:rPr>
                <w:spacing w:val="-4"/>
                <w:sz w:val="20"/>
              </w:rPr>
              <w:t xml:space="preserve"> </w:t>
            </w:r>
            <w:r>
              <w:rPr>
                <w:sz w:val="20"/>
              </w:rPr>
              <w:t xml:space="preserve">are</w:t>
            </w:r>
            <w:r>
              <w:rPr>
                <w:spacing w:val="-4"/>
                <w:sz w:val="20"/>
              </w:rPr>
              <w:t xml:space="preserve"> </w:t>
            </w:r>
            <w:r>
              <w:rPr>
                <w:sz w:val="20"/>
              </w:rPr>
              <w:t xml:space="preserve">generally</w:t>
            </w:r>
            <w:r>
              <w:rPr>
                <w:spacing w:val="-3"/>
                <w:sz w:val="20"/>
              </w:rPr>
              <w:t xml:space="preserve"> </w:t>
            </w:r>
            <w:r>
              <w:rPr>
                <w:sz w:val="20"/>
              </w:rPr>
              <w:t xml:space="preserve">present</w:t>
            </w:r>
            <w:r>
              <w:rPr>
                <w:spacing w:val="-5"/>
                <w:sz w:val="20"/>
              </w:rPr>
              <w:t xml:space="preserve"> </w:t>
            </w:r>
            <w:r>
              <w:rPr>
                <w:sz w:val="20"/>
              </w:rPr>
              <w:t xml:space="preserve">to</w:t>
            </w:r>
            <w:r>
              <w:rPr>
                <w:spacing w:val="-4"/>
                <w:sz w:val="20"/>
              </w:rPr>
              <w:t xml:space="preserve"> </w:t>
            </w:r>
            <w:r>
              <w:rPr>
                <w:sz w:val="20"/>
              </w:rPr>
              <w:t xml:space="preserve">a</w:t>
            </w:r>
            <w:r>
              <w:rPr>
                <w:spacing w:val="-3"/>
                <w:sz w:val="20"/>
              </w:rPr>
              <w:t xml:space="preserve"> </w:t>
            </w:r>
            <w:r>
              <w:rPr>
                <w:sz w:val="20"/>
              </w:rPr>
              <w:t xml:space="preserve">depth</w:t>
            </w:r>
            <w:r>
              <w:rPr>
                <w:spacing w:val="-4"/>
                <w:sz w:val="20"/>
              </w:rPr>
              <w:t xml:space="preserve"> </w:t>
            </w:r>
            <w:r>
              <w:rPr>
                <w:sz w:val="20"/>
              </w:rPr>
              <w:t xml:space="preserve">of</w:t>
            </w:r>
            <w:r>
              <w:rPr>
                <w:spacing w:val="-5"/>
                <w:sz w:val="20"/>
              </w:rPr>
              <w:t xml:space="preserve"> </w:t>
            </w:r>
            <w:r>
              <w:rPr>
                <w:sz w:val="20"/>
              </w:rPr>
              <w:t xml:space="preserve">up</w:t>
            </w:r>
            <w:r>
              <w:rPr>
                <w:spacing w:val="-4"/>
                <w:sz w:val="20"/>
              </w:rPr>
              <w:t xml:space="preserve"> </w:t>
            </w:r>
            <w:r>
              <w:rPr>
                <w:sz w:val="20"/>
              </w:rPr>
              <w:t xml:space="preserve">to</w:t>
            </w:r>
            <w:r>
              <w:rPr>
                <w:spacing w:val="-4"/>
                <w:sz w:val="20"/>
              </w:rPr>
              <w:t xml:space="preserve"> </w:t>
            </w:r>
            <w:r>
              <w:rPr>
                <w:spacing w:val="-2"/>
                <w:sz w:val="20"/>
              </w:rPr>
              <w:t xml:space="preserve">0.6m.</w:t>
            </w:r>
          </w:p>
          <w:p w:rsidR="00A154E5">
            <w:pPr>
              <w:pStyle w:val="TableParagraph"/>
              <w:spacing w:before="145" w:line="264" w:lineRule="auto"/>
              <w:ind w:left="63" w:right="44"/>
              <w:rPr>
                <w:sz w:val="20"/>
              </w:rPr>
            </w:pPr>
            <w:r>
              <w:rPr>
                <w:sz w:val="20"/>
              </w:rPr>
              <w:t xml:space="preserve">Generally, excavation and earthworks should be </w:t>
            </w:r>
            <w:r>
              <w:rPr>
                <w:sz w:val="20"/>
              </w:rPr>
              <w:t xml:space="preserve">minimised</w:t>
            </w:r>
            <w:r>
              <w:rPr>
                <w:sz w:val="20"/>
              </w:rPr>
              <w:t xml:space="preserve"> at this site, due to the thin crust</w:t>
            </w:r>
            <w:r>
              <w:rPr>
                <w:spacing w:val="40"/>
                <w:sz w:val="20"/>
              </w:rPr>
              <w:t xml:space="preserve"> </w:t>
            </w:r>
            <w:r>
              <w:rPr>
                <w:sz w:val="20"/>
              </w:rPr>
              <w:t xml:space="preserve">with</w:t>
            </w:r>
            <w:r>
              <w:rPr>
                <w:spacing w:val="-4"/>
                <w:sz w:val="20"/>
              </w:rPr>
              <w:t xml:space="preserve"> </w:t>
            </w:r>
            <w:r>
              <w:rPr>
                <w:sz w:val="20"/>
              </w:rPr>
              <w:t xml:space="preserve">weak</w:t>
            </w:r>
            <w:r>
              <w:rPr>
                <w:spacing w:val="-5"/>
                <w:sz w:val="20"/>
              </w:rPr>
              <w:t xml:space="preserve"> </w:t>
            </w:r>
            <w:r>
              <w:rPr>
                <w:sz w:val="20"/>
              </w:rPr>
              <w:t xml:space="preserve">compressible</w:t>
            </w:r>
            <w:r>
              <w:rPr>
                <w:spacing w:val="-5"/>
                <w:sz w:val="20"/>
              </w:rPr>
              <w:t xml:space="preserve"> </w:t>
            </w:r>
            <w:r>
              <w:rPr>
                <w:sz w:val="20"/>
              </w:rPr>
              <w:t xml:space="preserve">underlying</w:t>
            </w:r>
            <w:r>
              <w:rPr>
                <w:spacing w:val="-4"/>
                <w:sz w:val="20"/>
              </w:rPr>
              <w:t xml:space="preserve"> </w:t>
            </w:r>
            <w:r>
              <w:rPr>
                <w:sz w:val="20"/>
              </w:rPr>
              <w:t xml:space="preserve">soils.</w:t>
            </w:r>
            <w:r>
              <w:rPr>
                <w:spacing w:val="-4"/>
                <w:sz w:val="20"/>
              </w:rPr>
              <w:t xml:space="preserve"> </w:t>
            </w:r>
            <w:r>
              <w:rPr>
                <w:sz w:val="20"/>
              </w:rPr>
              <w:t xml:space="preserve">Any</w:t>
            </w:r>
            <w:r>
              <w:rPr>
                <w:spacing w:val="-3"/>
                <w:sz w:val="20"/>
              </w:rPr>
              <w:t xml:space="preserve"> </w:t>
            </w:r>
            <w:r>
              <w:rPr>
                <w:sz w:val="20"/>
              </w:rPr>
              <w:t xml:space="preserve">non-engineered</w:t>
            </w:r>
            <w:r>
              <w:rPr>
                <w:spacing w:val="-5"/>
                <w:sz w:val="20"/>
              </w:rPr>
              <w:t xml:space="preserve"> </w:t>
            </w:r>
            <w:r>
              <w:rPr>
                <w:sz w:val="20"/>
              </w:rPr>
              <w:t xml:space="preserve">fill,</w:t>
            </w:r>
            <w:r>
              <w:rPr>
                <w:spacing w:val="-4"/>
                <w:sz w:val="20"/>
              </w:rPr>
              <w:t xml:space="preserve"> </w:t>
            </w:r>
            <w:r>
              <w:rPr>
                <w:sz w:val="20"/>
              </w:rPr>
              <w:t xml:space="preserve">topsoil,</w:t>
            </w:r>
            <w:r>
              <w:rPr>
                <w:spacing w:val="-4"/>
                <w:sz w:val="20"/>
              </w:rPr>
              <w:t xml:space="preserve"> </w:t>
            </w:r>
            <w:r>
              <w:rPr>
                <w:sz w:val="20"/>
              </w:rPr>
              <w:t xml:space="preserve">or</w:t>
            </w:r>
            <w:r>
              <w:rPr>
                <w:spacing w:val="-4"/>
                <w:sz w:val="20"/>
              </w:rPr>
              <w:t xml:space="preserve"> </w:t>
            </w:r>
            <w:r>
              <w:rPr>
                <w:sz w:val="20"/>
              </w:rPr>
              <w:t xml:space="preserve">other</w:t>
            </w:r>
            <w:r>
              <w:rPr>
                <w:spacing w:val="-3"/>
                <w:sz w:val="20"/>
              </w:rPr>
              <w:t xml:space="preserve"> </w:t>
            </w:r>
            <w:r>
              <w:rPr>
                <w:sz w:val="20"/>
              </w:rPr>
              <w:t xml:space="preserve">unsuitable</w:t>
            </w:r>
            <w:r>
              <w:rPr>
                <w:spacing w:val="40"/>
                <w:sz w:val="20"/>
              </w:rPr>
              <w:t xml:space="preserve"> </w:t>
            </w:r>
            <w:r>
              <w:rPr>
                <w:sz w:val="20"/>
              </w:rPr>
              <w:t xml:space="preserve">material encountered</w:t>
            </w:r>
            <w:r>
              <w:rPr>
                <w:spacing w:val="-1"/>
                <w:sz w:val="20"/>
              </w:rPr>
              <w:t xml:space="preserve"> </w:t>
            </w:r>
            <w:r>
              <w:rPr>
                <w:sz w:val="20"/>
              </w:rPr>
              <w:t xml:space="preserve">at subgrade</w:t>
            </w:r>
            <w:r>
              <w:rPr>
                <w:spacing w:val="-1"/>
                <w:sz w:val="20"/>
              </w:rPr>
              <w:t xml:space="preserve"> </w:t>
            </w:r>
            <w:r>
              <w:rPr>
                <w:sz w:val="20"/>
              </w:rPr>
              <w:t xml:space="preserve">level in the</w:t>
            </w:r>
            <w:r>
              <w:rPr>
                <w:spacing w:val="-1"/>
                <w:sz w:val="20"/>
              </w:rPr>
              <w:t xml:space="preserve"> </w:t>
            </w:r>
            <w:r>
              <w:rPr>
                <w:sz w:val="20"/>
              </w:rPr>
              <w:t xml:space="preserve">building platforms and</w:t>
            </w:r>
            <w:r>
              <w:rPr>
                <w:spacing w:val="-1"/>
                <w:sz w:val="20"/>
              </w:rPr>
              <w:t xml:space="preserve"> </w:t>
            </w:r>
            <w:r>
              <w:rPr>
                <w:sz w:val="20"/>
              </w:rPr>
              <w:t xml:space="preserve">pavement areas should</w:t>
            </w:r>
            <w:r>
              <w:rPr>
                <w:spacing w:val="40"/>
                <w:sz w:val="20"/>
              </w:rPr>
              <w:t xml:space="preserve"> </w:t>
            </w:r>
            <w:r>
              <w:rPr>
                <w:sz w:val="20"/>
              </w:rPr>
              <w:t xml:space="preserve">be</w:t>
            </w:r>
            <w:r>
              <w:rPr>
                <w:spacing w:val="-3"/>
                <w:sz w:val="20"/>
              </w:rPr>
              <w:t xml:space="preserve"> </w:t>
            </w:r>
            <w:r>
              <w:rPr>
                <w:sz w:val="20"/>
              </w:rPr>
              <w:t xml:space="preserve">inspected</w:t>
            </w:r>
            <w:r>
              <w:rPr>
                <w:spacing w:val="-3"/>
                <w:sz w:val="20"/>
              </w:rPr>
              <w:t xml:space="preserve"> </w:t>
            </w:r>
            <w:r>
              <w:rPr>
                <w:sz w:val="20"/>
              </w:rPr>
              <w:t xml:space="preserve">and</w:t>
            </w:r>
            <w:r>
              <w:rPr>
                <w:spacing w:val="-3"/>
                <w:sz w:val="20"/>
              </w:rPr>
              <w:t xml:space="preserve"> </w:t>
            </w:r>
            <w:r>
              <w:rPr>
                <w:sz w:val="20"/>
              </w:rPr>
              <w:t xml:space="preserve">tested</w:t>
            </w:r>
            <w:r>
              <w:rPr>
                <w:spacing w:val="-3"/>
                <w:sz w:val="20"/>
              </w:rPr>
              <w:t xml:space="preserve"> </w:t>
            </w:r>
            <w:r>
              <w:rPr>
                <w:sz w:val="20"/>
              </w:rPr>
              <w:t xml:space="preserve">during</w:t>
            </w:r>
            <w:r>
              <w:rPr>
                <w:spacing w:val="-2"/>
                <w:sz w:val="20"/>
              </w:rPr>
              <w:t xml:space="preserve"> </w:t>
            </w:r>
            <w:r>
              <w:rPr>
                <w:sz w:val="20"/>
              </w:rPr>
              <w:t xml:space="preserve">construction,</w:t>
            </w:r>
            <w:r>
              <w:rPr>
                <w:spacing w:val="-2"/>
                <w:sz w:val="20"/>
              </w:rPr>
              <w:t xml:space="preserve"> </w:t>
            </w:r>
            <w:r>
              <w:rPr>
                <w:sz w:val="20"/>
              </w:rPr>
              <w:t xml:space="preserve">and may</w:t>
            </w:r>
            <w:r>
              <w:rPr>
                <w:spacing w:val="-1"/>
                <w:sz w:val="20"/>
              </w:rPr>
              <w:t xml:space="preserve"> </w:t>
            </w:r>
            <w:r>
              <w:rPr>
                <w:sz w:val="20"/>
              </w:rPr>
              <w:t xml:space="preserve">need</w:t>
            </w:r>
            <w:r>
              <w:rPr>
                <w:spacing w:val="-1"/>
                <w:sz w:val="20"/>
              </w:rPr>
              <w:t xml:space="preserve"> </w:t>
            </w:r>
            <w:r>
              <w:rPr>
                <w:sz w:val="20"/>
              </w:rPr>
              <w:t xml:space="preserve">to</w:t>
            </w:r>
            <w:r>
              <w:rPr>
                <w:spacing w:val="-2"/>
                <w:sz w:val="20"/>
              </w:rPr>
              <w:t xml:space="preserve"> </w:t>
            </w:r>
            <w:r>
              <w:rPr>
                <w:sz w:val="20"/>
              </w:rPr>
              <w:t xml:space="preserve">be</w:t>
            </w:r>
            <w:r>
              <w:rPr>
                <w:spacing w:val="-3"/>
                <w:sz w:val="20"/>
              </w:rPr>
              <w:t xml:space="preserve"> </w:t>
            </w:r>
            <w:r>
              <w:rPr>
                <w:sz w:val="20"/>
              </w:rPr>
              <w:t xml:space="preserve">removed</w:t>
            </w:r>
            <w:r>
              <w:rPr>
                <w:spacing w:val="-3"/>
                <w:sz w:val="20"/>
              </w:rPr>
              <w:t xml:space="preserve"> </w:t>
            </w:r>
            <w:r>
              <w:rPr>
                <w:sz w:val="20"/>
              </w:rPr>
              <w:t xml:space="preserve">and</w:t>
            </w:r>
            <w:r>
              <w:rPr>
                <w:spacing w:val="-3"/>
                <w:sz w:val="20"/>
              </w:rPr>
              <w:t xml:space="preserve"> </w:t>
            </w:r>
            <w:r>
              <w:rPr>
                <w:sz w:val="20"/>
              </w:rPr>
              <w:t xml:space="preserve">replaced</w:t>
            </w:r>
            <w:r>
              <w:rPr>
                <w:spacing w:val="-1"/>
                <w:sz w:val="20"/>
              </w:rPr>
              <w:t xml:space="preserve"> </w:t>
            </w:r>
            <w:r>
              <w:rPr>
                <w:sz w:val="20"/>
              </w:rPr>
              <w:t xml:space="preserve">with</w:t>
            </w:r>
            <w:r>
              <w:rPr>
                <w:spacing w:val="40"/>
                <w:sz w:val="20"/>
              </w:rPr>
              <w:t xml:space="preserve"> </w:t>
            </w:r>
            <w:r>
              <w:rPr>
                <w:sz w:val="20"/>
              </w:rPr>
              <w:t xml:space="preserve">engineered fill. Any fill should be placed in accordance with an appropriate earthworks</w:t>
            </w:r>
          </w:p>
          <w:p w:rsidR="00A154E5">
            <w:pPr>
              <w:pStyle w:val="TableParagraph"/>
              <w:spacing w:line="264" w:lineRule="auto"/>
              <w:ind w:left="63"/>
              <w:rPr>
                <w:sz w:val="20"/>
              </w:rPr>
            </w:pPr>
            <w:r>
              <w:rPr>
                <w:sz w:val="20"/>
              </w:rPr>
              <w:t xml:space="preserve">specification,</w:t>
            </w:r>
            <w:r>
              <w:rPr>
                <w:spacing w:val="-3"/>
                <w:sz w:val="20"/>
              </w:rPr>
              <w:t xml:space="preserve"> </w:t>
            </w:r>
            <w:r>
              <w:rPr>
                <w:sz w:val="20"/>
              </w:rPr>
              <w:t xml:space="preserve">and</w:t>
            </w:r>
            <w:r>
              <w:rPr>
                <w:spacing w:val="-4"/>
                <w:sz w:val="20"/>
              </w:rPr>
              <w:t xml:space="preserve"> </w:t>
            </w:r>
            <w:r>
              <w:rPr>
                <w:sz w:val="20"/>
              </w:rPr>
              <w:t xml:space="preserve">should</w:t>
            </w:r>
            <w:r>
              <w:rPr>
                <w:spacing w:val="-2"/>
                <w:sz w:val="20"/>
              </w:rPr>
              <w:t xml:space="preserve"> </w:t>
            </w:r>
            <w:r>
              <w:rPr>
                <w:sz w:val="20"/>
              </w:rPr>
              <w:t xml:space="preserve">be</w:t>
            </w:r>
            <w:r>
              <w:rPr>
                <w:spacing w:val="-4"/>
                <w:sz w:val="20"/>
              </w:rPr>
              <w:t xml:space="preserve"> </w:t>
            </w:r>
            <w:r>
              <w:rPr>
                <w:sz w:val="20"/>
              </w:rPr>
              <w:t xml:space="preserve">carried</w:t>
            </w:r>
            <w:r>
              <w:rPr>
                <w:spacing w:val="-4"/>
                <w:sz w:val="20"/>
              </w:rPr>
              <w:t xml:space="preserve"> </w:t>
            </w:r>
            <w:r>
              <w:rPr>
                <w:sz w:val="20"/>
              </w:rPr>
              <w:t xml:space="preserve">out</w:t>
            </w:r>
            <w:r>
              <w:rPr>
                <w:spacing w:val="-3"/>
                <w:sz w:val="20"/>
              </w:rPr>
              <w:t xml:space="preserve"> </w:t>
            </w:r>
            <w:r>
              <w:rPr>
                <w:sz w:val="20"/>
              </w:rPr>
              <w:t xml:space="preserve">in</w:t>
            </w:r>
            <w:r>
              <w:rPr>
                <w:spacing w:val="-3"/>
                <w:sz w:val="20"/>
              </w:rPr>
              <w:t xml:space="preserve"> </w:t>
            </w:r>
            <w:r>
              <w:rPr>
                <w:sz w:val="20"/>
              </w:rPr>
              <w:t xml:space="preserve">accordance</w:t>
            </w:r>
            <w:r>
              <w:rPr>
                <w:spacing w:val="-4"/>
                <w:sz w:val="20"/>
              </w:rPr>
              <w:t xml:space="preserve"> </w:t>
            </w:r>
            <w:r>
              <w:rPr>
                <w:sz w:val="20"/>
              </w:rPr>
              <w:t xml:space="preserve">with</w:t>
            </w:r>
            <w:r>
              <w:rPr>
                <w:spacing w:val="-1"/>
                <w:sz w:val="20"/>
              </w:rPr>
              <w:t xml:space="preserve"> </w:t>
            </w:r>
            <w:r>
              <w:rPr>
                <w:sz w:val="20"/>
              </w:rPr>
              <w:t xml:space="preserve">NZS</w:t>
            </w:r>
            <w:r>
              <w:rPr>
                <w:spacing w:val="-2"/>
                <w:sz w:val="20"/>
              </w:rPr>
              <w:t xml:space="preserve"> </w:t>
            </w:r>
            <w:r>
              <w:rPr>
                <w:sz w:val="20"/>
              </w:rPr>
              <w:t xml:space="preserve">4431:1989. An</w:t>
            </w:r>
            <w:r>
              <w:rPr>
                <w:spacing w:val="-5"/>
                <w:sz w:val="20"/>
              </w:rPr>
              <w:t xml:space="preserve"> </w:t>
            </w:r>
            <w:r>
              <w:rPr>
                <w:sz w:val="20"/>
              </w:rPr>
              <w:t xml:space="preserve">assessment</w:t>
            </w:r>
            <w:r>
              <w:rPr>
                <w:spacing w:val="-2"/>
                <w:sz w:val="20"/>
              </w:rPr>
              <w:t xml:space="preserve"> </w:t>
            </w:r>
            <w:r>
              <w:rPr>
                <w:sz w:val="20"/>
              </w:rPr>
              <w:t xml:space="preserve">of</w:t>
            </w:r>
            <w:r>
              <w:rPr>
                <w:spacing w:val="40"/>
                <w:sz w:val="20"/>
              </w:rPr>
              <w:t xml:space="preserve"> </w:t>
            </w:r>
            <w:r>
              <w:rPr>
                <w:sz w:val="20"/>
              </w:rPr>
              <w:t xml:space="preserve">consolidation settlement should be carried out if fill is to be placed.</w:t>
            </w:r>
          </w:p>
          <w:p w:rsidR="00A154E5">
            <w:pPr>
              <w:pStyle w:val="TableParagraph"/>
              <w:spacing w:before="120"/>
              <w:ind w:left="63"/>
              <w:rPr>
                <w:sz w:val="20"/>
              </w:rPr>
            </w:pPr>
            <w:r>
              <w:rPr>
                <w:sz w:val="20"/>
              </w:rPr>
              <w:t xml:space="preserve">Any</w:t>
            </w:r>
            <w:r>
              <w:rPr>
                <w:spacing w:val="-5"/>
                <w:sz w:val="20"/>
              </w:rPr>
              <w:t xml:space="preserve"> </w:t>
            </w:r>
            <w:r>
              <w:rPr>
                <w:sz w:val="20"/>
              </w:rPr>
              <w:t xml:space="preserve">excavation</w:t>
            </w:r>
            <w:r>
              <w:rPr>
                <w:spacing w:val="-4"/>
                <w:sz w:val="20"/>
              </w:rPr>
              <w:t xml:space="preserve"> </w:t>
            </w:r>
            <w:r>
              <w:rPr>
                <w:sz w:val="20"/>
              </w:rPr>
              <w:t xml:space="preserve">deeper</w:t>
            </w:r>
            <w:r>
              <w:rPr>
                <w:spacing w:val="-5"/>
                <w:sz w:val="20"/>
              </w:rPr>
              <w:t xml:space="preserve"> </w:t>
            </w:r>
            <w:r>
              <w:rPr>
                <w:sz w:val="20"/>
              </w:rPr>
              <w:t xml:space="preserve">than</w:t>
            </w:r>
            <w:r>
              <w:rPr>
                <w:spacing w:val="-5"/>
                <w:sz w:val="20"/>
              </w:rPr>
              <w:t xml:space="preserve"> </w:t>
            </w:r>
            <w:r>
              <w:rPr>
                <w:sz w:val="20"/>
              </w:rPr>
              <w:t xml:space="preserve">1m</w:t>
            </w:r>
            <w:r>
              <w:rPr>
                <w:spacing w:val="-5"/>
                <w:sz w:val="20"/>
              </w:rPr>
              <w:t xml:space="preserve"> </w:t>
            </w:r>
            <w:r>
              <w:rPr>
                <w:sz w:val="20"/>
              </w:rPr>
              <w:t xml:space="preserve">at</w:t>
            </w:r>
            <w:r>
              <w:rPr>
                <w:spacing w:val="-2"/>
                <w:sz w:val="20"/>
              </w:rPr>
              <w:t xml:space="preserve"> </w:t>
            </w:r>
            <w:r>
              <w:rPr>
                <w:sz w:val="20"/>
              </w:rPr>
              <w:t xml:space="preserve">this</w:t>
            </w:r>
            <w:r>
              <w:rPr>
                <w:spacing w:val="-5"/>
                <w:sz w:val="20"/>
              </w:rPr>
              <w:t xml:space="preserve"> </w:t>
            </w:r>
            <w:r>
              <w:rPr>
                <w:sz w:val="20"/>
              </w:rPr>
              <w:t xml:space="preserve">site</w:t>
            </w:r>
            <w:r>
              <w:rPr>
                <w:spacing w:val="-6"/>
                <w:sz w:val="20"/>
              </w:rPr>
              <w:t xml:space="preserve"> </w:t>
            </w:r>
            <w:r>
              <w:rPr>
                <w:sz w:val="20"/>
              </w:rPr>
              <w:t xml:space="preserve">may</w:t>
            </w:r>
            <w:r>
              <w:rPr>
                <w:spacing w:val="-4"/>
                <w:sz w:val="20"/>
              </w:rPr>
              <w:t xml:space="preserve"> </w:t>
            </w:r>
            <w:r>
              <w:rPr>
                <w:sz w:val="20"/>
              </w:rPr>
              <w:t xml:space="preserve">encounter</w:t>
            </w:r>
            <w:r>
              <w:rPr>
                <w:spacing w:val="-6"/>
                <w:sz w:val="20"/>
              </w:rPr>
              <w:t xml:space="preserve"> </w:t>
            </w:r>
            <w:r>
              <w:rPr>
                <w:sz w:val="20"/>
              </w:rPr>
              <w:t xml:space="preserve">groundwater</w:t>
            </w:r>
            <w:r>
              <w:rPr>
                <w:spacing w:val="-4"/>
                <w:sz w:val="20"/>
              </w:rPr>
              <w:t xml:space="preserve"> </w:t>
            </w:r>
            <w:r>
              <w:rPr>
                <w:sz w:val="20"/>
              </w:rPr>
              <w:t xml:space="preserve">and</w:t>
            </w:r>
            <w:r>
              <w:rPr>
                <w:spacing w:val="-7"/>
                <w:sz w:val="20"/>
              </w:rPr>
              <w:t xml:space="preserve"> </w:t>
            </w:r>
            <w:r>
              <w:rPr>
                <w:sz w:val="20"/>
              </w:rPr>
              <w:t xml:space="preserve">soft</w:t>
            </w:r>
            <w:r>
              <w:rPr>
                <w:spacing w:val="-5"/>
                <w:sz w:val="20"/>
              </w:rPr>
              <w:t xml:space="preserve"> </w:t>
            </w:r>
            <w:r>
              <w:rPr>
                <w:spacing w:val="-2"/>
                <w:sz w:val="20"/>
              </w:rPr>
              <w:t xml:space="preserve">soils.</w:t>
            </w:r>
          </w:p>
          <w:p w:rsidR="00A154E5">
            <w:pPr>
              <w:pStyle w:val="TableParagraph"/>
              <w:spacing w:before="144"/>
              <w:ind w:left="63"/>
              <w:rPr>
                <w:sz w:val="20"/>
              </w:rPr>
            </w:pPr>
            <w:r>
              <w:rPr>
                <w:b/>
                <w:sz w:val="20"/>
              </w:rPr>
              <w:t xml:space="preserve">Refer</w:t>
            </w:r>
            <w:r>
              <w:rPr>
                <w:b/>
                <w:spacing w:val="-5"/>
                <w:sz w:val="20"/>
              </w:rPr>
              <w:t xml:space="preserve"> </w:t>
            </w:r>
            <w:r>
              <w:rPr>
                <w:b/>
                <w:sz w:val="20"/>
              </w:rPr>
              <w:t xml:space="preserve">to</w:t>
            </w:r>
            <w:r>
              <w:rPr>
                <w:b/>
                <w:spacing w:val="-5"/>
                <w:sz w:val="20"/>
              </w:rPr>
              <w:t xml:space="preserve"> </w:t>
            </w:r>
            <w:r>
              <w:rPr>
                <w:b/>
                <w:sz w:val="20"/>
              </w:rPr>
              <w:t xml:space="preserve">Section</w:t>
            </w:r>
            <w:r>
              <w:rPr>
                <w:b/>
                <w:spacing w:val="-4"/>
                <w:sz w:val="20"/>
              </w:rPr>
              <w:t xml:space="preserve"> </w:t>
            </w:r>
            <w:r>
              <w:rPr>
                <w:b/>
                <w:sz w:val="20"/>
              </w:rPr>
              <w:t xml:space="preserve">6.4</w:t>
            </w:r>
            <w:r>
              <w:rPr>
                <w:b/>
                <w:spacing w:val="-4"/>
                <w:sz w:val="20"/>
              </w:rPr>
              <w:t xml:space="preserve"> </w:t>
            </w:r>
            <w:r>
              <w:rPr>
                <w:b/>
                <w:sz w:val="20"/>
              </w:rPr>
              <w:t xml:space="preserve">of</w:t>
            </w:r>
            <w:r>
              <w:rPr>
                <w:b/>
                <w:spacing w:val="-3"/>
                <w:sz w:val="20"/>
              </w:rPr>
              <w:t xml:space="preserve"> </w:t>
            </w:r>
            <w:r>
              <w:rPr>
                <w:b/>
                <w:sz w:val="20"/>
              </w:rPr>
              <w:t xml:space="preserve">this</w:t>
            </w:r>
            <w:r>
              <w:rPr>
                <w:b/>
                <w:spacing w:val="-5"/>
                <w:sz w:val="20"/>
              </w:rPr>
              <w:t xml:space="preserve"> </w:t>
            </w:r>
            <w:r>
              <w:rPr>
                <w:b/>
                <w:sz w:val="20"/>
              </w:rPr>
              <w:t xml:space="preserve">report</w:t>
            </w:r>
            <w:r>
              <w:rPr>
                <w:b/>
                <w:spacing w:val="-6"/>
                <w:sz w:val="20"/>
              </w:rPr>
              <w:t xml:space="preserve"> </w:t>
            </w:r>
            <w:r>
              <w:rPr>
                <w:b/>
                <w:sz w:val="20"/>
              </w:rPr>
              <w:t xml:space="preserve">for</w:t>
            </w:r>
            <w:r>
              <w:rPr>
                <w:b/>
                <w:spacing w:val="-5"/>
                <w:sz w:val="20"/>
              </w:rPr>
              <w:t xml:space="preserve"> </w:t>
            </w:r>
            <w:r>
              <w:rPr>
                <w:b/>
                <w:sz w:val="20"/>
              </w:rPr>
              <w:t xml:space="preserve">more</w:t>
            </w:r>
            <w:r>
              <w:rPr>
                <w:b/>
                <w:spacing w:val="-4"/>
                <w:sz w:val="20"/>
              </w:rPr>
              <w:t xml:space="preserve"> </w:t>
            </w:r>
            <w:r>
              <w:rPr>
                <w:b/>
                <w:spacing w:val="-2"/>
                <w:sz w:val="20"/>
              </w:rPr>
              <w:t xml:space="preserve">detail</w:t>
            </w:r>
            <w:r>
              <w:rPr>
                <w:spacing w:val="-2"/>
                <w:sz w:val="20"/>
              </w:rPr>
              <w:t xml:space="preserve">.</w:t>
            </w:r>
          </w:p>
        </w:tc>
      </w:tr>
      <w:tr w14:paraId="5E81AE8D" w14:textId="77777777">
        <w:tblPrEx>
          <w:tblW w:w="0" w:type="auto"/>
          <w:tblInd w:w="216" w:type="dxa"/>
          <w:tblLayout w:type="fixed"/>
          <w:tblCellMar>
            <w:left w:w="0" w:type="dxa"/>
            <w:right w:w="0" w:type="dxa"/>
          </w:tblCellMar>
          <w:tblLook w:val="01E0"/>
        </w:tblPrEx>
        <w:trPr>
          <w:trHeight w:val="1661"/>
        </w:trPr>
        <w:tc>
          <w:tcPr>
            <w:tcW w:w="1653" w:type="dxa"/>
            <w:tcBorders>
              <w:top w:val="single" w:sz="36" w:space="0" w:color="FFFFFF"/>
              <w:left w:val="nil"/>
              <w:bottom w:val="single" w:sz="36" w:space="0" w:color="FFFFFF"/>
              <w:right w:val="single" w:sz="36" w:space="0" w:color="FFFFFF"/>
            </w:tcBorders>
            <w:shd w:val="clear" w:color="auto" w:fill="F1F1F1"/>
          </w:tcPr>
          <w:p w:rsidR="00A154E5">
            <w:pPr>
              <w:pStyle w:val="TableParagraph"/>
              <w:spacing w:before="80" w:line="266" w:lineRule="auto"/>
              <w:ind w:left="64"/>
              <w:rPr>
                <w:sz w:val="20"/>
              </w:rPr>
            </w:pPr>
            <w:r>
              <w:rPr>
                <w:sz w:val="20"/>
              </w:rPr>
              <w:t xml:space="preserve">Suitability</w:t>
            </w:r>
            <w:r>
              <w:rPr>
                <w:spacing w:val="-10"/>
                <w:sz w:val="20"/>
              </w:rPr>
              <w:t xml:space="preserve"> </w:t>
            </w:r>
            <w:r>
              <w:rPr>
                <w:sz w:val="20"/>
              </w:rPr>
              <w:t xml:space="preserve">of</w:t>
            </w:r>
            <w:r>
              <w:rPr>
                <w:spacing w:val="-11"/>
                <w:sz w:val="20"/>
              </w:rPr>
              <w:t xml:space="preserve"> </w:t>
            </w:r>
            <w:r>
              <w:rPr>
                <w:sz w:val="20"/>
              </w:rPr>
              <w:t xml:space="preserve">soils</w:t>
            </w:r>
            <w:r>
              <w:rPr>
                <w:spacing w:val="40"/>
                <w:sz w:val="20"/>
              </w:rPr>
              <w:t xml:space="preserve"> </w:t>
            </w:r>
            <w:r>
              <w:rPr>
                <w:sz w:val="20"/>
              </w:rPr>
              <w:t xml:space="preserve">for use as</w:t>
            </w:r>
          </w:p>
          <w:p w:rsidR="00A154E5">
            <w:pPr>
              <w:pStyle w:val="TableParagraph"/>
              <w:spacing w:line="240" w:lineRule="exact"/>
              <w:ind w:left="64"/>
              <w:rPr>
                <w:sz w:val="20"/>
              </w:rPr>
            </w:pPr>
            <w:r>
              <w:rPr>
                <w:spacing w:val="-2"/>
                <w:sz w:val="20"/>
              </w:rPr>
              <w:t xml:space="preserve">engineered</w:t>
            </w:r>
            <w:r>
              <w:rPr>
                <w:spacing w:val="8"/>
                <w:sz w:val="20"/>
              </w:rPr>
              <w:t xml:space="preserve"> </w:t>
            </w:r>
            <w:r>
              <w:rPr>
                <w:spacing w:val="-4"/>
                <w:sz w:val="20"/>
              </w:rPr>
              <w:t xml:space="preserve">fill</w:t>
            </w:r>
          </w:p>
        </w:tc>
        <w:tc>
          <w:tcPr>
            <w:tcW w:w="7918" w:type="dxa"/>
            <w:tcBorders>
              <w:top w:val="single" w:sz="36" w:space="0" w:color="FFFFFF"/>
              <w:left w:val="single" w:sz="36" w:space="0" w:color="FFFFFF"/>
              <w:bottom w:val="single" w:sz="36" w:space="0" w:color="FFFFFF"/>
              <w:right w:val="nil"/>
            </w:tcBorders>
            <w:shd w:val="clear" w:color="auto" w:fill="F1F1F1"/>
          </w:tcPr>
          <w:p w:rsidR="00A154E5">
            <w:pPr>
              <w:pStyle w:val="TableParagraph"/>
              <w:spacing w:before="80" w:line="266" w:lineRule="auto"/>
              <w:ind w:left="63"/>
              <w:rPr>
                <w:sz w:val="20"/>
              </w:rPr>
            </w:pPr>
            <w:r>
              <w:rPr>
                <w:sz w:val="20"/>
              </w:rPr>
              <w:t xml:space="preserve">The</w:t>
            </w:r>
            <w:r>
              <w:rPr>
                <w:spacing w:val="-5"/>
                <w:sz w:val="20"/>
              </w:rPr>
              <w:t xml:space="preserve"> </w:t>
            </w:r>
            <w:r>
              <w:rPr>
                <w:sz w:val="20"/>
              </w:rPr>
              <w:t xml:space="preserve">volcanic</w:t>
            </w:r>
            <w:r>
              <w:rPr>
                <w:spacing w:val="-5"/>
                <w:sz w:val="20"/>
              </w:rPr>
              <w:t xml:space="preserve"> </w:t>
            </w:r>
            <w:r>
              <w:rPr>
                <w:sz w:val="20"/>
              </w:rPr>
              <w:t xml:space="preserve">ash</w:t>
            </w:r>
            <w:r>
              <w:rPr>
                <w:spacing w:val="-5"/>
                <w:sz w:val="20"/>
              </w:rPr>
              <w:t xml:space="preserve"> </w:t>
            </w:r>
            <w:r>
              <w:rPr>
                <w:sz w:val="20"/>
              </w:rPr>
              <w:t xml:space="preserve">soils</w:t>
            </w:r>
            <w:r>
              <w:rPr>
                <w:spacing w:val="-3"/>
                <w:sz w:val="20"/>
              </w:rPr>
              <w:t xml:space="preserve"> </w:t>
            </w:r>
            <w:r>
              <w:rPr>
                <w:sz w:val="20"/>
              </w:rPr>
              <w:t xml:space="preserve">are</w:t>
            </w:r>
            <w:r>
              <w:rPr>
                <w:spacing w:val="-2"/>
                <w:sz w:val="20"/>
              </w:rPr>
              <w:t xml:space="preserve"> </w:t>
            </w:r>
            <w:r>
              <w:rPr>
                <w:sz w:val="20"/>
              </w:rPr>
              <w:t xml:space="preserve">moderately</w:t>
            </w:r>
            <w:r>
              <w:rPr>
                <w:spacing w:val="-3"/>
                <w:sz w:val="20"/>
              </w:rPr>
              <w:t xml:space="preserve"> </w:t>
            </w:r>
            <w:r>
              <w:rPr>
                <w:sz w:val="20"/>
              </w:rPr>
              <w:t xml:space="preserve">to</w:t>
            </w:r>
            <w:r>
              <w:rPr>
                <w:spacing w:val="-4"/>
                <w:sz w:val="20"/>
              </w:rPr>
              <w:t xml:space="preserve"> </w:t>
            </w:r>
            <w:r>
              <w:rPr>
                <w:sz w:val="20"/>
              </w:rPr>
              <w:t xml:space="preserve">extra</w:t>
            </w:r>
            <w:r>
              <w:rPr>
                <w:spacing w:val="-1"/>
                <w:sz w:val="20"/>
              </w:rPr>
              <w:t xml:space="preserve"> </w:t>
            </w:r>
            <w:r>
              <w:rPr>
                <w:sz w:val="20"/>
              </w:rPr>
              <w:t xml:space="preserve">sensitive,</w:t>
            </w:r>
            <w:r>
              <w:rPr>
                <w:spacing w:val="-4"/>
                <w:sz w:val="20"/>
              </w:rPr>
              <w:t xml:space="preserve"> </w:t>
            </w:r>
            <w:r>
              <w:rPr>
                <w:sz w:val="20"/>
              </w:rPr>
              <w:t xml:space="preserve">with</w:t>
            </w:r>
            <w:r>
              <w:rPr>
                <w:spacing w:val="-4"/>
                <w:sz w:val="20"/>
              </w:rPr>
              <w:t xml:space="preserve"> </w:t>
            </w:r>
            <w:r>
              <w:rPr>
                <w:sz w:val="20"/>
              </w:rPr>
              <w:t xml:space="preserve">low</w:t>
            </w:r>
            <w:r>
              <w:rPr>
                <w:spacing w:val="-5"/>
                <w:sz w:val="20"/>
              </w:rPr>
              <w:t xml:space="preserve"> </w:t>
            </w:r>
            <w:r>
              <w:rPr>
                <w:sz w:val="20"/>
              </w:rPr>
              <w:t xml:space="preserve">remoulded</w:t>
            </w:r>
            <w:r>
              <w:rPr>
                <w:spacing w:val="-5"/>
                <w:sz w:val="20"/>
              </w:rPr>
              <w:t xml:space="preserve"> </w:t>
            </w:r>
            <w:r>
              <w:rPr>
                <w:sz w:val="20"/>
              </w:rPr>
              <w:t xml:space="preserve">strengths</w:t>
            </w:r>
            <w:r>
              <w:rPr>
                <w:spacing w:val="-3"/>
                <w:sz w:val="20"/>
              </w:rPr>
              <w:t xml:space="preserve"> </w:t>
            </w:r>
            <w:r>
              <w:rPr>
                <w:sz w:val="20"/>
              </w:rPr>
              <w:t xml:space="preserve">when</w:t>
            </w:r>
            <w:r>
              <w:rPr>
                <w:spacing w:val="40"/>
                <w:sz w:val="20"/>
              </w:rPr>
              <w:t xml:space="preserve"> </w:t>
            </w:r>
            <w:r>
              <w:rPr>
                <w:sz w:val="20"/>
              </w:rPr>
              <w:t xml:space="preserve">disturbed. Re-use of the volcanic soils as engineered fill is likely to be achievable in the</w:t>
            </w:r>
          </w:p>
          <w:p w:rsidR="00A154E5">
            <w:pPr>
              <w:pStyle w:val="TableParagraph"/>
              <w:spacing w:line="264" w:lineRule="auto"/>
              <w:ind w:left="63"/>
              <w:rPr>
                <w:sz w:val="20"/>
              </w:rPr>
            </w:pPr>
            <w:r>
              <w:rPr>
                <w:sz w:val="20"/>
              </w:rPr>
              <w:t xml:space="preserve">summer</w:t>
            </w:r>
            <w:r>
              <w:rPr>
                <w:spacing w:val="-4"/>
                <w:sz w:val="20"/>
              </w:rPr>
              <w:t xml:space="preserve"> </w:t>
            </w:r>
            <w:r>
              <w:rPr>
                <w:sz w:val="20"/>
              </w:rPr>
              <w:t xml:space="preserve">months</w:t>
            </w:r>
            <w:r>
              <w:rPr>
                <w:spacing w:val="-4"/>
                <w:sz w:val="20"/>
              </w:rPr>
              <w:t xml:space="preserve"> </w:t>
            </w:r>
            <w:r>
              <w:rPr>
                <w:sz w:val="20"/>
              </w:rPr>
              <w:t xml:space="preserve">(November</w:t>
            </w:r>
            <w:r>
              <w:rPr>
                <w:spacing w:val="-4"/>
                <w:sz w:val="20"/>
              </w:rPr>
              <w:t xml:space="preserve"> </w:t>
            </w:r>
            <w:r>
              <w:rPr>
                <w:sz w:val="20"/>
              </w:rPr>
              <w:t xml:space="preserve">to</w:t>
            </w:r>
            <w:r>
              <w:rPr>
                <w:spacing w:val="-5"/>
                <w:sz w:val="20"/>
              </w:rPr>
              <w:t xml:space="preserve"> </w:t>
            </w:r>
            <w:r>
              <w:rPr>
                <w:sz w:val="20"/>
              </w:rPr>
              <w:t xml:space="preserve">April).</w:t>
            </w:r>
            <w:r>
              <w:rPr>
                <w:spacing w:val="-5"/>
                <w:sz w:val="20"/>
              </w:rPr>
              <w:t xml:space="preserve"> </w:t>
            </w:r>
            <w:r>
              <w:rPr>
                <w:sz w:val="20"/>
              </w:rPr>
              <w:t xml:space="preserve">If</w:t>
            </w:r>
            <w:r>
              <w:rPr>
                <w:spacing w:val="-6"/>
                <w:sz w:val="20"/>
              </w:rPr>
              <w:t xml:space="preserve"> </w:t>
            </w:r>
            <w:r>
              <w:rPr>
                <w:sz w:val="20"/>
              </w:rPr>
              <w:t xml:space="preserve">earthworks</w:t>
            </w:r>
            <w:r>
              <w:rPr>
                <w:spacing w:val="-4"/>
                <w:sz w:val="20"/>
              </w:rPr>
              <w:t xml:space="preserve"> </w:t>
            </w:r>
            <w:r>
              <w:rPr>
                <w:sz w:val="20"/>
              </w:rPr>
              <w:t xml:space="preserve">proceed</w:t>
            </w:r>
            <w:r>
              <w:rPr>
                <w:spacing w:val="-6"/>
                <w:sz w:val="20"/>
              </w:rPr>
              <w:t xml:space="preserve"> </w:t>
            </w:r>
            <w:r>
              <w:rPr>
                <w:sz w:val="20"/>
              </w:rPr>
              <w:t xml:space="preserve">outside</w:t>
            </w:r>
            <w:r>
              <w:rPr>
                <w:spacing w:val="-6"/>
                <w:sz w:val="20"/>
              </w:rPr>
              <w:t xml:space="preserve"> </w:t>
            </w:r>
            <w:r>
              <w:rPr>
                <w:sz w:val="20"/>
              </w:rPr>
              <w:t xml:space="preserve">of</w:t>
            </w:r>
            <w:r>
              <w:rPr>
                <w:spacing w:val="-6"/>
                <w:sz w:val="20"/>
              </w:rPr>
              <w:t xml:space="preserve"> </w:t>
            </w:r>
            <w:r>
              <w:rPr>
                <w:sz w:val="20"/>
              </w:rPr>
              <w:t xml:space="preserve">summer,</w:t>
            </w:r>
            <w:r>
              <w:rPr>
                <w:spacing w:val="-4"/>
                <w:sz w:val="20"/>
              </w:rPr>
              <w:t xml:space="preserve"> </w:t>
            </w:r>
            <w:r>
              <w:rPr>
                <w:sz w:val="20"/>
              </w:rPr>
              <w:t xml:space="preserve">lime</w:t>
            </w:r>
            <w:r>
              <w:rPr>
                <w:spacing w:val="40"/>
                <w:sz w:val="20"/>
              </w:rPr>
              <w:t xml:space="preserve"> </w:t>
            </w:r>
            <w:r>
              <w:rPr>
                <w:sz w:val="20"/>
              </w:rPr>
              <w:t xml:space="preserve">stabilisation</w:t>
            </w:r>
            <w:r>
              <w:rPr>
                <w:sz w:val="20"/>
              </w:rPr>
              <w:t xml:space="preserve"> or other conditioning of the site-won soil is likely to be required.</w:t>
            </w:r>
          </w:p>
          <w:p w:rsidR="00A154E5">
            <w:pPr>
              <w:pStyle w:val="TableParagraph"/>
              <w:spacing w:before="116"/>
              <w:ind w:left="63"/>
              <w:rPr>
                <w:b/>
                <w:sz w:val="20"/>
              </w:rPr>
            </w:pPr>
            <w:r>
              <w:rPr>
                <w:b/>
                <w:sz w:val="20"/>
              </w:rPr>
              <w:t xml:space="preserve">Refer</w:t>
            </w:r>
            <w:r>
              <w:rPr>
                <w:b/>
                <w:spacing w:val="-5"/>
                <w:sz w:val="20"/>
              </w:rPr>
              <w:t xml:space="preserve"> </w:t>
            </w:r>
            <w:r>
              <w:rPr>
                <w:b/>
                <w:sz w:val="20"/>
              </w:rPr>
              <w:t xml:space="preserve">to</w:t>
            </w:r>
            <w:r>
              <w:rPr>
                <w:b/>
                <w:spacing w:val="-5"/>
                <w:sz w:val="20"/>
              </w:rPr>
              <w:t xml:space="preserve"> </w:t>
            </w:r>
            <w:r>
              <w:rPr>
                <w:b/>
                <w:sz w:val="20"/>
              </w:rPr>
              <w:t xml:space="preserve">Section</w:t>
            </w:r>
            <w:r>
              <w:rPr>
                <w:b/>
                <w:spacing w:val="-5"/>
                <w:sz w:val="20"/>
              </w:rPr>
              <w:t xml:space="preserve"> </w:t>
            </w:r>
            <w:r>
              <w:rPr>
                <w:b/>
                <w:sz w:val="20"/>
              </w:rPr>
              <w:t xml:space="preserve">6.4</w:t>
            </w:r>
            <w:r>
              <w:rPr>
                <w:b/>
                <w:spacing w:val="-4"/>
                <w:sz w:val="20"/>
              </w:rPr>
              <w:t xml:space="preserve"> </w:t>
            </w:r>
            <w:r>
              <w:rPr>
                <w:b/>
                <w:sz w:val="20"/>
              </w:rPr>
              <w:t xml:space="preserve">of</w:t>
            </w:r>
            <w:r>
              <w:rPr>
                <w:b/>
                <w:spacing w:val="-3"/>
                <w:sz w:val="20"/>
              </w:rPr>
              <w:t xml:space="preserve"> </w:t>
            </w:r>
            <w:r>
              <w:rPr>
                <w:b/>
                <w:sz w:val="20"/>
              </w:rPr>
              <w:t xml:space="preserve">this</w:t>
            </w:r>
            <w:r>
              <w:rPr>
                <w:b/>
                <w:spacing w:val="-4"/>
                <w:sz w:val="20"/>
              </w:rPr>
              <w:t xml:space="preserve"> </w:t>
            </w:r>
            <w:r>
              <w:rPr>
                <w:b/>
                <w:sz w:val="20"/>
              </w:rPr>
              <w:t xml:space="preserve">report</w:t>
            </w:r>
            <w:r>
              <w:rPr>
                <w:b/>
                <w:spacing w:val="-6"/>
                <w:sz w:val="20"/>
              </w:rPr>
              <w:t xml:space="preserve"> </w:t>
            </w:r>
            <w:r>
              <w:rPr>
                <w:b/>
                <w:sz w:val="20"/>
              </w:rPr>
              <w:t xml:space="preserve">for</w:t>
            </w:r>
            <w:r>
              <w:rPr>
                <w:b/>
                <w:spacing w:val="-5"/>
                <w:sz w:val="20"/>
              </w:rPr>
              <w:t xml:space="preserve"> </w:t>
            </w:r>
            <w:r>
              <w:rPr>
                <w:b/>
                <w:sz w:val="20"/>
              </w:rPr>
              <w:t xml:space="preserve">more</w:t>
            </w:r>
            <w:r>
              <w:rPr>
                <w:b/>
                <w:spacing w:val="-4"/>
                <w:sz w:val="20"/>
              </w:rPr>
              <w:t xml:space="preserve"> </w:t>
            </w:r>
            <w:r>
              <w:rPr>
                <w:b/>
                <w:spacing w:val="-2"/>
                <w:sz w:val="20"/>
              </w:rPr>
              <w:t xml:space="preserve">detail.</w:t>
            </w:r>
          </w:p>
        </w:tc>
      </w:tr>
      <w:tr w14:paraId="49327378" w14:textId="77777777">
        <w:tblPrEx>
          <w:tblW w:w="0" w:type="auto"/>
          <w:tblInd w:w="216" w:type="dxa"/>
          <w:tblLayout w:type="fixed"/>
          <w:tblCellMar>
            <w:left w:w="0" w:type="dxa"/>
            <w:right w:w="0" w:type="dxa"/>
          </w:tblCellMar>
          <w:tblLook w:val="01E0"/>
        </w:tblPrEx>
        <w:trPr>
          <w:trHeight w:val="469"/>
        </w:trPr>
        <w:tc>
          <w:tcPr>
            <w:tcW w:w="9571" w:type="dxa"/>
            <w:gridSpan w:val="2"/>
            <w:tcBorders>
              <w:top w:val="single" w:sz="36" w:space="0" w:color="FFFFFF"/>
              <w:left w:val="nil"/>
              <w:bottom w:val="nil"/>
              <w:right w:val="nil"/>
            </w:tcBorders>
            <w:shd w:val="clear" w:color="auto" w:fill="F1F1F1"/>
          </w:tcPr>
          <w:p w:rsidR="00A154E5">
            <w:pPr>
              <w:pStyle w:val="TableParagraph"/>
              <w:spacing w:before="82"/>
              <w:ind w:left="64"/>
              <w:rPr>
                <w:i/>
                <w:sz w:val="20"/>
              </w:rPr>
            </w:pPr>
            <w:r>
              <w:rPr>
                <w:i/>
                <w:sz w:val="20"/>
              </w:rPr>
              <w:t xml:space="preserve">Continued</w:t>
            </w:r>
            <w:r>
              <w:rPr>
                <w:i/>
                <w:spacing w:val="-5"/>
                <w:sz w:val="20"/>
              </w:rPr>
              <w:t xml:space="preserve"> </w:t>
            </w:r>
            <w:r>
              <w:rPr>
                <w:i/>
                <w:sz w:val="20"/>
              </w:rPr>
              <w:t xml:space="preserve">on</w:t>
            </w:r>
            <w:r>
              <w:rPr>
                <w:i/>
                <w:spacing w:val="-4"/>
                <w:sz w:val="20"/>
              </w:rPr>
              <w:t xml:space="preserve"> </w:t>
            </w:r>
            <w:r>
              <w:rPr>
                <w:i/>
                <w:sz w:val="20"/>
              </w:rPr>
              <w:t xml:space="preserve">the</w:t>
            </w:r>
            <w:r>
              <w:rPr>
                <w:i/>
                <w:spacing w:val="-5"/>
                <w:sz w:val="20"/>
              </w:rPr>
              <w:t xml:space="preserve"> </w:t>
            </w:r>
            <w:r>
              <w:rPr>
                <w:i/>
                <w:sz w:val="20"/>
              </w:rPr>
              <w:t xml:space="preserve">next</w:t>
            </w:r>
            <w:r>
              <w:rPr>
                <w:i/>
                <w:spacing w:val="-3"/>
                <w:sz w:val="20"/>
              </w:rPr>
              <w:t xml:space="preserve"> </w:t>
            </w:r>
            <w:r>
              <w:rPr>
                <w:i/>
                <w:spacing w:val="-4"/>
                <w:sz w:val="20"/>
              </w:rPr>
              <w:t xml:space="preserve">page…</w:t>
            </w:r>
          </w:p>
        </w:tc>
      </w:tr>
    </w:tbl>
    <w:p w:rsidR="00A154E5">
      <w:pPr>
        <w:rPr>
          <w:sz w:val="20"/>
        </w:rPr>
        <w:sectPr>
          <w:pgSz w:w="11910" w:h="16840" w:orient="portrait"/>
          <w:pgMar w:top="1460" w:right="960" w:bottom="1140" w:left="960" w:header="0" w:footer="953" w:gutter="0"/>
          <w:cols w:num="1" w:space="720">
            <w:col w:w="9990" w:space="720"/>
          </w:cols>
        </w:sectPr>
      </w:pPr>
    </w:p>
    <w:tbl>
      <w:tblPr>
        <w:tblStyle w:val="NormalTable"/>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
      <w:tblGrid>
        <w:gridCol w:w="1653"/>
        <w:gridCol w:w="7918"/>
      </w:tblGrid>
      <w:tr w14:paraId="52802E5B" w14:textId="77777777">
        <w:tblPrEx>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Ex>
        <w:trPr>
          <w:trHeight w:val="469"/>
        </w:trPr>
        <w:tc>
          <w:tcPr>
            <w:tcW w:w="1653" w:type="dxa"/>
            <w:tcBorders>
              <w:top w:val="nil"/>
              <w:left w:val="nil"/>
              <w:right w:val="single" w:sz="36" w:space="0" w:color="FFFFFF"/>
            </w:tcBorders>
            <w:shd w:val="clear" w:color="auto" w:fill="48B757"/>
          </w:tcPr>
          <w:p w:rsidR="00A154E5">
            <w:pPr>
              <w:pStyle w:val="TableParagraph"/>
              <w:spacing w:before="83"/>
              <w:ind w:left="202"/>
              <w:rPr>
                <w:b/>
                <w:sz w:val="20"/>
              </w:rPr>
            </w:pPr>
            <w:r>
              <w:rPr>
                <w:b/>
                <w:color w:val="FFFFFF"/>
                <w:spacing w:val="-2"/>
                <w:sz w:val="20"/>
              </w:rPr>
              <w:t xml:space="preserve">Consideration</w:t>
            </w:r>
          </w:p>
        </w:tc>
        <w:tc>
          <w:tcPr>
            <w:tcW w:w="7918" w:type="dxa"/>
            <w:tcBorders>
              <w:top w:val="nil"/>
              <w:left w:val="single" w:sz="36" w:space="0" w:color="FFFFFF"/>
              <w:right w:val="nil"/>
            </w:tcBorders>
            <w:shd w:val="clear" w:color="auto" w:fill="48B757"/>
          </w:tcPr>
          <w:p w:rsidR="00A154E5">
            <w:pPr>
              <w:pStyle w:val="TableParagraph"/>
              <w:spacing w:before="83"/>
              <w:ind w:right="3"/>
              <w:jc w:val="center"/>
              <w:rPr>
                <w:b/>
                <w:sz w:val="20"/>
              </w:rPr>
            </w:pPr>
            <w:r>
              <w:rPr>
                <w:b/>
                <w:color w:val="FFFFFF"/>
                <w:spacing w:val="-2"/>
                <w:sz w:val="20"/>
              </w:rPr>
              <w:t xml:space="preserve">Conclusions/recommendations</w:t>
            </w:r>
          </w:p>
        </w:tc>
      </w:tr>
      <w:tr w14:paraId="1D6DE10D" w14:textId="77777777">
        <w:tblPrEx>
          <w:tblW w:w="0" w:type="auto"/>
          <w:tblInd w:w="216" w:type="dxa"/>
          <w:tblLayout w:type="fixed"/>
          <w:tblCellMar>
            <w:left w:w="0" w:type="dxa"/>
            <w:right w:w="0" w:type="dxa"/>
          </w:tblCellMar>
          <w:tblLook w:val="01E0"/>
        </w:tblPrEx>
        <w:trPr>
          <w:trHeight w:val="4100"/>
        </w:trPr>
        <w:tc>
          <w:tcPr>
            <w:tcW w:w="1653" w:type="dxa"/>
            <w:tcBorders>
              <w:left w:val="nil"/>
              <w:bottom w:val="single" w:sz="36" w:space="0" w:color="FFFFFF"/>
              <w:right w:val="single" w:sz="36" w:space="0" w:color="FFFFFF"/>
            </w:tcBorders>
            <w:shd w:val="clear" w:color="auto" w:fill="F1F1F1"/>
          </w:tcPr>
          <w:p w:rsidR="00A154E5">
            <w:pPr>
              <w:pStyle w:val="TableParagraph"/>
              <w:spacing w:before="125" w:line="264" w:lineRule="auto"/>
              <w:ind w:left="64"/>
              <w:rPr>
                <w:sz w:val="20"/>
              </w:rPr>
            </w:pPr>
            <w:r>
              <w:rPr>
                <w:spacing w:val="-2"/>
                <w:sz w:val="20"/>
              </w:rPr>
              <w:t xml:space="preserve">Building</w:t>
            </w:r>
            <w:r>
              <w:rPr>
                <w:spacing w:val="40"/>
                <w:sz w:val="20"/>
              </w:rPr>
              <w:t xml:space="preserve"> </w:t>
            </w:r>
            <w:r>
              <w:rPr>
                <w:spacing w:val="-2"/>
                <w:sz w:val="20"/>
              </w:rPr>
              <w:t xml:space="preserve">foundations</w:t>
            </w:r>
          </w:p>
        </w:tc>
        <w:tc>
          <w:tcPr>
            <w:tcW w:w="7918" w:type="dxa"/>
            <w:tcBorders>
              <w:left w:val="single" w:sz="36" w:space="0" w:color="FFFFFF"/>
              <w:bottom w:val="single" w:sz="36" w:space="0" w:color="FFFFFF"/>
              <w:right w:val="nil"/>
            </w:tcBorders>
            <w:shd w:val="clear" w:color="auto" w:fill="F1F1F1"/>
          </w:tcPr>
          <w:p w:rsidR="00A154E5">
            <w:pPr>
              <w:pStyle w:val="TableParagraph"/>
              <w:spacing w:before="125" w:line="264" w:lineRule="auto"/>
              <w:ind w:left="63"/>
              <w:rPr>
                <w:sz w:val="20"/>
              </w:rPr>
            </w:pPr>
            <w:r>
              <w:rPr>
                <w:sz w:val="20"/>
              </w:rPr>
              <w:t xml:space="preserve">The</w:t>
            </w:r>
            <w:r>
              <w:rPr>
                <w:spacing w:val="-6"/>
                <w:sz w:val="20"/>
              </w:rPr>
              <w:t xml:space="preserve"> </w:t>
            </w:r>
            <w:r>
              <w:rPr>
                <w:sz w:val="20"/>
              </w:rPr>
              <w:t xml:space="preserve">building</w:t>
            </w:r>
            <w:r>
              <w:rPr>
                <w:spacing w:val="-4"/>
                <w:sz w:val="20"/>
              </w:rPr>
              <w:t xml:space="preserve"> </w:t>
            </w:r>
            <w:r>
              <w:rPr>
                <w:sz w:val="20"/>
              </w:rPr>
              <w:t xml:space="preserve">designer</w:t>
            </w:r>
            <w:r>
              <w:rPr>
                <w:spacing w:val="-5"/>
                <w:sz w:val="20"/>
              </w:rPr>
              <w:t xml:space="preserve"> </w:t>
            </w:r>
            <w:r>
              <w:rPr>
                <w:sz w:val="20"/>
              </w:rPr>
              <w:t xml:space="preserve">should</w:t>
            </w:r>
            <w:r>
              <w:rPr>
                <w:spacing w:val="-5"/>
                <w:sz w:val="20"/>
              </w:rPr>
              <w:t xml:space="preserve"> </w:t>
            </w:r>
            <w:r>
              <w:rPr>
                <w:sz w:val="20"/>
              </w:rPr>
              <w:t xml:space="preserve">specifically</w:t>
            </w:r>
            <w:r>
              <w:rPr>
                <w:spacing w:val="-5"/>
                <w:sz w:val="20"/>
              </w:rPr>
              <w:t xml:space="preserve"> </w:t>
            </w:r>
            <w:r>
              <w:rPr>
                <w:sz w:val="20"/>
              </w:rPr>
              <w:t xml:space="preserve">address</w:t>
            </w:r>
            <w:r>
              <w:rPr>
                <w:spacing w:val="-5"/>
                <w:sz w:val="20"/>
              </w:rPr>
              <w:t xml:space="preserve"> </w:t>
            </w:r>
            <w:r>
              <w:rPr>
                <w:sz w:val="20"/>
              </w:rPr>
              <w:t xml:space="preserve">the</w:t>
            </w:r>
            <w:r>
              <w:rPr>
                <w:spacing w:val="-6"/>
                <w:sz w:val="20"/>
              </w:rPr>
              <w:t xml:space="preserve"> </w:t>
            </w:r>
            <w:r>
              <w:rPr>
                <w:sz w:val="20"/>
              </w:rPr>
              <w:t xml:space="preserve">following</w:t>
            </w:r>
            <w:r>
              <w:rPr>
                <w:spacing w:val="-5"/>
                <w:sz w:val="20"/>
              </w:rPr>
              <w:t xml:space="preserve"> </w:t>
            </w:r>
            <w:r>
              <w:rPr>
                <w:sz w:val="20"/>
              </w:rPr>
              <w:t xml:space="preserve">considerations</w:t>
            </w:r>
            <w:r>
              <w:rPr>
                <w:spacing w:val="-5"/>
                <w:sz w:val="20"/>
              </w:rPr>
              <w:t xml:space="preserve"> </w:t>
            </w:r>
            <w:r>
              <w:rPr>
                <w:sz w:val="20"/>
              </w:rPr>
              <w:t xml:space="preserve">in</w:t>
            </w:r>
            <w:r>
              <w:rPr>
                <w:spacing w:val="-5"/>
                <w:sz w:val="20"/>
              </w:rPr>
              <w:t xml:space="preserve"> </w:t>
            </w:r>
            <w:r>
              <w:rPr>
                <w:sz w:val="20"/>
              </w:rPr>
              <w:t xml:space="preserve">their</w:t>
            </w:r>
            <w:r>
              <w:rPr>
                <w:spacing w:val="40"/>
                <w:sz w:val="20"/>
              </w:rPr>
              <w:t xml:space="preserve"> </w:t>
            </w:r>
            <w:r>
              <w:rPr>
                <w:sz w:val="20"/>
              </w:rPr>
              <w:t xml:space="preserve">foundation design:</w:t>
            </w:r>
          </w:p>
          <w:p w:rsidR="00A154E5">
            <w:pPr>
              <w:pStyle w:val="TableParagraph"/>
              <w:numPr>
                <w:ilvl w:val="0"/>
                <w:numId w:val="17"/>
              </w:numPr>
              <w:tabs>
                <w:tab w:val="left" w:pos="423"/>
              </w:tabs>
              <w:spacing w:before="120"/>
              <w:ind w:left="423"/>
              <w:rPr>
                <w:sz w:val="20"/>
              </w:rPr>
            </w:pPr>
            <w:r>
              <w:rPr>
                <w:sz w:val="20"/>
              </w:rPr>
              <w:t xml:space="preserve">Settlement</w:t>
            </w:r>
            <w:r>
              <w:rPr>
                <w:spacing w:val="-8"/>
                <w:sz w:val="20"/>
              </w:rPr>
              <w:t xml:space="preserve"> </w:t>
            </w:r>
            <w:r>
              <w:rPr>
                <w:sz w:val="20"/>
              </w:rPr>
              <w:t xml:space="preserve">due</w:t>
            </w:r>
            <w:r>
              <w:rPr>
                <w:spacing w:val="-9"/>
                <w:sz w:val="20"/>
              </w:rPr>
              <w:t xml:space="preserve"> </w:t>
            </w:r>
            <w:r>
              <w:rPr>
                <w:sz w:val="20"/>
              </w:rPr>
              <w:t xml:space="preserve">to</w:t>
            </w:r>
            <w:r>
              <w:rPr>
                <w:spacing w:val="-8"/>
                <w:sz w:val="20"/>
              </w:rPr>
              <w:t xml:space="preserve"> </w:t>
            </w:r>
            <w:r>
              <w:rPr>
                <w:sz w:val="20"/>
              </w:rPr>
              <w:t xml:space="preserve">the</w:t>
            </w:r>
            <w:r>
              <w:rPr>
                <w:spacing w:val="-8"/>
                <w:sz w:val="20"/>
              </w:rPr>
              <w:t xml:space="preserve"> </w:t>
            </w:r>
            <w:r>
              <w:rPr>
                <w:sz w:val="20"/>
              </w:rPr>
              <w:t xml:space="preserve">underlying</w:t>
            </w:r>
            <w:r>
              <w:rPr>
                <w:spacing w:val="-8"/>
                <w:sz w:val="20"/>
              </w:rPr>
              <w:t xml:space="preserve"> </w:t>
            </w:r>
            <w:r>
              <w:rPr>
                <w:sz w:val="20"/>
              </w:rPr>
              <w:t xml:space="preserve">soft/compressible</w:t>
            </w:r>
            <w:r>
              <w:rPr>
                <w:spacing w:val="-9"/>
                <w:sz w:val="20"/>
              </w:rPr>
              <w:t xml:space="preserve"> </w:t>
            </w:r>
            <w:r>
              <w:rPr>
                <w:spacing w:val="-4"/>
                <w:sz w:val="20"/>
              </w:rPr>
              <w:t xml:space="preserve">soils</w:t>
            </w:r>
          </w:p>
          <w:p w:rsidR="00A154E5">
            <w:pPr>
              <w:pStyle w:val="TableParagraph"/>
              <w:numPr>
                <w:ilvl w:val="0"/>
                <w:numId w:val="17"/>
              </w:numPr>
              <w:tabs>
                <w:tab w:val="left" w:pos="423"/>
              </w:tabs>
              <w:spacing w:before="107"/>
              <w:ind w:left="423"/>
              <w:rPr>
                <w:sz w:val="20"/>
              </w:rPr>
            </w:pPr>
            <w:r>
              <w:rPr>
                <w:sz w:val="20"/>
              </w:rPr>
              <w:t xml:space="preserve">Differential</w:t>
            </w:r>
            <w:r>
              <w:rPr>
                <w:spacing w:val="-8"/>
                <w:sz w:val="20"/>
              </w:rPr>
              <w:t xml:space="preserve"> </w:t>
            </w:r>
            <w:r>
              <w:rPr>
                <w:sz w:val="20"/>
              </w:rPr>
              <w:t xml:space="preserve">settlement</w:t>
            </w:r>
            <w:r>
              <w:rPr>
                <w:spacing w:val="-4"/>
                <w:sz w:val="20"/>
              </w:rPr>
              <w:t xml:space="preserve"> </w:t>
            </w:r>
            <w:r>
              <w:rPr>
                <w:sz w:val="20"/>
              </w:rPr>
              <w:t xml:space="preserve">due</w:t>
            </w:r>
            <w:r>
              <w:rPr>
                <w:spacing w:val="-8"/>
                <w:sz w:val="20"/>
              </w:rPr>
              <w:t xml:space="preserve"> </w:t>
            </w:r>
            <w:r>
              <w:rPr>
                <w:sz w:val="20"/>
              </w:rPr>
              <w:t xml:space="preserve">to</w:t>
            </w:r>
            <w:r>
              <w:rPr>
                <w:spacing w:val="-6"/>
                <w:sz w:val="20"/>
              </w:rPr>
              <w:t xml:space="preserve"> </w:t>
            </w:r>
            <w:r>
              <w:rPr>
                <w:sz w:val="20"/>
              </w:rPr>
              <w:t xml:space="preserve">variability</w:t>
            </w:r>
            <w:r>
              <w:rPr>
                <w:spacing w:val="-6"/>
                <w:sz w:val="20"/>
              </w:rPr>
              <w:t xml:space="preserve"> </w:t>
            </w:r>
            <w:r>
              <w:rPr>
                <w:sz w:val="20"/>
              </w:rPr>
              <w:t xml:space="preserve">of</w:t>
            </w:r>
            <w:r>
              <w:rPr>
                <w:spacing w:val="-8"/>
                <w:sz w:val="20"/>
              </w:rPr>
              <w:t xml:space="preserve"> </w:t>
            </w:r>
            <w:r>
              <w:rPr>
                <w:sz w:val="20"/>
              </w:rPr>
              <w:t xml:space="preserve">the</w:t>
            </w:r>
            <w:r>
              <w:rPr>
                <w:spacing w:val="-8"/>
                <w:sz w:val="20"/>
              </w:rPr>
              <w:t xml:space="preserve"> </w:t>
            </w:r>
            <w:r>
              <w:rPr>
                <w:sz w:val="20"/>
              </w:rPr>
              <w:t xml:space="preserve">soil</w:t>
            </w:r>
            <w:r>
              <w:rPr>
                <w:spacing w:val="-7"/>
                <w:sz w:val="20"/>
              </w:rPr>
              <w:t xml:space="preserve"> </w:t>
            </w:r>
            <w:r>
              <w:rPr>
                <w:spacing w:val="-2"/>
                <w:sz w:val="20"/>
              </w:rPr>
              <w:t xml:space="preserve">crust</w:t>
            </w:r>
          </w:p>
          <w:p w:rsidR="00A154E5">
            <w:pPr>
              <w:pStyle w:val="TableParagraph"/>
              <w:numPr>
                <w:ilvl w:val="0"/>
                <w:numId w:val="17"/>
              </w:numPr>
              <w:tabs>
                <w:tab w:val="left" w:pos="423"/>
              </w:tabs>
              <w:spacing w:before="103"/>
              <w:ind w:left="423"/>
              <w:rPr>
                <w:sz w:val="20"/>
              </w:rPr>
            </w:pPr>
            <w:r>
              <w:rPr>
                <w:sz w:val="20"/>
              </w:rPr>
              <w:t xml:space="preserve">Expansivity</w:t>
            </w:r>
            <w:r>
              <w:rPr>
                <w:spacing w:val="-5"/>
                <w:sz w:val="20"/>
              </w:rPr>
              <w:t xml:space="preserve"> </w:t>
            </w:r>
            <w:r>
              <w:rPr>
                <w:sz w:val="20"/>
              </w:rPr>
              <w:t xml:space="preserve">of</w:t>
            </w:r>
            <w:r>
              <w:rPr>
                <w:spacing w:val="-5"/>
                <w:sz w:val="20"/>
              </w:rPr>
              <w:t xml:space="preserve"> </w:t>
            </w:r>
            <w:r>
              <w:rPr>
                <w:sz w:val="20"/>
              </w:rPr>
              <w:t xml:space="preserve">the</w:t>
            </w:r>
            <w:r>
              <w:rPr>
                <w:spacing w:val="-6"/>
                <w:sz w:val="20"/>
              </w:rPr>
              <w:t xml:space="preserve"> </w:t>
            </w:r>
            <w:r>
              <w:rPr>
                <w:spacing w:val="-4"/>
                <w:sz w:val="20"/>
              </w:rPr>
              <w:t xml:space="preserve">soil.</w:t>
            </w:r>
          </w:p>
          <w:p w:rsidR="00A154E5">
            <w:pPr>
              <w:pStyle w:val="TableParagraph"/>
              <w:spacing w:before="104" w:line="264" w:lineRule="auto"/>
              <w:ind w:left="63" w:right="44"/>
              <w:rPr>
                <w:sz w:val="20"/>
              </w:rPr>
            </w:pPr>
            <w:r>
              <w:rPr>
                <w:sz w:val="20"/>
              </w:rPr>
              <w:t xml:space="preserve">Shallow foundations are likely to be suitable for one to two </w:t>
            </w:r>
            <w:r>
              <w:rPr>
                <w:sz w:val="20"/>
              </w:rPr>
              <w:t xml:space="preserve">storey</w:t>
            </w:r>
            <w:r>
              <w:rPr>
                <w:sz w:val="20"/>
              </w:rPr>
              <w:t xml:space="preserve"> lightly loaded buildings in</w:t>
            </w:r>
            <w:r>
              <w:rPr>
                <w:spacing w:val="40"/>
                <w:sz w:val="20"/>
              </w:rPr>
              <w:t xml:space="preserve"> </w:t>
            </w:r>
            <w:r>
              <w:rPr>
                <w:sz w:val="20"/>
              </w:rPr>
              <w:t xml:space="preserve">the</w:t>
            </w:r>
            <w:r>
              <w:rPr>
                <w:spacing w:val="-4"/>
                <w:sz w:val="20"/>
              </w:rPr>
              <w:t xml:space="preserve"> </w:t>
            </w:r>
            <w:r>
              <w:rPr>
                <w:sz w:val="20"/>
              </w:rPr>
              <w:t xml:space="preserve">north-west</w:t>
            </w:r>
            <w:r>
              <w:rPr>
                <w:spacing w:val="-3"/>
                <w:sz w:val="20"/>
              </w:rPr>
              <w:t xml:space="preserve"> </w:t>
            </w:r>
            <w:r>
              <w:rPr>
                <w:sz w:val="20"/>
              </w:rPr>
              <w:t xml:space="preserve">region</w:t>
            </w:r>
            <w:r>
              <w:rPr>
                <w:spacing w:val="-3"/>
                <w:sz w:val="20"/>
              </w:rPr>
              <w:t xml:space="preserve"> </w:t>
            </w:r>
            <w:r>
              <w:rPr>
                <w:sz w:val="20"/>
              </w:rPr>
              <w:t xml:space="preserve">of</w:t>
            </w:r>
            <w:r>
              <w:rPr>
                <w:spacing w:val="-4"/>
                <w:sz w:val="20"/>
              </w:rPr>
              <w:t xml:space="preserve"> </w:t>
            </w:r>
            <w:r>
              <w:rPr>
                <w:sz w:val="20"/>
              </w:rPr>
              <w:t xml:space="preserve">the</w:t>
            </w:r>
            <w:r>
              <w:rPr>
                <w:spacing w:val="-4"/>
                <w:sz w:val="20"/>
              </w:rPr>
              <w:t xml:space="preserve"> </w:t>
            </w:r>
            <w:r>
              <w:rPr>
                <w:sz w:val="20"/>
              </w:rPr>
              <w:t xml:space="preserve">site.</w:t>
            </w:r>
            <w:r>
              <w:rPr>
                <w:spacing w:val="-1"/>
                <w:sz w:val="20"/>
              </w:rPr>
              <w:t xml:space="preserve"> </w:t>
            </w:r>
            <w:r>
              <w:rPr>
                <w:sz w:val="20"/>
              </w:rPr>
              <w:t xml:space="preserve">The</w:t>
            </w:r>
            <w:r>
              <w:rPr>
                <w:spacing w:val="-4"/>
                <w:sz w:val="20"/>
              </w:rPr>
              <w:t xml:space="preserve"> </w:t>
            </w:r>
            <w:r>
              <w:rPr>
                <w:sz w:val="20"/>
              </w:rPr>
              <w:t xml:space="preserve">suitability</w:t>
            </w:r>
            <w:r>
              <w:rPr>
                <w:spacing w:val="-2"/>
                <w:sz w:val="20"/>
              </w:rPr>
              <w:t xml:space="preserve"> </w:t>
            </w:r>
            <w:r>
              <w:rPr>
                <w:sz w:val="20"/>
              </w:rPr>
              <w:t xml:space="preserve">of</w:t>
            </w:r>
            <w:r>
              <w:rPr>
                <w:spacing w:val="-4"/>
                <w:sz w:val="20"/>
              </w:rPr>
              <w:t xml:space="preserve"> </w:t>
            </w:r>
            <w:r>
              <w:rPr>
                <w:sz w:val="20"/>
              </w:rPr>
              <w:t xml:space="preserve">shallow</w:t>
            </w:r>
            <w:r>
              <w:rPr>
                <w:spacing w:val="-4"/>
                <w:sz w:val="20"/>
              </w:rPr>
              <w:t xml:space="preserve"> </w:t>
            </w:r>
            <w:r>
              <w:rPr>
                <w:sz w:val="20"/>
              </w:rPr>
              <w:t xml:space="preserve">foundations</w:t>
            </w:r>
            <w:r>
              <w:rPr>
                <w:spacing w:val="-2"/>
                <w:sz w:val="20"/>
              </w:rPr>
              <w:t xml:space="preserve"> </w:t>
            </w:r>
            <w:r>
              <w:rPr>
                <w:sz w:val="20"/>
              </w:rPr>
              <w:t xml:space="preserve">for</w:t>
            </w:r>
            <w:r>
              <w:rPr>
                <w:spacing w:val="-3"/>
                <w:sz w:val="20"/>
              </w:rPr>
              <w:t xml:space="preserve"> </w:t>
            </w:r>
            <w:r>
              <w:rPr>
                <w:sz w:val="20"/>
              </w:rPr>
              <w:t xml:space="preserve">the</w:t>
            </w:r>
            <w:r>
              <w:rPr>
                <w:spacing w:val="-4"/>
                <w:sz w:val="20"/>
              </w:rPr>
              <w:t xml:space="preserve"> </w:t>
            </w:r>
            <w:r>
              <w:rPr>
                <w:sz w:val="20"/>
              </w:rPr>
              <w:t xml:space="preserve">south-eastern</w:t>
            </w:r>
            <w:r>
              <w:rPr>
                <w:spacing w:val="40"/>
                <w:sz w:val="20"/>
              </w:rPr>
              <w:t xml:space="preserve"> </w:t>
            </w:r>
            <w:r>
              <w:rPr>
                <w:sz w:val="20"/>
              </w:rPr>
              <w:t xml:space="preserve">part of the site needs to be reviewed by a Chartered Professional Geotechnical Engineer, as</w:t>
            </w:r>
          </w:p>
          <w:p w:rsidR="00A154E5">
            <w:pPr>
              <w:pStyle w:val="TableParagraph"/>
              <w:spacing w:before="1"/>
              <w:ind w:left="63"/>
              <w:rPr>
                <w:sz w:val="20"/>
              </w:rPr>
            </w:pPr>
            <w:r>
              <w:rPr>
                <w:sz w:val="20"/>
              </w:rPr>
              <w:t xml:space="preserve">the</w:t>
            </w:r>
            <w:r>
              <w:rPr>
                <w:spacing w:val="-6"/>
                <w:sz w:val="20"/>
              </w:rPr>
              <w:t xml:space="preserve"> </w:t>
            </w:r>
            <w:r>
              <w:rPr>
                <w:sz w:val="20"/>
              </w:rPr>
              <w:t xml:space="preserve">ground</w:t>
            </w:r>
            <w:r>
              <w:rPr>
                <w:spacing w:val="-5"/>
                <w:sz w:val="20"/>
              </w:rPr>
              <w:t xml:space="preserve"> </w:t>
            </w:r>
            <w:r>
              <w:rPr>
                <w:sz w:val="20"/>
              </w:rPr>
              <w:t xml:space="preserve">“crust”</w:t>
            </w:r>
            <w:r>
              <w:rPr>
                <w:spacing w:val="-3"/>
                <w:sz w:val="20"/>
              </w:rPr>
              <w:t xml:space="preserve"> </w:t>
            </w:r>
            <w:r>
              <w:rPr>
                <w:sz w:val="20"/>
              </w:rPr>
              <w:t xml:space="preserve">is</w:t>
            </w:r>
            <w:r>
              <w:rPr>
                <w:spacing w:val="-4"/>
                <w:sz w:val="20"/>
              </w:rPr>
              <w:t xml:space="preserve"> </w:t>
            </w:r>
            <w:r>
              <w:rPr>
                <w:sz w:val="20"/>
              </w:rPr>
              <w:t xml:space="preserve">thin</w:t>
            </w:r>
            <w:r>
              <w:rPr>
                <w:spacing w:val="-4"/>
                <w:sz w:val="20"/>
              </w:rPr>
              <w:t xml:space="preserve"> </w:t>
            </w:r>
            <w:r>
              <w:rPr>
                <w:sz w:val="20"/>
              </w:rPr>
              <w:t xml:space="preserve">in</w:t>
            </w:r>
            <w:r>
              <w:rPr>
                <w:spacing w:val="-4"/>
                <w:sz w:val="20"/>
              </w:rPr>
              <w:t xml:space="preserve"> </w:t>
            </w:r>
            <w:r>
              <w:rPr>
                <w:sz w:val="20"/>
              </w:rPr>
              <w:t xml:space="preserve">this</w:t>
            </w:r>
            <w:r>
              <w:rPr>
                <w:spacing w:val="-5"/>
                <w:sz w:val="20"/>
              </w:rPr>
              <w:t xml:space="preserve"> </w:t>
            </w:r>
            <w:r>
              <w:rPr>
                <w:spacing w:val="-2"/>
                <w:sz w:val="20"/>
              </w:rPr>
              <w:t xml:space="preserve">area.</w:t>
            </w:r>
          </w:p>
          <w:p w:rsidR="00A154E5">
            <w:pPr>
              <w:pStyle w:val="TableParagraph"/>
              <w:spacing w:before="144" w:line="264" w:lineRule="auto"/>
              <w:ind w:left="63"/>
              <w:rPr>
                <w:sz w:val="20"/>
              </w:rPr>
            </w:pPr>
            <w:r>
              <w:rPr>
                <w:sz w:val="20"/>
              </w:rPr>
              <w:t xml:space="preserve">For</w:t>
            </w:r>
            <w:r>
              <w:rPr>
                <w:spacing w:val="-4"/>
                <w:sz w:val="20"/>
              </w:rPr>
              <w:t xml:space="preserve"> </w:t>
            </w:r>
            <w:r>
              <w:rPr>
                <w:sz w:val="20"/>
              </w:rPr>
              <w:t xml:space="preserve">heavier</w:t>
            </w:r>
            <w:r>
              <w:rPr>
                <w:spacing w:val="-3"/>
                <w:sz w:val="20"/>
              </w:rPr>
              <w:t xml:space="preserve"> </w:t>
            </w:r>
            <w:r>
              <w:rPr>
                <w:sz w:val="20"/>
              </w:rPr>
              <w:t xml:space="preserve">loads</w:t>
            </w:r>
            <w:r>
              <w:rPr>
                <w:spacing w:val="-1"/>
                <w:sz w:val="20"/>
              </w:rPr>
              <w:t xml:space="preserve"> </w:t>
            </w:r>
            <w:r>
              <w:rPr>
                <w:sz w:val="20"/>
              </w:rPr>
              <w:t xml:space="preserve">or</w:t>
            </w:r>
            <w:r>
              <w:rPr>
                <w:spacing w:val="-4"/>
                <w:sz w:val="20"/>
              </w:rPr>
              <w:t xml:space="preserve"> </w:t>
            </w:r>
            <w:r>
              <w:rPr>
                <w:sz w:val="20"/>
              </w:rPr>
              <w:t xml:space="preserve">where</w:t>
            </w:r>
            <w:r>
              <w:rPr>
                <w:spacing w:val="-4"/>
                <w:sz w:val="20"/>
              </w:rPr>
              <w:t xml:space="preserve"> </w:t>
            </w:r>
            <w:r>
              <w:rPr>
                <w:sz w:val="20"/>
              </w:rPr>
              <w:t xml:space="preserve">there</w:t>
            </w:r>
            <w:r>
              <w:rPr>
                <w:spacing w:val="-4"/>
                <w:sz w:val="20"/>
              </w:rPr>
              <w:t xml:space="preserve"> </w:t>
            </w:r>
            <w:r>
              <w:rPr>
                <w:sz w:val="20"/>
              </w:rPr>
              <w:t xml:space="preserve">is</w:t>
            </w:r>
            <w:r>
              <w:rPr>
                <w:spacing w:val="-3"/>
                <w:sz w:val="20"/>
              </w:rPr>
              <w:t xml:space="preserve"> </w:t>
            </w:r>
            <w:r>
              <w:rPr>
                <w:sz w:val="20"/>
              </w:rPr>
              <w:t xml:space="preserve">insufficient</w:t>
            </w:r>
            <w:r>
              <w:rPr>
                <w:spacing w:val="-4"/>
                <w:sz w:val="20"/>
              </w:rPr>
              <w:t xml:space="preserve"> </w:t>
            </w:r>
            <w:r>
              <w:rPr>
                <w:sz w:val="20"/>
              </w:rPr>
              <w:t xml:space="preserve">crust</w:t>
            </w:r>
            <w:r>
              <w:rPr>
                <w:spacing w:val="-4"/>
                <w:sz w:val="20"/>
              </w:rPr>
              <w:t xml:space="preserve"> </w:t>
            </w:r>
            <w:r>
              <w:rPr>
                <w:sz w:val="20"/>
              </w:rPr>
              <w:t xml:space="preserve">thickness,</w:t>
            </w:r>
            <w:r>
              <w:rPr>
                <w:spacing w:val="-4"/>
                <w:sz w:val="20"/>
              </w:rPr>
              <w:t xml:space="preserve"> </w:t>
            </w:r>
            <w:r>
              <w:rPr>
                <w:sz w:val="20"/>
              </w:rPr>
              <w:t xml:space="preserve">timber</w:t>
            </w:r>
            <w:r>
              <w:rPr>
                <w:spacing w:val="-3"/>
                <w:sz w:val="20"/>
              </w:rPr>
              <w:t xml:space="preserve"> </w:t>
            </w:r>
            <w:r>
              <w:rPr>
                <w:sz w:val="20"/>
              </w:rPr>
              <w:t xml:space="preserve">piles</w:t>
            </w:r>
            <w:r>
              <w:rPr>
                <w:spacing w:val="-3"/>
                <w:sz w:val="20"/>
              </w:rPr>
              <w:t xml:space="preserve"> </w:t>
            </w:r>
            <w:r>
              <w:rPr>
                <w:sz w:val="20"/>
              </w:rPr>
              <w:t xml:space="preserve">driven</w:t>
            </w:r>
            <w:r>
              <w:rPr>
                <w:spacing w:val="-4"/>
                <w:sz w:val="20"/>
              </w:rPr>
              <w:t xml:space="preserve"> </w:t>
            </w:r>
            <w:r>
              <w:rPr>
                <w:sz w:val="20"/>
              </w:rPr>
              <w:t xml:space="preserve">into</w:t>
            </w:r>
            <w:r>
              <w:rPr>
                <w:spacing w:val="-4"/>
                <w:sz w:val="20"/>
              </w:rPr>
              <w:t xml:space="preserve"> </w:t>
            </w:r>
            <w:r>
              <w:rPr>
                <w:sz w:val="20"/>
              </w:rPr>
              <w:t xml:space="preserve">the</w:t>
            </w:r>
            <w:r>
              <w:rPr>
                <w:spacing w:val="40"/>
                <w:sz w:val="20"/>
              </w:rPr>
              <w:t xml:space="preserve"> </w:t>
            </w:r>
            <w:r>
              <w:rPr>
                <w:sz w:val="20"/>
              </w:rPr>
              <w:t xml:space="preserve">medium dense layer at 7.5m to 12m depth may be suitable.</w:t>
            </w:r>
          </w:p>
          <w:p w:rsidR="00A154E5">
            <w:pPr>
              <w:pStyle w:val="TableParagraph"/>
              <w:spacing w:before="121"/>
              <w:ind w:left="63"/>
              <w:rPr>
                <w:b/>
                <w:sz w:val="20"/>
              </w:rPr>
            </w:pPr>
            <w:r>
              <w:rPr>
                <w:b/>
                <w:sz w:val="20"/>
              </w:rPr>
              <w:t xml:space="preserve">Refer</w:t>
            </w:r>
            <w:r>
              <w:rPr>
                <w:b/>
                <w:spacing w:val="-5"/>
                <w:sz w:val="20"/>
              </w:rPr>
              <w:t xml:space="preserve"> </w:t>
            </w:r>
            <w:r>
              <w:rPr>
                <w:b/>
                <w:sz w:val="20"/>
              </w:rPr>
              <w:t xml:space="preserve">to</w:t>
            </w:r>
            <w:r>
              <w:rPr>
                <w:b/>
                <w:spacing w:val="-5"/>
                <w:sz w:val="20"/>
              </w:rPr>
              <w:t xml:space="preserve"> </w:t>
            </w:r>
            <w:r>
              <w:rPr>
                <w:b/>
                <w:sz w:val="20"/>
              </w:rPr>
              <w:t xml:space="preserve">Section</w:t>
            </w:r>
            <w:r>
              <w:rPr>
                <w:b/>
                <w:spacing w:val="-5"/>
                <w:sz w:val="20"/>
              </w:rPr>
              <w:t xml:space="preserve"> </w:t>
            </w:r>
            <w:r>
              <w:rPr>
                <w:b/>
                <w:sz w:val="20"/>
              </w:rPr>
              <w:t xml:space="preserve">6.5</w:t>
            </w:r>
            <w:r>
              <w:rPr>
                <w:b/>
                <w:spacing w:val="-4"/>
                <w:sz w:val="20"/>
              </w:rPr>
              <w:t xml:space="preserve"> </w:t>
            </w:r>
            <w:r>
              <w:rPr>
                <w:b/>
                <w:sz w:val="20"/>
              </w:rPr>
              <w:t xml:space="preserve">of</w:t>
            </w:r>
            <w:r>
              <w:rPr>
                <w:b/>
                <w:spacing w:val="-3"/>
                <w:sz w:val="20"/>
              </w:rPr>
              <w:t xml:space="preserve"> </w:t>
            </w:r>
            <w:r>
              <w:rPr>
                <w:b/>
                <w:sz w:val="20"/>
              </w:rPr>
              <w:t xml:space="preserve">this</w:t>
            </w:r>
            <w:r>
              <w:rPr>
                <w:b/>
                <w:spacing w:val="-4"/>
                <w:sz w:val="20"/>
              </w:rPr>
              <w:t xml:space="preserve"> </w:t>
            </w:r>
            <w:r>
              <w:rPr>
                <w:b/>
                <w:sz w:val="20"/>
              </w:rPr>
              <w:t xml:space="preserve">report</w:t>
            </w:r>
            <w:r>
              <w:rPr>
                <w:b/>
                <w:spacing w:val="-6"/>
                <w:sz w:val="20"/>
              </w:rPr>
              <w:t xml:space="preserve"> </w:t>
            </w:r>
            <w:r>
              <w:rPr>
                <w:b/>
                <w:sz w:val="20"/>
              </w:rPr>
              <w:t xml:space="preserve">for</w:t>
            </w:r>
            <w:r>
              <w:rPr>
                <w:b/>
                <w:spacing w:val="-5"/>
                <w:sz w:val="20"/>
              </w:rPr>
              <w:t xml:space="preserve"> </w:t>
            </w:r>
            <w:r>
              <w:rPr>
                <w:b/>
                <w:sz w:val="20"/>
              </w:rPr>
              <w:t xml:space="preserve">more</w:t>
            </w:r>
            <w:r>
              <w:rPr>
                <w:b/>
                <w:spacing w:val="-4"/>
                <w:sz w:val="20"/>
              </w:rPr>
              <w:t xml:space="preserve"> </w:t>
            </w:r>
            <w:r>
              <w:rPr>
                <w:b/>
                <w:spacing w:val="-2"/>
                <w:sz w:val="20"/>
              </w:rPr>
              <w:t xml:space="preserve">detail.</w:t>
            </w:r>
          </w:p>
        </w:tc>
      </w:tr>
      <w:tr w14:paraId="2361E6FB" w14:textId="77777777">
        <w:tblPrEx>
          <w:tblW w:w="0" w:type="auto"/>
          <w:tblInd w:w="216" w:type="dxa"/>
          <w:tblLayout w:type="fixed"/>
          <w:tblCellMar>
            <w:left w:w="0" w:type="dxa"/>
            <w:right w:w="0" w:type="dxa"/>
          </w:tblCellMar>
          <w:tblLook w:val="01E0"/>
        </w:tblPrEx>
        <w:trPr>
          <w:trHeight w:val="2050"/>
        </w:trPr>
        <w:tc>
          <w:tcPr>
            <w:tcW w:w="1653" w:type="dxa"/>
            <w:tcBorders>
              <w:top w:val="single" w:sz="36" w:space="0" w:color="FFFFFF"/>
              <w:left w:val="nil"/>
              <w:bottom w:val="single" w:sz="36" w:space="0" w:color="FFFFFF"/>
              <w:right w:val="single" w:sz="36" w:space="0" w:color="FFFFFF"/>
            </w:tcBorders>
            <w:shd w:val="clear" w:color="auto" w:fill="F1F1F1"/>
          </w:tcPr>
          <w:p w:rsidR="00A154E5">
            <w:pPr>
              <w:pStyle w:val="TableParagraph"/>
              <w:spacing w:before="80" w:line="264" w:lineRule="auto"/>
              <w:ind w:left="64" w:right="547"/>
              <w:rPr>
                <w:sz w:val="20"/>
              </w:rPr>
            </w:pPr>
            <w:r>
              <w:rPr>
                <w:sz w:val="20"/>
              </w:rPr>
              <w:t xml:space="preserve">Shrink</w:t>
            </w:r>
            <w:r>
              <w:rPr>
                <w:spacing w:val="-12"/>
                <w:sz w:val="20"/>
              </w:rPr>
              <w:t xml:space="preserve"> </w:t>
            </w:r>
            <w:r>
              <w:rPr>
                <w:sz w:val="20"/>
              </w:rPr>
              <w:t xml:space="preserve">swell</w:t>
            </w:r>
            <w:r>
              <w:rPr>
                <w:spacing w:val="40"/>
                <w:sz w:val="20"/>
              </w:rPr>
              <w:t xml:space="preserve"> </w:t>
            </w:r>
            <w:r>
              <w:rPr>
                <w:spacing w:val="-2"/>
                <w:sz w:val="20"/>
              </w:rPr>
              <w:t xml:space="preserve">potential</w:t>
            </w:r>
          </w:p>
        </w:tc>
        <w:tc>
          <w:tcPr>
            <w:tcW w:w="7918" w:type="dxa"/>
            <w:tcBorders>
              <w:top w:val="single" w:sz="36" w:space="0" w:color="FFFFFF"/>
              <w:left w:val="single" w:sz="36" w:space="0" w:color="FFFFFF"/>
              <w:bottom w:val="single" w:sz="36" w:space="0" w:color="FFFFFF"/>
              <w:right w:val="nil"/>
            </w:tcBorders>
            <w:shd w:val="clear" w:color="auto" w:fill="F1F1F1"/>
          </w:tcPr>
          <w:p w:rsidR="00A154E5">
            <w:pPr>
              <w:pStyle w:val="TableParagraph"/>
              <w:spacing w:before="80"/>
              <w:ind w:left="63"/>
              <w:rPr>
                <w:sz w:val="20"/>
              </w:rPr>
            </w:pPr>
            <w:r>
              <w:rPr>
                <w:sz w:val="20"/>
              </w:rPr>
              <w:t xml:space="preserve">The</w:t>
            </w:r>
            <w:r>
              <w:rPr>
                <w:spacing w:val="-8"/>
                <w:sz w:val="20"/>
              </w:rPr>
              <w:t xml:space="preserve"> </w:t>
            </w:r>
            <w:r>
              <w:rPr>
                <w:sz w:val="20"/>
              </w:rPr>
              <w:t xml:space="preserve">expansivity</w:t>
            </w:r>
            <w:r>
              <w:rPr>
                <w:spacing w:val="-5"/>
                <w:sz w:val="20"/>
              </w:rPr>
              <w:t xml:space="preserve"> </w:t>
            </w:r>
            <w:r>
              <w:rPr>
                <w:sz w:val="20"/>
              </w:rPr>
              <w:t xml:space="preserve">(shrink/swell</w:t>
            </w:r>
            <w:r>
              <w:rPr>
                <w:spacing w:val="-5"/>
                <w:sz w:val="20"/>
              </w:rPr>
              <w:t xml:space="preserve"> </w:t>
            </w:r>
            <w:r>
              <w:rPr>
                <w:sz w:val="20"/>
              </w:rPr>
              <w:t xml:space="preserve">behaviour</w:t>
            </w:r>
            <w:r>
              <w:rPr>
                <w:sz w:val="20"/>
              </w:rPr>
              <w:t xml:space="preserve">)</w:t>
            </w:r>
            <w:r>
              <w:rPr>
                <w:spacing w:val="-6"/>
                <w:sz w:val="20"/>
              </w:rPr>
              <w:t xml:space="preserve"> </w:t>
            </w:r>
            <w:r>
              <w:rPr>
                <w:sz w:val="20"/>
              </w:rPr>
              <w:t xml:space="preserve">of</w:t>
            </w:r>
            <w:r>
              <w:rPr>
                <w:spacing w:val="-7"/>
                <w:sz w:val="20"/>
              </w:rPr>
              <w:t xml:space="preserve"> </w:t>
            </w:r>
            <w:r>
              <w:rPr>
                <w:sz w:val="20"/>
              </w:rPr>
              <w:t xml:space="preserve">the</w:t>
            </w:r>
            <w:r>
              <w:rPr>
                <w:spacing w:val="-7"/>
                <w:sz w:val="20"/>
              </w:rPr>
              <w:t xml:space="preserve"> </w:t>
            </w:r>
            <w:r>
              <w:rPr>
                <w:sz w:val="20"/>
              </w:rPr>
              <w:t xml:space="preserve">soils</w:t>
            </w:r>
            <w:r>
              <w:rPr>
                <w:spacing w:val="-5"/>
                <w:sz w:val="20"/>
              </w:rPr>
              <w:t xml:space="preserve"> </w:t>
            </w:r>
            <w:r>
              <w:rPr>
                <w:sz w:val="20"/>
              </w:rPr>
              <w:t xml:space="preserve">will</w:t>
            </w:r>
            <w:r>
              <w:rPr>
                <w:spacing w:val="-7"/>
                <w:sz w:val="20"/>
              </w:rPr>
              <w:t xml:space="preserve"> </w:t>
            </w:r>
            <w:r>
              <w:rPr>
                <w:sz w:val="20"/>
              </w:rPr>
              <w:t xml:space="preserve">affect</w:t>
            </w:r>
            <w:r>
              <w:rPr>
                <w:spacing w:val="-6"/>
                <w:sz w:val="20"/>
              </w:rPr>
              <w:t xml:space="preserve"> </w:t>
            </w:r>
            <w:r>
              <w:rPr>
                <w:sz w:val="20"/>
              </w:rPr>
              <w:t xml:space="preserve">shallow</w:t>
            </w:r>
            <w:r>
              <w:rPr>
                <w:spacing w:val="-7"/>
                <w:sz w:val="20"/>
              </w:rPr>
              <w:t xml:space="preserve"> </w:t>
            </w:r>
            <w:r>
              <w:rPr>
                <w:sz w:val="20"/>
              </w:rPr>
              <w:t xml:space="preserve">foundation</w:t>
            </w:r>
            <w:r>
              <w:rPr>
                <w:spacing w:val="-6"/>
                <w:sz w:val="20"/>
              </w:rPr>
              <w:t xml:space="preserve"> </w:t>
            </w:r>
            <w:r>
              <w:rPr>
                <w:spacing w:val="-2"/>
                <w:sz w:val="20"/>
              </w:rPr>
              <w:t xml:space="preserve">design.</w:t>
            </w:r>
          </w:p>
          <w:p w:rsidR="00A154E5">
            <w:pPr>
              <w:pStyle w:val="TableParagraph"/>
              <w:spacing w:before="145" w:line="264" w:lineRule="auto"/>
              <w:ind w:left="63"/>
              <w:rPr>
                <w:sz w:val="20"/>
              </w:rPr>
            </w:pPr>
            <w:r>
              <w:rPr>
                <w:sz w:val="20"/>
              </w:rPr>
              <w:t xml:space="preserve">The</w:t>
            </w:r>
            <w:r>
              <w:rPr>
                <w:spacing w:val="-5"/>
                <w:sz w:val="20"/>
              </w:rPr>
              <w:t xml:space="preserve"> </w:t>
            </w:r>
            <w:commentRangeStart w:id="2"/>
            <w:r>
              <w:rPr>
                <w:sz w:val="20"/>
              </w:rPr>
              <w:t xml:space="preserve">volcanic ash</w:t>
            </w:r>
            <w:commentRangeEnd w:id="2"/>
            <w:r>
              <w:commentReference w:id="2"/>
            </w:r>
            <w:r>
              <w:rPr>
                <w:spacing w:val="-5"/>
                <w:sz w:val="20"/>
              </w:rPr>
              <w:t xml:space="preserve"> </w:t>
            </w:r>
            <w:r>
              <w:rPr>
                <w:sz w:val="20"/>
              </w:rPr>
              <w:t xml:space="preserve">soils</w:t>
            </w:r>
            <w:r>
              <w:rPr>
                <w:spacing w:val="-3"/>
                <w:sz w:val="20"/>
              </w:rPr>
              <w:t xml:space="preserve"> </w:t>
            </w:r>
            <w:r>
              <w:rPr>
                <w:sz w:val="20"/>
              </w:rPr>
              <w:t xml:space="preserve">present</w:t>
            </w:r>
            <w:r>
              <w:rPr>
                <w:spacing w:val="-1"/>
                <w:sz w:val="20"/>
              </w:rPr>
              <w:t xml:space="preserve"> </w:t>
            </w:r>
            <w:r>
              <w:rPr>
                <w:sz w:val="20"/>
              </w:rPr>
              <w:t xml:space="preserve">are</w:t>
            </w:r>
            <w:r>
              <w:rPr>
                <w:spacing w:val="-4"/>
                <w:sz w:val="20"/>
              </w:rPr>
              <w:t xml:space="preserve"> </w:t>
            </w:r>
            <w:r>
              <w:rPr>
                <w:sz w:val="20"/>
              </w:rPr>
              <w:t xml:space="preserve">considered</w:t>
            </w:r>
            <w:r>
              <w:rPr>
                <w:spacing w:val="-5"/>
                <w:sz w:val="20"/>
              </w:rPr>
              <w:t xml:space="preserve"> </w:t>
            </w:r>
            <w:r>
              <w:rPr>
                <w:sz w:val="20"/>
              </w:rPr>
              <w:t xml:space="preserve">to</w:t>
            </w:r>
            <w:r>
              <w:rPr>
                <w:spacing w:val="-4"/>
                <w:sz w:val="20"/>
              </w:rPr>
              <w:t xml:space="preserve"> </w:t>
            </w:r>
            <w:r>
              <w:rPr>
                <w:sz w:val="20"/>
              </w:rPr>
              <w:t xml:space="preserve">lie</w:t>
            </w:r>
            <w:r>
              <w:rPr>
                <w:spacing w:val="-5"/>
                <w:sz w:val="20"/>
              </w:rPr>
              <w:t xml:space="preserve"> </w:t>
            </w:r>
            <w:r>
              <w:rPr>
                <w:sz w:val="20"/>
              </w:rPr>
              <w:t xml:space="preserve">within</w:t>
            </w:r>
            <w:r>
              <w:rPr>
                <w:spacing w:val="-4"/>
                <w:sz w:val="20"/>
              </w:rPr>
              <w:t xml:space="preserve"> </w:t>
            </w:r>
            <w:r>
              <w:rPr>
                <w:sz w:val="20"/>
              </w:rPr>
              <w:t xml:space="preserve">Site</w:t>
            </w:r>
            <w:r>
              <w:rPr>
                <w:spacing w:val="-4"/>
                <w:sz w:val="20"/>
              </w:rPr>
              <w:t xml:space="preserve"> </w:t>
            </w:r>
            <w:r>
              <w:rPr>
                <w:sz w:val="20"/>
              </w:rPr>
              <w:t xml:space="preserve">Class</w:t>
            </w:r>
            <w:r>
              <w:rPr>
                <w:spacing w:val="-3"/>
                <w:sz w:val="20"/>
              </w:rPr>
              <w:t xml:space="preserve"> </w:t>
            </w:r>
            <w:r>
              <w:rPr>
                <w:sz w:val="20"/>
              </w:rPr>
              <w:t xml:space="preserve">H2</w:t>
            </w:r>
            <w:r>
              <w:rPr>
                <w:spacing w:val="-3"/>
                <w:sz w:val="20"/>
              </w:rPr>
              <w:t xml:space="preserve"> </w:t>
            </w:r>
            <w:r>
              <w:rPr>
                <w:sz w:val="20"/>
              </w:rPr>
              <w:t xml:space="preserve">(highly</w:t>
            </w:r>
            <w:r>
              <w:rPr>
                <w:spacing w:val="-3"/>
                <w:sz w:val="20"/>
              </w:rPr>
              <w:t xml:space="preserve"> </w:t>
            </w:r>
            <w:r>
              <w:rPr>
                <w:sz w:val="20"/>
              </w:rPr>
              <w:t xml:space="preserve">expansive)</w:t>
            </w:r>
            <w:r>
              <w:rPr>
                <w:spacing w:val="-1"/>
                <w:sz w:val="20"/>
              </w:rPr>
              <w:t xml:space="preserve"> </w:t>
            </w:r>
            <w:r>
              <w:rPr>
                <w:sz w:val="20"/>
              </w:rPr>
              <w:t xml:space="preserve">with</w:t>
            </w:r>
            <w:r>
              <w:rPr>
                <w:spacing w:val="40"/>
                <w:sz w:val="20"/>
              </w:rPr>
              <w:t xml:space="preserve"> </w:t>
            </w:r>
            <w:r>
              <w:rPr>
                <w:sz w:val="20"/>
              </w:rPr>
              <w:t xml:space="preserve">characteristic surface movements anticipated to be in the range of 60-75mm in the upper</w:t>
            </w:r>
          </w:p>
          <w:p w:rsidR="00A154E5">
            <w:pPr>
              <w:pStyle w:val="TableParagraph"/>
              <w:spacing w:line="264" w:lineRule="auto"/>
              <w:ind w:left="63"/>
              <w:rPr>
                <w:sz w:val="20"/>
              </w:rPr>
            </w:pPr>
            <w:r>
              <w:rPr>
                <w:sz w:val="20"/>
              </w:rPr>
              <w:t xml:space="preserve">soils.</w:t>
            </w:r>
            <w:r>
              <w:rPr>
                <w:spacing w:val="-3"/>
                <w:sz w:val="20"/>
              </w:rPr>
              <w:t xml:space="preserve"> </w:t>
            </w:r>
            <w:r>
              <w:rPr>
                <w:sz w:val="20"/>
              </w:rPr>
              <w:t xml:space="preserve">Specific</w:t>
            </w:r>
            <w:r>
              <w:rPr>
                <w:spacing w:val="-4"/>
                <w:sz w:val="20"/>
              </w:rPr>
              <w:t xml:space="preserve"> </w:t>
            </w:r>
            <w:r>
              <w:rPr>
                <w:sz w:val="20"/>
              </w:rPr>
              <w:t xml:space="preserve">design</w:t>
            </w:r>
            <w:r>
              <w:rPr>
                <w:spacing w:val="-3"/>
                <w:sz w:val="20"/>
              </w:rPr>
              <w:t xml:space="preserve"> </w:t>
            </w:r>
            <w:r>
              <w:rPr>
                <w:sz w:val="20"/>
              </w:rPr>
              <w:t xml:space="preserve">should</w:t>
            </w:r>
            <w:r>
              <w:rPr>
                <w:spacing w:val="-3"/>
                <w:sz w:val="20"/>
              </w:rPr>
              <w:t xml:space="preserve"> </w:t>
            </w:r>
            <w:r>
              <w:rPr>
                <w:sz w:val="20"/>
              </w:rPr>
              <w:t xml:space="preserve">be</w:t>
            </w:r>
            <w:r>
              <w:rPr>
                <w:spacing w:val="-4"/>
                <w:sz w:val="20"/>
              </w:rPr>
              <w:t xml:space="preserve"> </w:t>
            </w:r>
            <w:r>
              <w:rPr>
                <w:sz w:val="20"/>
              </w:rPr>
              <w:t xml:space="preserve">carried</w:t>
            </w:r>
            <w:r>
              <w:rPr>
                <w:spacing w:val="-4"/>
                <w:sz w:val="20"/>
              </w:rPr>
              <w:t xml:space="preserve"> </w:t>
            </w:r>
            <w:r>
              <w:rPr>
                <w:sz w:val="20"/>
              </w:rPr>
              <w:t xml:space="preserve">out</w:t>
            </w:r>
            <w:r>
              <w:rPr>
                <w:spacing w:val="-3"/>
                <w:sz w:val="20"/>
              </w:rPr>
              <w:t xml:space="preserve"> </w:t>
            </w:r>
            <w:r>
              <w:rPr>
                <w:sz w:val="20"/>
              </w:rPr>
              <w:t xml:space="preserve">by</w:t>
            </w:r>
            <w:r>
              <w:rPr>
                <w:spacing w:val="-3"/>
                <w:sz w:val="20"/>
              </w:rPr>
              <w:t xml:space="preserve"> </w:t>
            </w:r>
            <w:r>
              <w:rPr>
                <w:sz w:val="20"/>
              </w:rPr>
              <w:t xml:space="preserve">a</w:t>
            </w:r>
            <w:r>
              <w:rPr>
                <w:spacing w:val="-3"/>
                <w:sz w:val="20"/>
              </w:rPr>
              <w:t xml:space="preserve"> </w:t>
            </w:r>
            <w:r>
              <w:rPr>
                <w:sz w:val="20"/>
              </w:rPr>
              <w:t xml:space="preserve">Chartered</w:t>
            </w:r>
            <w:r>
              <w:rPr>
                <w:spacing w:val="-4"/>
                <w:sz w:val="20"/>
              </w:rPr>
              <w:t xml:space="preserve"> </w:t>
            </w:r>
            <w:r>
              <w:rPr>
                <w:sz w:val="20"/>
              </w:rPr>
              <w:t xml:space="preserve">Professional</w:t>
            </w:r>
            <w:r>
              <w:rPr>
                <w:spacing w:val="-3"/>
                <w:sz w:val="20"/>
              </w:rPr>
              <w:t xml:space="preserve"> </w:t>
            </w:r>
            <w:r>
              <w:rPr>
                <w:sz w:val="20"/>
              </w:rPr>
              <w:t xml:space="preserve">Engineer</w:t>
            </w:r>
            <w:r>
              <w:rPr>
                <w:spacing w:val="-3"/>
                <w:sz w:val="20"/>
              </w:rPr>
              <w:t xml:space="preserve"> </w:t>
            </w:r>
            <w:r>
              <w:rPr>
                <w:sz w:val="20"/>
              </w:rPr>
              <w:t xml:space="preserve">in</w:t>
            </w:r>
            <w:r>
              <w:rPr>
                <w:spacing w:val="-3"/>
                <w:sz w:val="20"/>
              </w:rPr>
              <w:t xml:space="preserve"> </w:t>
            </w:r>
            <w:r>
              <w:rPr>
                <w:sz w:val="20"/>
              </w:rPr>
              <w:t xml:space="preserve">accordance</w:t>
            </w:r>
            <w:r>
              <w:rPr>
                <w:spacing w:val="40"/>
                <w:sz w:val="20"/>
              </w:rPr>
              <w:t xml:space="preserve"> </w:t>
            </w:r>
            <w:r>
              <w:rPr>
                <w:sz w:val="20"/>
              </w:rPr>
              <w:t xml:space="preserve">with AS2870:2011 for Class H2 soils.</w:t>
            </w:r>
          </w:p>
          <w:p w:rsidR="00A154E5">
            <w:pPr>
              <w:pStyle w:val="TableParagraph"/>
              <w:spacing w:before="121"/>
              <w:ind w:left="63"/>
              <w:rPr>
                <w:b/>
                <w:sz w:val="20"/>
              </w:rPr>
            </w:pPr>
            <w:r>
              <w:rPr>
                <w:b/>
                <w:sz w:val="20"/>
              </w:rPr>
              <w:t xml:space="preserve">Refer</w:t>
            </w:r>
            <w:r>
              <w:rPr>
                <w:b/>
                <w:spacing w:val="-5"/>
                <w:sz w:val="20"/>
              </w:rPr>
              <w:t xml:space="preserve"> </w:t>
            </w:r>
            <w:r>
              <w:rPr>
                <w:b/>
                <w:sz w:val="20"/>
              </w:rPr>
              <w:t xml:space="preserve">to</w:t>
            </w:r>
            <w:r>
              <w:rPr>
                <w:b/>
                <w:spacing w:val="-5"/>
                <w:sz w:val="20"/>
              </w:rPr>
              <w:t xml:space="preserve"> </w:t>
            </w:r>
            <w:r>
              <w:rPr>
                <w:b/>
                <w:sz w:val="20"/>
              </w:rPr>
              <w:t xml:space="preserve">Section</w:t>
            </w:r>
            <w:r>
              <w:rPr>
                <w:b/>
                <w:spacing w:val="-5"/>
                <w:sz w:val="20"/>
              </w:rPr>
              <w:t xml:space="preserve"> </w:t>
            </w:r>
            <w:r>
              <w:rPr>
                <w:b/>
                <w:sz w:val="20"/>
              </w:rPr>
              <w:t xml:space="preserve">6.5.2</w:t>
            </w:r>
            <w:r>
              <w:rPr>
                <w:b/>
                <w:spacing w:val="-5"/>
                <w:sz w:val="20"/>
              </w:rPr>
              <w:t xml:space="preserve"> </w:t>
            </w:r>
            <w:r>
              <w:rPr>
                <w:b/>
                <w:sz w:val="20"/>
              </w:rPr>
              <w:t xml:space="preserve">of</w:t>
            </w:r>
            <w:r>
              <w:rPr>
                <w:b/>
                <w:spacing w:val="-3"/>
                <w:sz w:val="20"/>
              </w:rPr>
              <w:t xml:space="preserve"> </w:t>
            </w:r>
            <w:r>
              <w:rPr>
                <w:b/>
                <w:sz w:val="20"/>
              </w:rPr>
              <w:t xml:space="preserve">this</w:t>
            </w:r>
            <w:r>
              <w:rPr>
                <w:b/>
                <w:spacing w:val="-3"/>
                <w:sz w:val="20"/>
              </w:rPr>
              <w:t xml:space="preserve"> </w:t>
            </w:r>
            <w:r>
              <w:rPr>
                <w:b/>
                <w:sz w:val="20"/>
              </w:rPr>
              <w:t xml:space="preserve">report</w:t>
            </w:r>
            <w:r>
              <w:rPr>
                <w:b/>
                <w:spacing w:val="-6"/>
                <w:sz w:val="20"/>
              </w:rPr>
              <w:t xml:space="preserve"> </w:t>
            </w:r>
            <w:r>
              <w:rPr>
                <w:b/>
                <w:sz w:val="20"/>
              </w:rPr>
              <w:t xml:space="preserve">for</w:t>
            </w:r>
            <w:r>
              <w:rPr>
                <w:b/>
                <w:spacing w:val="-5"/>
                <w:sz w:val="20"/>
              </w:rPr>
              <w:t xml:space="preserve"> </w:t>
            </w:r>
            <w:r>
              <w:rPr>
                <w:b/>
                <w:sz w:val="20"/>
              </w:rPr>
              <w:t xml:space="preserve">more</w:t>
            </w:r>
            <w:r>
              <w:rPr>
                <w:b/>
                <w:spacing w:val="-4"/>
                <w:sz w:val="20"/>
              </w:rPr>
              <w:t xml:space="preserve"> </w:t>
            </w:r>
            <w:r>
              <w:rPr>
                <w:b/>
                <w:spacing w:val="-2"/>
                <w:sz w:val="20"/>
              </w:rPr>
              <w:t xml:space="preserve">detail.</w:t>
            </w:r>
          </w:p>
        </w:tc>
      </w:tr>
      <w:tr w14:paraId="652A77C8" w14:textId="77777777">
        <w:tblPrEx>
          <w:tblW w:w="0" w:type="auto"/>
          <w:tblInd w:w="216" w:type="dxa"/>
          <w:tblLayout w:type="fixed"/>
          <w:tblCellMar>
            <w:left w:w="0" w:type="dxa"/>
            <w:right w:w="0" w:type="dxa"/>
          </w:tblCellMar>
          <w:tblLook w:val="01E0"/>
        </w:tblPrEx>
        <w:trPr>
          <w:trHeight w:val="1514"/>
        </w:trPr>
        <w:tc>
          <w:tcPr>
            <w:tcW w:w="1653" w:type="dxa"/>
            <w:tcBorders>
              <w:top w:val="single" w:sz="36" w:space="0" w:color="FFFFFF"/>
              <w:left w:val="nil"/>
              <w:bottom w:val="nil"/>
              <w:right w:val="single" w:sz="36" w:space="0" w:color="FFFFFF"/>
            </w:tcBorders>
            <w:shd w:val="clear" w:color="auto" w:fill="F1F1F1"/>
          </w:tcPr>
          <w:p w:rsidR="00A154E5">
            <w:pPr>
              <w:pStyle w:val="TableParagraph"/>
              <w:spacing w:before="80"/>
              <w:ind w:left="64"/>
              <w:rPr>
                <w:sz w:val="20"/>
              </w:rPr>
            </w:pPr>
            <w:r>
              <w:rPr>
                <w:sz w:val="20"/>
              </w:rPr>
              <w:t xml:space="preserve">Seismic</w:t>
            </w:r>
            <w:r>
              <w:rPr>
                <w:spacing w:val="-9"/>
                <w:sz w:val="20"/>
              </w:rPr>
              <w:t xml:space="preserve"> </w:t>
            </w:r>
            <w:r>
              <w:rPr>
                <w:spacing w:val="-2"/>
                <w:sz w:val="20"/>
              </w:rPr>
              <w:t xml:space="preserve">design</w:t>
            </w:r>
          </w:p>
        </w:tc>
        <w:tc>
          <w:tcPr>
            <w:tcW w:w="7918" w:type="dxa"/>
            <w:tcBorders>
              <w:top w:val="single" w:sz="36" w:space="0" w:color="FFFFFF"/>
              <w:left w:val="single" w:sz="36" w:space="0" w:color="FFFFFF"/>
              <w:bottom w:val="nil"/>
              <w:right w:val="nil"/>
            </w:tcBorders>
            <w:shd w:val="clear" w:color="auto" w:fill="F1F1F1"/>
          </w:tcPr>
          <w:p w:rsidR="00A154E5">
            <w:pPr>
              <w:pStyle w:val="TableParagraph"/>
              <w:spacing w:before="80"/>
              <w:ind w:left="63"/>
              <w:rPr>
                <w:sz w:val="20"/>
              </w:rPr>
            </w:pPr>
            <w:r>
              <w:rPr>
                <w:sz w:val="20"/>
              </w:rPr>
              <w:t xml:space="preserve">The</w:t>
            </w:r>
            <w:r>
              <w:rPr>
                <w:spacing w:val="-6"/>
                <w:sz w:val="20"/>
              </w:rPr>
              <w:t xml:space="preserve"> </w:t>
            </w:r>
            <w:r>
              <w:rPr>
                <w:sz w:val="20"/>
              </w:rPr>
              <w:t xml:space="preserve">site</w:t>
            </w:r>
            <w:r>
              <w:rPr>
                <w:spacing w:val="-4"/>
                <w:sz w:val="20"/>
              </w:rPr>
              <w:t xml:space="preserve"> </w:t>
            </w:r>
            <w:r>
              <w:rPr>
                <w:sz w:val="20"/>
              </w:rPr>
              <w:t xml:space="preserve">seismic</w:t>
            </w:r>
            <w:r>
              <w:rPr>
                <w:spacing w:val="-5"/>
                <w:sz w:val="20"/>
              </w:rPr>
              <w:t xml:space="preserve"> </w:t>
            </w:r>
            <w:r>
              <w:rPr>
                <w:sz w:val="20"/>
              </w:rPr>
              <w:t xml:space="preserve">class</w:t>
            </w:r>
            <w:r>
              <w:rPr>
                <w:spacing w:val="-4"/>
                <w:sz w:val="20"/>
              </w:rPr>
              <w:t xml:space="preserve"> </w:t>
            </w:r>
            <w:r>
              <w:rPr>
                <w:sz w:val="20"/>
              </w:rPr>
              <w:t xml:space="preserve">for</w:t>
            </w:r>
            <w:r>
              <w:rPr>
                <w:spacing w:val="-4"/>
                <w:sz w:val="20"/>
              </w:rPr>
              <w:t xml:space="preserve"> </w:t>
            </w:r>
            <w:r>
              <w:rPr>
                <w:sz w:val="20"/>
              </w:rPr>
              <w:t xml:space="preserve">the</w:t>
            </w:r>
            <w:r>
              <w:rPr>
                <w:spacing w:val="-5"/>
                <w:sz w:val="20"/>
              </w:rPr>
              <w:t xml:space="preserve"> </w:t>
            </w:r>
            <w:r>
              <w:rPr>
                <w:sz w:val="20"/>
              </w:rPr>
              <w:t xml:space="preserve">site</w:t>
            </w:r>
            <w:r>
              <w:rPr>
                <w:spacing w:val="-5"/>
                <w:sz w:val="20"/>
              </w:rPr>
              <w:t xml:space="preserve"> </w:t>
            </w:r>
            <w:r>
              <w:rPr>
                <w:sz w:val="20"/>
              </w:rPr>
              <w:t xml:space="preserve">is</w:t>
            </w:r>
            <w:r>
              <w:rPr>
                <w:spacing w:val="-3"/>
                <w:sz w:val="20"/>
              </w:rPr>
              <w:t xml:space="preserve"> </w:t>
            </w:r>
            <w:r>
              <w:rPr>
                <w:sz w:val="20"/>
              </w:rPr>
              <w:t xml:space="preserve">D</w:t>
            </w:r>
            <w:r>
              <w:rPr>
                <w:spacing w:val="-1"/>
                <w:sz w:val="20"/>
              </w:rPr>
              <w:t xml:space="preserve"> </w:t>
            </w:r>
            <w:r>
              <w:rPr>
                <w:sz w:val="20"/>
              </w:rPr>
              <w:t xml:space="preserve">(Shallow</w:t>
            </w:r>
            <w:r>
              <w:rPr>
                <w:spacing w:val="-5"/>
                <w:sz w:val="20"/>
              </w:rPr>
              <w:t xml:space="preserve"> </w:t>
            </w:r>
            <w:r>
              <w:rPr>
                <w:sz w:val="20"/>
              </w:rPr>
              <w:t xml:space="preserve">Soil</w:t>
            </w:r>
            <w:r>
              <w:rPr>
                <w:spacing w:val="-4"/>
                <w:sz w:val="20"/>
              </w:rPr>
              <w:t xml:space="preserve"> </w:t>
            </w:r>
            <w:r>
              <w:rPr>
                <w:sz w:val="20"/>
              </w:rPr>
              <w:t xml:space="preserve">Site),</w:t>
            </w:r>
            <w:r>
              <w:rPr>
                <w:spacing w:val="-5"/>
                <w:sz w:val="20"/>
              </w:rPr>
              <w:t xml:space="preserve"> </w:t>
            </w:r>
            <w:r>
              <w:rPr>
                <w:sz w:val="20"/>
              </w:rPr>
              <w:t xml:space="preserve">in</w:t>
            </w:r>
            <w:r>
              <w:rPr>
                <w:spacing w:val="-1"/>
                <w:sz w:val="20"/>
              </w:rPr>
              <w:t xml:space="preserve"> </w:t>
            </w:r>
            <w:r>
              <w:rPr>
                <w:sz w:val="20"/>
              </w:rPr>
              <w:t xml:space="preserve">accordance</w:t>
            </w:r>
            <w:r>
              <w:rPr>
                <w:spacing w:val="-5"/>
                <w:sz w:val="20"/>
              </w:rPr>
              <w:t xml:space="preserve"> </w:t>
            </w:r>
            <w:r>
              <w:rPr>
                <w:sz w:val="20"/>
              </w:rPr>
              <w:t xml:space="preserve">with</w:t>
            </w:r>
            <w:r>
              <w:rPr>
                <w:spacing w:val="-5"/>
                <w:sz w:val="20"/>
              </w:rPr>
              <w:t xml:space="preserve"> </w:t>
            </w:r>
            <w:r>
              <w:rPr>
                <w:sz w:val="20"/>
              </w:rPr>
              <w:t xml:space="preserve">NZS</w:t>
            </w:r>
            <w:r>
              <w:rPr>
                <w:spacing w:val="-3"/>
                <w:sz w:val="20"/>
              </w:rPr>
              <w:t xml:space="preserve"> </w:t>
            </w:r>
            <w:r>
              <w:rPr>
                <w:spacing w:val="-2"/>
                <w:sz w:val="20"/>
              </w:rPr>
              <w:t xml:space="preserve">1170.5:2004.</w:t>
            </w:r>
          </w:p>
          <w:p w:rsidR="00A154E5">
            <w:pPr>
              <w:pStyle w:val="TableParagraph"/>
              <w:spacing w:before="147" w:line="261" w:lineRule="auto"/>
              <w:ind w:left="63"/>
              <w:rPr>
                <w:sz w:val="20"/>
              </w:rPr>
            </w:pPr>
            <w:r>
              <w:rPr>
                <w:sz w:val="20"/>
              </w:rPr>
              <w:t xml:space="preserve">The</w:t>
            </w:r>
            <w:r>
              <w:rPr>
                <w:spacing w:val="-4"/>
                <w:sz w:val="20"/>
              </w:rPr>
              <w:t xml:space="preserve"> </w:t>
            </w:r>
            <w:r>
              <w:rPr>
                <w:sz w:val="20"/>
              </w:rPr>
              <w:t xml:space="preserve">site</w:t>
            </w:r>
            <w:r>
              <w:rPr>
                <w:spacing w:val="-3"/>
                <w:sz w:val="20"/>
              </w:rPr>
              <w:t xml:space="preserve"> </w:t>
            </w:r>
            <w:r>
              <w:rPr>
                <w:sz w:val="20"/>
              </w:rPr>
              <w:t xml:space="preserve">is</w:t>
            </w:r>
            <w:r>
              <w:rPr>
                <w:spacing w:val="-2"/>
                <w:sz w:val="20"/>
              </w:rPr>
              <w:t xml:space="preserve"> </w:t>
            </w:r>
            <w:r>
              <w:rPr>
                <w:sz w:val="20"/>
              </w:rPr>
              <w:t xml:space="preserve">considered</w:t>
            </w:r>
            <w:r>
              <w:rPr>
                <w:spacing w:val="-4"/>
                <w:sz w:val="20"/>
              </w:rPr>
              <w:t xml:space="preserve"> </w:t>
            </w:r>
            <w:r>
              <w:rPr>
                <w:sz w:val="20"/>
              </w:rPr>
              <w:t xml:space="preserve">to</w:t>
            </w:r>
            <w:r>
              <w:rPr>
                <w:spacing w:val="-3"/>
                <w:sz w:val="20"/>
              </w:rPr>
              <w:t xml:space="preserve"> </w:t>
            </w:r>
            <w:r>
              <w:rPr>
                <w:sz w:val="20"/>
              </w:rPr>
              <w:t xml:space="preserve">have</w:t>
            </w:r>
            <w:r>
              <w:rPr>
                <w:spacing w:val="-2"/>
                <w:sz w:val="20"/>
              </w:rPr>
              <w:t xml:space="preserve"> </w:t>
            </w:r>
            <w:r>
              <w:rPr>
                <w:sz w:val="20"/>
              </w:rPr>
              <w:t xml:space="preserve">a</w:t>
            </w:r>
            <w:r>
              <w:rPr>
                <w:spacing w:val="-2"/>
                <w:sz w:val="20"/>
              </w:rPr>
              <w:t xml:space="preserve"> </w:t>
            </w:r>
            <w:r>
              <w:rPr>
                <w:sz w:val="20"/>
              </w:rPr>
              <w:t xml:space="preserve">low</w:t>
            </w:r>
            <w:r>
              <w:rPr>
                <w:spacing w:val="-4"/>
                <w:sz w:val="20"/>
              </w:rPr>
              <w:t xml:space="preserve"> </w:t>
            </w:r>
            <w:r>
              <w:rPr>
                <w:sz w:val="20"/>
              </w:rPr>
              <w:t xml:space="preserve">susceptibility</w:t>
            </w:r>
            <w:r>
              <w:rPr>
                <w:spacing w:val="-2"/>
                <w:sz w:val="20"/>
              </w:rPr>
              <w:t xml:space="preserve"> </w:t>
            </w:r>
            <w:r>
              <w:rPr>
                <w:sz w:val="20"/>
              </w:rPr>
              <w:t xml:space="preserve">to</w:t>
            </w:r>
            <w:r>
              <w:rPr>
                <w:spacing w:val="-3"/>
                <w:sz w:val="20"/>
              </w:rPr>
              <w:t xml:space="preserve"> </w:t>
            </w:r>
            <w:r>
              <w:rPr>
                <w:sz w:val="20"/>
              </w:rPr>
              <w:t xml:space="preserve">liquefaction and</w:t>
            </w:r>
            <w:r>
              <w:rPr>
                <w:spacing w:val="-2"/>
                <w:sz w:val="20"/>
              </w:rPr>
              <w:t xml:space="preserve"> </w:t>
            </w:r>
            <w:r>
              <w:rPr>
                <w:sz w:val="20"/>
              </w:rPr>
              <w:t xml:space="preserve">cyclic</w:t>
            </w:r>
            <w:r>
              <w:rPr>
                <w:spacing w:val="-4"/>
                <w:sz w:val="20"/>
              </w:rPr>
              <w:t xml:space="preserve"> </w:t>
            </w:r>
            <w:r>
              <w:rPr>
                <w:sz w:val="20"/>
              </w:rPr>
              <w:t xml:space="preserve">softening</w:t>
            </w:r>
            <w:r>
              <w:rPr>
                <w:spacing w:val="-2"/>
                <w:sz w:val="20"/>
              </w:rPr>
              <w:t xml:space="preserve"> </w:t>
            </w:r>
            <w:r>
              <w:rPr>
                <w:sz w:val="20"/>
              </w:rPr>
              <w:t xml:space="preserve">under</w:t>
            </w:r>
            <w:r>
              <w:rPr>
                <w:spacing w:val="-2"/>
                <w:sz w:val="20"/>
              </w:rPr>
              <w:t xml:space="preserve"> </w:t>
            </w:r>
            <w:r>
              <w:rPr>
                <w:sz w:val="20"/>
              </w:rPr>
              <w:t xml:space="preserve">a</w:t>
            </w:r>
            <w:r>
              <w:rPr>
                <w:spacing w:val="40"/>
                <w:sz w:val="20"/>
              </w:rPr>
              <w:t xml:space="preserve"> </w:t>
            </w:r>
            <w:r>
              <w:rPr>
                <w:sz w:val="20"/>
              </w:rPr>
              <w:t xml:space="preserve">design level earthquake event.</w:t>
            </w:r>
          </w:p>
          <w:p w:rsidR="00A154E5">
            <w:pPr>
              <w:pStyle w:val="TableParagraph"/>
              <w:spacing w:before="123"/>
              <w:ind w:left="63"/>
              <w:rPr>
                <w:b/>
                <w:sz w:val="20"/>
              </w:rPr>
            </w:pPr>
            <w:r>
              <w:rPr>
                <w:b/>
                <w:sz w:val="20"/>
              </w:rPr>
              <w:t xml:space="preserve">Refer</w:t>
            </w:r>
            <w:r>
              <w:rPr>
                <w:b/>
                <w:spacing w:val="-5"/>
                <w:sz w:val="20"/>
              </w:rPr>
              <w:t xml:space="preserve"> </w:t>
            </w:r>
            <w:r>
              <w:rPr>
                <w:b/>
                <w:sz w:val="20"/>
              </w:rPr>
              <w:t xml:space="preserve">to</w:t>
            </w:r>
            <w:r>
              <w:rPr>
                <w:b/>
                <w:spacing w:val="-5"/>
                <w:sz w:val="20"/>
              </w:rPr>
              <w:t xml:space="preserve"> </w:t>
            </w:r>
            <w:r>
              <w:rPr>
                <w:b/>
                <w:sz w:val="20"/>
              </w:rPr>
              <w:t xml:space="preserve">Section</w:t>
            </w:r>
            <w:r>
              <w:rPr>
                <w:b/>
                <w:spacing w:val="-5"/>
                <w:sz w:val="20"/>
              </w:rPr>
              <w:t xml:space="preserve"> </w:t>
            </w:r>
            <w:r>
              <w:rPr>
                <w:b/>
                <w:sz w:val="20"/>
              </w:rPr>
              <w:t xml:space="preserve">6.8</w:t>
            </w:r>
            <w:r>
              <w:rPr>
                <w:b/>
                <w:spacing w:val="-3"/>
                <w:sz w:val="20"/>
              </w:rPr>
              <w:t xml:space="preserve"> </w:t>
            </w:r>
            <w:r>
              <w:rPr>
                <w:b/>
                <w:sz w:val="20"/>
              </w:rPr>
              <w:t xml:space="preserve">of</w:t>
            </w:r>
            <w:r>
              <w:rPr>
                <w:b/>
                <w:spacing w:val="-3"/>
                <w:sz w:val="20"/>
              </w:rPr>
              <w:t xml:space="preserve"> </w:t>
            </w:r>
            <w:r>
              <w:rPr>
                <w:b/>
                <w:sz w:val="20"/>
              </w:rPr>
              <w:t xml:space="preserve">this</w:t>
            </w:r>
            <w:r>
              <w:rPr>
                <w:b/>
                <w:spacing w:val="-5"/>
                <w:sz w:val="20"/>
              </w:rPr>
              <w:t xml:space="preserve"> </w:t>
            </w:r>
            <w:r>
              <w:rPr>
                <w:b/>
                <w:sz w:val="20"/>
              </w:rPr>
              <w:t xml:space="preserve">report</w:t>
            </w:r>
            <w:r>
              <w:rPr>
                <w:b/>
                <w:spacing w:val="-6"/>
                <w:sz w:val="20"/>
              </w:rPr>
              <w:t xml:space="preserve"> </w:t>
            </w:r>
            <w:r>
              <w:rPr>
                <w:b/>
                <w:sz w:val="20"/>
              </w:rPr>
              <w:t xml:space="preserve">for</w:t>
            </w:r>
            <w:r>
              <w:rPr>
                <w:b/>
                <w:spacing w:val="-5"/>
                <w:sz w:val="20"/>
              </w:rPr>
              <w:t xml:space="preserve"> </w:t>
            </w:r>
            <w:r>
              <w:rPr>
                <w:b/>
                <w:sz w:val="20"/>
              </w:rPr>
              <w:t xml:space="preserve">more</w:t>
            </w:r>
            <w:r>
              <w:rPr>
                <w:b/>
                <w:spacing w:val="-4"/>
                <w:sz w:val="20"/>
              </w:rPr>
              <w:t xml:space="preserve"> </w:t>
            </w:r>
            <w:r>
              <w:rPr>
                <w:b/>
                <w:spacing w:val="-2"/>
                <w:sz w:val="20"/>
              </w:rPr>
              <w:t xml:space="preserve">detail.</w:t>
            </w:r>
          </w:p>
        </w:tc>
      </w:tr>
    </w:tbl>
    <w:p w:rsidR="00A154E5">
      <w:pPr>
        <w:rPr>
          <w:sz w:val="20"/>
        </w:rPr>
        <w:sectPr>
          <w:pgSz w:w="11910" w:h="16840" w:orient="portrait"/>
          <w:pgMar w:top="1500" w:right="960" w:bottom="1140" w:left="960" w:header="0" w:footer="953" w:gutter="0"/>
          <w:cols w:num="1" w:space="720">
            <w:col w:w="9990" w:space="720"/>
          </w:cols>
        </w:sectPr>
      </w:pPr>
    </w:p>
    <w:p w:rsidR="00A154E5">
      <w:pPr>
        <w:pStyle w:val="Heading1"/>
        <w:numPr>
          <w:ilvl w:val="0"/>
          <w:numId w:val="13"/>
        </w:numPr>
        <w:tabs>
          <w:tab w:val="left" w:pos="1560"/>
        </w:tabs>
        <w:ind w:hanging="1440"/>
      </w:pPr>
      <w:r>
        <w:t xml:space="preserve">Introduction</w:t>
      </w:r>
    </w:p>
    <w:p w:rsidR="00A154E5">
      <w:pPr>
        <w:pStyle w:val="BodyText"/>
        <w:spacing w:before="600" w:line="264" w:lineRule="auto"/>
        <w:ind w:left="120"/>
      </w:pPr>
      <w:r>
        <w:t xml:space="preserve">The SolidEarth Alliance has been engaged by ClientCorp Ltd – Hoftes and Communities to investigate, design, construct and deliver a scope of civil works as part of redevelopment of the Phase 2 &amp; 3 Evergreen West</w:t>
      </w:r>
    </w:p>
    <w:p w:rsidR="00A154E5">
      <w:pPr>
        <w:pStyle w:val="BodyText"/>
        <w:spacing w:line="268" w:lineRule="exact"/>
        <w:ind w:left="120"/>
      </w:pPr>
      <w:r>
        <w:t xml:space="preserve">Development area. This report addresses the geotechnical considerations with respect to the proposed</w:t>
      </w:r>
    </w:p>
    <w:p w:rsidR="00A154E5">
      <w:pPr>
        <w:pStyle w:val="BodyText"/>
        <w:spacing w:before="26" w:line="264" w:lineRule="auto"/>
        <w:ind w:left="120"/>
      </w:pPr>
      <w:r>
        <w:t xml:space="preserve">development for Superlot ZX-001 within the Stage 2 &amp; 3 Evergreen West Development. This report is based on revision P of the neighbourhood Masterplan.</w:t>
      </w:r>
    </w:p>
    <w:p w:rsidR="00A154E5">
      <w:pPr>
        <w:pStyle w:val="BodyText"/>
        <w:spacing w:before="120"/>
        <w:ind w:left="120"/>
      </w:pPr>
      <w:r>
        <w:t xml:space="preserve">Geotechnical investigations were undertaken to assess the subsurface conditions, provide geotechnical</w:t>
      </w:r>
    </w:p>
    <w:p w:rsidR="00A154E5">
      <w:pPr>
        <w:pStyle w:val="BodyText"/>
        <w:spacing w:before="27" w:line="264" w:lineRule="auto"/>
        <w:ind w:left="120" w:right="133"/>
      </w:pPr>
      <w:r>
        <w:t xml:space="preserve">design information for the civil works design and consent, and provide information on the general suitability of the site for buildings.</w:t>
      </w:r>
    </w:p>
    <w:p w:rsidR="00A154E5">
      <w:pPr>
        <w:pStyle w:val="BodyText"/>
        <w:spacing w:before="122" w:line="264" w:lineRule="auto"/>
        <w:ind w:left="120"/>
      </w:pPr>
      <w:r>
        <w:t xml:space="preserve">This report supersedes any earlier geotechnical reports issued for the site. Land </w:t>
      </w:r>
      <w:commentRangeStart w:id="3"/>
      <w:r>
        <w:t xml:space="preserve">reftediation</w:t>
      </w:r>
      <w:commentRangeEnd w:id="3"/>
      <w:r>
        <w:commentReference w:id="3"/>
      </w:r>
      <w:r>
        <w:t xml:space="preserve"> investigations have also been carried out by SolidEarth for the Evergreen West development area. The results and</w:t>
      </w:r>
    </w:p>
    <w:p w:rsidR="00A154E5">
      <w:pPr>
        <w:spacing w:line="264" w:lineRule="auto"/>
        <w:ind w:left="120"/>
      </w:pPr>
      <w:r>
        <w:t xml:space="preserve">recommendations for land remediation are presented in a separate report, </w:t>
      </w:r>
      <w:commentRangeStart w:id="4"/>
      <w:r>
        <w:t xml:space="preserve">Land Remediation Investigation Report: Land Remediation Investigation Report:</w:t>
      </w:r>
      <w:commentRangeEnd w:id="4"/>
      <w:r>
        <w:commentReference w:id="4"/>
      </w:r>
      <w:r>
        <w:t xml:space="preserve"> Evergreen West Development – Stages 2 &amp; 3 – Draft, dated March 2019 (version 1.0).</w:t>
      </w:r>
    </w:p>
    <w:p w:rsidR="00A154E5">
      <w:pPr>
        <w:pStyle w:val="BodyText"/>
        <w:spacing w:before="92"/>
      </w:pPr>
    </w:p>
    <w:p w:rsidR="00A154E5">
      <w:pPr>
        <w:pStyle w:val="Heading2"/>
        <w:numPr>
          <w:ilvl w:val="1"/>
          <w:numId w:val="13"/>
        </w:numPr>
        <w:tabs>
          <w:tab w:val="left" w:pos="840"/>
        </w:tabs>
        <w:ind w:hanging="720"/>
      </w:pPr>
      <w:r>
        <w:t xml:space="preserve">Proposed Superlot</w:t>
      </w:r>
    </w:p>
    <w:p w:rsidR="00A154E5">
      <w:pPr>
        <w:pStyle w:val="BodyText"/>
        <w:spacing w:before="118" w:line="264" w:lineRule="auto"/>
        <w:ind w:left="120"/>
      </w:pPr>
      <w:r>
        <w:t xml:space="preserve">The proposed Superlot ZX-001 is located in Evergreen West as shown in Figure ZX-001-01 in Appendix A. The proposed Superlot ZX-001 has a combined land area of approximately 3890 m². The neighbourhood masterplan shows that stand-alone or duplex units with a maximum of two storeys are planned for this</w:t>
      </w:r>
    </w:p>
    <w:p w:rsidR="00A154E5">
      <w:pPr>
        <w:pStyle w:val="BodyText"/>
        <w:spacing w:line="268" w:lineRule="exact"/>
        <w:ind w:left="120"/>
      </w:pPr>
      <w:r>
        <w:t xml:space="preserve">Superlot.</w:t>
      </w:r>
    </w:p>
    <w:p w:rsidR="00A154E5">
      <w:pPr>
        <w:pStyle w:val="BodyText"/>
        <w:spacing w:before="147" w:line="264" w:lineRule="auto"/>
        <w:ind w:left="120" w:right="244"/>
        <w:jc w:val="both"/>
      </w:pPr>
      <w:r>
        <w:t xml:space="preserve">The design of civil works for the Superlot is currently at concept stage but the overall design philosophy for the neighbourhood is that bulk earthworks will be minor and building platforms and finished site levels will be situated more or less at the current ground levels. For the purpose of this report, we have assumed</w:t>
      </w:r>
    </w:p>
    <w:p w:rsidR="00A154E5">
      <w:pPr>
        <w:pStyle w:val="BodyText"/>
        <w:spacing w:before="2"/>
        <w:ind w:left="120"/>
        <w:jc w:val="both"/>
      </w:pPr>
      <w:r>
        <w:t xml:space="preserve">minor earthworks (+/- 0.5m fill/cut) will be carried out for the development.</w:t>
      </w:r>
    </w:p>
    <w:p w:rsidR="00A154E5">
      <w:pPr>
        <w:pStyle w:val="BodyText"/>
        <w:spacing w:before="147" w:line="264" w:lineRule="auto"/>
        <w:ind w:left="120" w:right="324"/>
        <w:jc w:val="both"/>
      </w:pPr>
      <w:r>
        <w:t xml:space="preserve">If the nature of the proposed </w:t>
      </w:r>
      <w:commentRangeStart w:id="5"/>
      <w:r>
        <w:t xml:space="preserve">developftent</w:t>
      </w:r>
      <w:commentRangeEnd w:id="5"/>
      <w:r>
        <w:commentReference w:id="5"/>
      </w:r>
      <w:r>
        <w:t xml:space="preserve"> differs from that assumed in this report, it is important that we are given the opportunity to revise the contents of this report.</w:t>
      </w:r>
    </w:p>
    <w:p w:rsidR="00A154E5">
      <w:pPr>
        <w:spacing w:line="264" w:lineRule="auto"/>
        <w:jc w:val="both"/>
        <w:sectPr>
          <w:pgSz w:w="11910" w:h="16840" w:orient="portrait"/>
          <w:pgMar w:top="1460" w:right="960" w:bottom="1140" w:left="960" w:header="0" w:footer="953" w:gutter="0"/>
          <w:cols w:num="1" w:space="720">
            <w:col w:w="9990" w:space="720"/>
          </w:cols>
        </w:sectPr>
      </w:pPr>
    </w:p>
    <w:p w:rsidR="00A154E5">
      <w:pPr>
        <w:pStyle w:val="Heading1"/>
        <w:numPr>
          <w:ilvl w:val="0"/>
          <w:numId w:val="13"/>
        </w:numPr>
        <w:tabs>
          <w:tab w:val="left" w:pos="1560"/>
        </w:tabs>
        <w:ind w:hanging="1440"/>
      </w:pPr>
      <w:r>
        <w:t xml:space="preserve">Geotechnical site investigations</w:t>
      </w:r>
    </w:p>
    <w:p w:rsidR="00A154E5">
      <w:pPr>
        <w:pStyle w:val="Heading2"/>
        <w:numPr>
          <w:ilvl w:val="1"/>
          <w:numId w:val="13"/>
        </w:numPr>
        <w:tabs>
          <w:tab w:val="left" w:pos="686"/>
        </w:tabs>
        <w:spacing w:before="601"/>
        <w:ind w:left="686" w:hanging="566"/>
      </w:pPr>
      <w:r>
        <w:t xml:space="preserve">Published geology</w:t>
      </w:r>
    </w:p>
    <w:p w:rsidR="00A154E5">
      <w:pPr>
        <w:pStyle w:val="BodyText"/>
        <w:spacing w:before="119"/>
        <w:ind w:left="120"/>
        <w:jc w:val="both"/>
      </w:pPr>
      <w:r>
        <w:t xml:space="preserve">The published geological map of the area indicates that the area is generally underlain by organic-rich</w:t>
      </w:r>
    </w:p>
    <w:p w:rsidR="00A154E5">
      <w:pPr>
        <w:pStyle w:val="BodyText"/>
        <w:spacing w:before="26" w:line="264" w:lineRule="auto"/>
        <w:ind w:left="120" w:right="251"/>
        <w:jc w:val="both"/>
      </w:pPr>
      <w:r>
        <w:t xml:space="preserve">alluvium ("muddy peat"), with basalt to basanite ash and lapilli and pumiceous deposits potentially present in the northern-most parts of the Evergreen West Phase 2 &amp; 3 area. The location of the site in the context of the regional geology is presented on Figure 1 below.</w:t>
      </w:r>
    </w:p>
    <w:p w:rsidR="00A154E5">
      <w:pPr>
        <w:pStyle w:val="BodyText"/>
        <w:spacing w:before="11"/>
        <w:rPr>
          <w:sz w:val="7"/>
        </w:rPr>
      </w:pPr>
    </w:p>
    <w:p w:rsidR="00A154E5">
      <w:pPr>
        <w:pStyle w:val="Heading4"/>
        <w:spacing w:before="151"/>
        <w:ind w:right="228"/>
        <w:jc w:val="both"/>
      </w:pPr>
      <w:r>
        <w:t xml:space="preserve">Figure 1: Regional Geological Setting. Kermode, L.O. 1992: Geology of the Auckland urban area. Scale 1:50,000. Geologic data sourced from Institute of Geological &amp; Nuclear Sciences (Copyright Reserved).</w:t>
      </w:r>
    </w:p>
    <w:p w:rsidR="00A154E5">
      <w:pPr>
        <w:pStyle w:val="BodyText"/>
        <w:spacing w:before="93"/>
        <w:rPr>
          <w:b/>
        </w:rPr>
      </w:pPr>
    </w:p>
    <w:p w:rsidR="00A154E5">
      <w:pPr>
        <w:pStyle w:val="Heading2"/>
        <w:numPr>
          <w:ilvl w:val="1"/>
          <w:numId w:val="13"/>
        </w:numPr>
        <w:tabs>
          <w:tab w:val="left" w:pos="686"/>
        </w:tabs>
        <w:ind w:left="686" w:hanging="566"/>
      </w:pPr>
      <w:r>
        <w:t xml:space="preserve">Historical investigations</w:t>
      </w:r>
    </w:p>
    <w:p w:rsidR="00A154E5">
      <w:pPr>
        <w:pStyle w:val="BodyText"/>
        <w:spacing w:before="119" w:line="264" w:lineRule="auto"/>
        <w:ind w:left="120"/>
      </w:pPr>
      <w:r>
        <w:t xml:space="preserve">NZGD does not show any historical investigations in the </w:t>
      </w:r>
      <w:commentRangeStart w:id="6"/>
      <w:r>
        <w:t xml:space="preserve">iftmediate</w:t>
      </w:r>
      <w:commentRangeEnd w:id="6"/>
      <w:r>
        <w:commentReference w:id="6"/>
      </w:r>
      <w:r>
        <w:t xml:space="preserve"> area (i.e. 100m radius) of the Superlot.</w:t>
      </w:r>
    </w:p>
    <w:p w:rsidR="00A154E5">
      <w:pPr>
        <w:pStyle w:val="BodyText"/>
        <w:spacing w:before="92"/>
      </w:pPr>
    </w:p>
    <w:p w:rsidR="00A154E5">
      <w:pPr>
        <w:pStyle w:val="Heading2"/>
        <w:numPr>
          <w:ilvl w:val="1"/>
          <w:numId w:val="13"/>
        </w:numPr>
        <w:tabs>
          <w:tab w:val="left" w:pos="685"/>
        </w:tabs>
        <w:ind w:left="685" w:hanging="565"/>
      </w:pPr>
      <w:r>
        <w:t xml:space="preserve">Project specific investigations</w:t>
      </w:r>
    </w:p>
    <w:p w:rsidR="00A154E5">
      <w:pPr>
        <w:pStyle w:val="BodyText"/>
        <w:spacing w:before="119"/>
        <w:ind w:left="120"/>
        <w:jc w:val="both"/>
      </w:pPr>
      <w:r>
        <w:t xml:space="preserve">Site investigations to determine the geotechnical subsoil conditions have been carried out within the</w:t>
      </w:r>
    </w:p>
    <w:p w:rsidR="00A154E5">
      <w:pPr>
        <w:pStyle w:val="BodyText"/>
        <w:spacing w:before="27" w:line="264" w:lineRule="auto"/>
        <w:ind w:left="120"/>
      </w:pPr>
      <w:r>
        <w:t xml:space="preserve">Superlot boundary and surrounding area, as shown on Figure ZX-001-01 in Appendix A. Summary details of the investigations are listed in Table 1, below. Full investigation logs and records are included in Appendix B.</w:t>
      </w:r>
    </w:p>
    <w:p w:rsidR="00A154E5">
      <w:pPr>
        <w:spacing w:line="264" w:lineRule="auto"/>
        <w:sectPr>
          <w:pgSz w:w="11910" w:h="16840" w:orient="portrait"/>
          <w:pgMar w:top="1460" w:right="960" w:bottom="1140" w:left="960" w:header="0" w:footer="953" w:gutter="0"/>
          <w:cols w:num="1" w:space="720">
            <w:col w:w="9990" w:space="720"/>
          </w:cols>
        </w:sectPr>
      </w:pPr>
    </w:p>
    <w:p w:rsidR="00A154E5">
      <w:pPr>
        <w:pStyle w:val="Heading4"/>
        <w:spacing w:before="41"/>
      </w:pPr>
      <w:r>
        <w:t xml:space="preserve">Table 1: Summary of investigations</w:t>
      </w:r>
    </w:p>
    <w:p w:rsidR="00A154E5">
      <w:pPr>
        <w:pStyle w:val="BodyText"/>
        <w:spacing w:before="2"/>
        <w:rPr>
          <w:b/>
          <w:sz w:val="17"/>
        </w:rPr>
      </w:pPr>
    </w:p>
    <w:tbl>
      <w:tblPr>
        <w:tblStyle w:val="NormalTable"/>
        <w:tblW w:w="0" w:type="auto"/>
        <w:tblCellSpacing w:w="44" w:type="dxa"/>
        <w:tblInd w:w="260" w:type="dxa"/>
        <w:tblLayout w:type="fixed"/>
        <w:tblCellMar>
          <w:left w:w="0" w:type="dxa"/>
          <w:right w:w="0" w:type="dxa"/>
        </w:tblCellMar>
        <w:tblLook w:val="01E0"/>
      </w:tblPr>
      <w:tblGrid>
        <w:gridCol w:w="1285"/>
        <w:gridCol w:w="902"/>
        <w:gridCol w:w="1188"/>
        <w:gridCol w:w="1046"/>
        <w:gridCol w:w="1133"/>
        <w:gridCol w:w="1328"/>
        <w:gridCol w:w="904"/>
        <w:gridCol w:w="1251"/>
      </w:tblGrid>
      <w:tr w14:paraId="60FB30F9" w14:textId="77777777">
        <w:tblPrEx>
          <w:tblW w:w="0" w:type="auto"/>
          <w:tblCellSpacing w:w="44" w:type="dxa"/>
          <w:tblInd w:w="260" w:type="dxa"/>
          <w:tblLayout w:type="fixed"/>
          <w:tblCellMar>
            <w:left w:w="0" w:type="dxa"/>
            <w:right w:w="0" w:type="dxa"/>
          </w:tblCellMar>
          <w:tblLook w:val="01E0"/>
        </w:tblPrEx>
        <w:trPr>
          <w:trHeight w:val="1045"/>
          <w:tblCellSpacing w:w="44" w:type="dxa"/>
        </w:trPr>
        <w:tc>
          <w:tcPr>
            <w:tcW w:w="1285" w:type="dxa"/>
            <w:tcBorders>
              <w:top w:val="nil"/>
              <w:left w:val="nil"/>
            </w:tcBorders>
            <w:shd w:val="clear" w:color="auto" w:fill="48B757"/>
          </w:tcPr>
          <w:p w:rsidR="00A154E5">
            <w:pPr>
              <w:pStyle w:val="TableParagraph"/>
              <w:spacing w:before="80"/>
              <w:ind w:left="2" w:right="1"/>
              <w:jc w:val="center"/>
              <w:rPr>
                <w:b/>
                <w:sz w:val="18"/>
              </w:rPr>
            </w:pPr>
            <w:r>
              <w:rPr>
                <w:b/>
                <w:color w:val="FFFFFF"/>
                <w:spacing w:val="-4"/>
                <w:sz w:val="18"/>
              </w:rPr>
              <w:t xml:space="preserve">TEST</w:t>
            </w:r>
          </w:p>
          <w:p w:rsidR="00A154E5">
            <w:pPr>
              <w:pStyle w:val="TableParagraph"/>
              <w:spacing w:before="23"/>
              <w:ind w:left="2"/>
              <w:jc w:val="center"/>
              <w:rPr>
                <w:b/>
                <w:sz w:val="18"/>
              </w:rPr>
            </w:pPr>
            <w:r>
              <w:rPr>
                <w:b/>
                <w:color w:val="FFFFFF"/>
                <w:spacing w:val="-2"/>
                <w:sz w:val="18"/>
              </w:rPr>
              <w:t xml:space="preserve">REFERENCE</w:t>
            </w:r>
          </w:p>
        </w:tc>
        <w:tc>
          <w:tcPr>
            <w:tcW w:w="902" w:type="dxa"/>
            <w:tcBorders>
              <w:top w:val="nil"/>
            </w:tcBorders>
            <w:shd w:val="clear" w:color="auto" w:fill="48B757"/>
          </w:tcPr>
          <w:p w:rsidR="00A154E5">
            <w:pPr>
              <w:pStyle w:val="TableParagraph"/>
              <w:spacing w:before="80"/>
              <w:ind w:left="110"/>
              <w:rPr>
                <w:b/>
                <w:sz w:val="18"/>
              </w:rPr>
            </w:pPr>
            <w:r>
              <w:rPr>
                <w:b/>
                <w:color w:val="FFFFFF"/>
                <w:spacing w:val="-2"/>
                <w:sz w:val="18"/>
              </w:rPr>
              <w:t xml:space="preserve">SOURCE</w:t>
            </w:r>
          </w:p>
        </w:tc>
        <w:tc>
          <w:tcPr>
            <w:tcW w:w="1188" w:type="dxa"/>
            <w:tcBorders>
              <w:top w:val="nil"/>
            </w:tcBorders>
            <w:shd w:val="clear" w:color="auto" w:fill="48B757"/>
          </w:tcPr>
          <w:p w:rsidR="00A154E5">
            <w:pPr>
              <w:pStyle w:val="TableParagraph"/>
              <w:spacing w:before="80"/>
              <w:ind w:left="381"/>
              <w:rPr>
                <w:b/>
                <w:sz w:val="18"/>
              </w:rPr>
            </w:pPr>
            <w:r>
              <w:rPr>
                <w:b/>
                <w:color w:val="FFFFFF"/>
                <w:spacing w:val="-4"/>
                <w:sz w:val="18"/>
              </w:rPr>
              <w:t xml:space="preserve">TYPE</w:t>
            </w:r>
          </w:p>
        </w:tc>
        <w:tc>
          <w:tcPr>
            <w:tcW w:w="2179" w:type="dxa"/>
            <w:gridSpan w:val="2"/>
            <w:tcBorders>
              <w:top w:val="nil"/>
            </w:tcBorders>
            <w:shd w:val="clear" w:color="auto" w:fill="48B757"/>
          </w:tcPr>
          <w:p w:rsidR="00A154E5">
            <w:pPr>
              <w:pStyle w:val="TableParagraph"/>
              <w:spacing w:before="80"/>
              <w:ind w:left="338"/>
              <w:rPr>
                <w:b/>
                <w:sz w:val="18"/>
              </w:rPr>
            </w:pPr>
            <w:r>
              <w:rPr>
                <w:b/>
                <w:color w:val="FFFFFF"/>
                <w:sz w:val="18"/>
              </w:rPr>
              <w:t xml:space="preserve">LOCATION</w:t>
            </w:r>
            <w:r>
              <w:rPr>
                <w:b/>
                <w:color w:val="FFFFFF"/>
                <w:spacing w:val="-2"/>
                <w:sz w:val="18"/>
              </w:rPr>
              <w:t xml:space="preserve"> (NZTM)</w:t>
            </w:r>
          </w:p>
          <w:p w:rsidR="00A154E5">
            <w:pPr>
              <w:pStyle w:val="TableParagraph"/>
              <w:spacing w:before="143"/>
              <w:ind w:left="278"/>
              <w:rPr>
                <w:sz w:val="18"/>
              </w:rPr>
            </w:pPr>
            <w:r>
              <w:rPr>
                <w:color w:val="FFFFFF"/>
                <w:spacing w:val="-2"/>
                <w:sz w:val="18"/>
              </w:rPr>
              <w:t xml:space="preserve">EASTING/NORTHING</w:t>
            </w:r>
          </w:p>
        </w:tc>
        <w:tc>
          <w:tcPr>
            <w:tcW w:w="1328" w:type="dxa"/>
            <w:tcBorders>
              <w:top w:val="nil"/>
            </w:tcBorders>
            <w:shd w:val="clear" w:color="auto" w:fill="48B757"/>
          </w:tcPr>
          <w:p w:rsidR="00A154E5">
            <w:pPr>
              <w:pStyle w:val="TableParagraph"/>
              <w:spacing w:before="80" w:line="266" w:lineRule="auto"/>
              <w:ind w:left="5"/>
              <w:jc w:val="center"/>
              <w:rPr>
                <w:b/>
                <w:sz w:val="16"/>
              </w:rPr>
            </w:pPr>
            <w:r>
              <w:rPr>
                <w:b/>
                <w:color w:val="FFFFFF"/>
                <w:spacing w:val="-2"/>
                <w:sz w:val="16"/>
              </w:rPr>
              <w:t xml:space="preserve">INVESTIGATION</w:t>
            </w:r>
            <w:r>
              <w:rPr>
                <w:b/>
                <w:color w:val="FFFFFF"/>
                <w:spacing w:val="40"/>
                <w:sz w:val="16"/>
              </w:rPr>
              <w:t xml:space="preserve"> </w:t>
            </w:r>
            <w:r>
              <w:rPr>
                <w:b/>
                <w:color w:val="FFFFFF"/>
                <w:spacing w:val="-2"/>
                <w:sz w:val="16"/>
              </w:rPr>
              <w:t xml:space="preserve">DEPTH</w:t>
            </w:r>
          </w:p>
          <w:p w:rsidR="00A154E5">
            <w:pPr>
              <w:pStyle w:val="TableParagraph"/>
              <w:spacing w:before="119"/>
              <w:ind w:left="5" w:right="5"/>
              <w:jc w:val="center"/>
              <w:rPr>
                <w:b/>
                <w:sz w:val="18"/>
              </w:rPr>
            </w:pPr>
            <w:r>
              <w:rPr>
                <w:b/>
                <w:color w:val="FFFFFF"/>
                <w:sz w:val="18"/>
              </w:rPr>
              <w:t xml:space="preserve">(M</w:t>
            </w:r>
            <w:r>
              <w:rPr>
                <w:b/>
                <w:color w:val="FFFFFF"/>
                <w:spacing w:val="-2"/>
                <w:sz w:val="18"/>
              </w:rPr>
              <w:t xml:space="preserve"> B.G.L)</w:t>
            </w:r>
          </w:p>
        </w:tc>
        <w:tc>
          <w:tcPr>
            <w:tcW w:w="904" w:type="dxa"/>
            <w:tcBorders>
              <w:top w:val="nil"/>
            </w:tcBorders>
            <w:shd w:val="clear" w:color="auto" w:fill="48B757"/>
          </w:tcPr>
          <w:p w:rsidR="00A154E5">
            <w:pPr>
              <w:pStyle w:val="TableParagraph"/>
              <w:spacing w:before="80" w:line="264" w:lineRule="auto"/>
              <w:ind w:left="153" w:right="71" w:hanging="75"/>
              <w:rPr>
                <w:b/>
                <w:sz w:val="18"/>
              </w:rPr>
            </w:pPr>
            <w:r>
              <w:rPr>
                <w:b/>
                <w:color w:val="FFFFFF"/>
                <w:spacing w:val="-2"/>
                <w:sz w:val="18"/>
              </w:rPr>
              <w:t xml:space="preserve">GROUND</w:t>
            </w:r>
            <w:r>
              <w:rPr>
                <w:b/>
                <w:color w:val="FFFFFF"/>
                <w:spacing w:val="40"/>
                <w:sz w:val="18"/>
              </w:rPr>
              <w:t xml:space="preserve"> </w:t>
            </w:r>
            <w:r>
              <w:rPr>
                <w:b/>
                <w:color w:val="FFFFFF"/>
                <w:spacing w:val="-2"/>
                <w:sz w:val="18"/>
              </w:rPr>
              <w:t xml:space="preserve">WATER</w:t>
            </w:r>
          </w:p>
          <w:p w:rsidR="00A154E5">
            <w:pPr>
              <w:pStyle w:val="TableParagraph"/>
              <w:spacing w:before="122"/>
              <w:ind w:left="86"/>
              <w:rPr>
                <w:b/>
                <w:sz w:val="18"/>
              </w:rPr>
            </w:pPr>
            <w:r>
              <w:rPr>
                <w:b/>
                <w:color w:val="FFFFFF"/>
                <w:sz w:val="18"/>
              </w:rPr>
              <w:t xml:space="preserve">(M</w:t>
            </w:r>
            <w:r>
              <w:rPr>
                <w:b/>
                <w:color w:val="FFFFFF"/>
                <w:spacing w:val="-2"/>
                <w:sz w:val="18"/>
              </w:rPr>
              <w:t xml:space="preserve"> B.G.L)</w:t>
            </w:r>
          </w:p>
        </w:tc>
        <w:tc>
          <w:tcPr>
            <w:tcW w:w="1251" w:type="dxa"/>
            <w:tcBorders>
              <w:top w:val="nil"/>
              <w:right w:val="nil"/>
            </w:tcBorders>
            <w:shd w:val="clear" w:color="auto" w:fill="48B757"/>
          </w:tcPr>
          <w:p w:rsidR="00A154E5">
            <w:pPr>
              <w:pStyle w:val="TableParagraph"/>
              <w:spacing w:before="80" w:line="264" w:lineRule="auto"/>
              <w:ind w:left="327" w:right="243" w:hanging="75"/>
              <w:rPr>
                <w:b/>
                <w:sz w:val="18"/>
              </w:rPr>
            </w:pPr>
            <w:r>
              <w:rPr>
                <w:b/>
                <w:color w:val="FFFFFF"/>
                <w:spacing w:val="-2"/>
                <w:sz w:val="18"/>
              </w:rPr>
              <w:t xml:space="preserve">GROUND</w:t>
            </w:r>
            <w:r>
              <w:rPr>
                <w:b/>
                <w:color w:val="FFFFFF"/>
                <w:spacing w:val="40"/>
                <w:sz w:val="18"/>
              </w:rPr>
              <w:t xml:space="preserve"> </w:t>
            </w:r>
            <w:r>
              <w:rPr>
                <w:b/>
                <w:color w:val="FFFFFF"/>
                <w:spacing w:val="-2"/>
                <w:sz w:val="18"/>
              </w:rPr>
              <w:t xml:space="preserve">WATER</w:t>
            </w:r>
          </w:p>
          <w:p w:rsidR="00A154E5">
            <w:pPr>
              <w:pStyle w:val="TableParagraph"/>
              <w:spacing w:before="122"/>
              <w:ind w:left="320"/>
              <w:rPr>
                <w:b/>
                <w:sz w:val="18"/>
              </w:rPr>
            </w:pPr>
            <w:r>
              <w:rPr>
                <w:b/>
                <w:color w:val="FFFFFF"/>
                <w:sz w:val="18"/>
              </w:rPr>
              <w:t xml:space="preserve">(M</w:t>
            </w:r>
            <w:r>
              <w:rPr>
                <w:b/>
                <w:color w:val="FFFFFF"/>
                <w:spacing w:val="-2"/>
                <w:sz w:val="18"/>
              </w:rPr>
              <w:t xml:space="preserve"> </w:t>
            </w:r>
            <w:r>
              <w:rPr>
                <w:b/>
                <w:color w:val="FFFFFF"/>
                <w:spacing w:val="-4"/>
                <w:sz w:val="18"/>
              </w:rPr>
              <w:t xml:space="preserve">R.L.)</w:t>
            </w:r>
          </w:p>
        </w:tc>
      </w:tr>
      <w:tr w14:paraId="5F73D615" w14:textId="77777777">
        <w:tblPrEx>
          <w:tblW w:w="0" w:type="auto"/>
          <w:tblCellSpacing w:w="44" w:type="dxa"/>
          <w:tblInd w:w="260" w:type="dxa"/>
          <w:tblLayout w:type="fixed"/>
          <w:tblCellMar>
            <w:left w:w="0" w:type="dxa"/>
            <w:right w:w="0" w:type="dxa"/>
          </w:tblCellMar>
          <w:tblLook w:val="01E0"/>
        </w:tblPrEx>
        <w:trPr>
          <w:trHeight w:val="682"/>
          <w:tblCellSpacing w:w="44" w:type="dxa"/>
        </w:trPr>
        <w:tc>
          <w:tcPr>
            <w:tcW w:w="1285" w:type="dxa"/>
            <w:tcBorders>
              <w:left w:val="nil"/>
            </w:tcBorders>
            <w:shd w:val="clear" w:color="auto" w:fill="F1F1F1"/>
          </w:tcPr>
          <w:p w:rsidR="00A154E5">
            <w:pPr>
              <w:pStyle w:val="TableParagraph"/>
              <w:spacing w:before="80"/>
              <w:ind w:left="64"/>
              <w:rPr>
                <w:i/>
                <w:sz w:val="18"/>
              </w:rPr>
            </w:pPr>
            <w:r>
              <w:rPr>
                <w:i/>
                <w:sz w:val="18"/>
              </w:rPr>
              <w:t xml:space="preserve">MW</w:t>
            </w:r>
            <w:r>
              <w:rPr>
                <w:i/>
                <w:spacing w:val="-3"/>
                <w:sz w:val="18"/>
              </w:rPr>
              <w:t xml:space="preserve"> </w:t>
            </w:r>
            <w:r>
              <w:rPr>
                <w:i/>
                <w:spacing w:val="-2"/>
                <w:sz w:val="18"/>
              </w:rPr>
              <w:t xml:space="preserve">BH2007</w:t>
            </w:r>
          </w:p>
        </w:tc>
        <w:tc>
          <w:tcPr>
            <w:tcW w:w="902" w:type="dxa"/>
            <w:shd w:val="clear" w:color="auto" w:fill="F1F1F1"/>
          </w:tcPr>
          <w:p w:rsidR="00A154E5">
            <w:pPr>
              <w:pStyle w:val="TableParagraph"/>
              <w:spacing w:before="80"/>
              <w:ind w:left="64"/>
              <w:rPr>
                <w:sz w:val="18"/>
              </w:rPr>
            </w:pPr>
            <w:r>
              <w:rPr>
                <w:spacing w:val="-2"/>
                <w:sz w:val="18"/>
              </w:rPr>
              <w:t xml:space="preserve">SolidEarth</w:t>
            </w:r>
          </w:p>
        </w:tc>
        <w:tc>
          <w:tcPr>
            <w:tcW w:w="1188" w:type="dxa"/>
            <w:shd w:val="clear" w:color="auto" w:fill="F1F1F1"/>
          </w:tcPr>
          <w:p w:rsidR="00A154E5">
            <w:pPr>
              <w:pStyle w:val="TableParagraph"/>
              <w:spacing w:before="80"/>
              <w:ind w:left="64"/>
              <w:rPr>
                <w:sz w:val="12"/>
              </w:rPr>
            </w:pPr>
            <w:r>
              <w:rPr>
                <w:spacing w:val="-2"/>
                <w:sz w:val="18"/>
              </w:rPr>
              <w:t xml:space="preserve">Borehole</w:t>
            </w:r>
            <w:r>
              <w:rPr>
                <w:spacing w:val="-2"/>
                <w:position w:val="5"/>
                <w:sz w:val="12"/>
              </w:rPr>
              <w:t xml:space="preserve">1</w:t>
            </w:r>
          </w:p>
        </w:tc>
        <w:tc>
          <w:tcPr>
            <w:tcW w:w="1046" w:type="dxa"/>
            <w:shd w:val="clear" w:color="auto" w:fill="F1F1F1"/>
          </w:tcPr>
          <w:p w:rsidR="00A154E5">
            <w:pPr>
              <w:pStyle w:val="TableParagraph"/>
              <w:spacing w:before="80"/>
              <w:ind w:left="65"/>
              <w:rPr>
                <w:sz w:val="18"/>
              </w:rPr>
            </w:pPr>
            <w:r>
              <w:rPr>
                <w:spacing w:val="-2"/>
                <w:w w:val="105"/>
                <w:sz w:val="18"/>
              </w:rPr>
              <w:t xml:space="preserve">1759910.10</w:t>
            </w:r>
          </w:p>
        </w:tc>
        <w:tc>
          <w:tcPr>
            <w:tcW w:w="1044" w:type="dxa"/>
            <w:shd w:val="clear" w:color="auto" w:fill="F1F1F1"/>
          </w:tcPr>
          <w:p w:rsidR="00A154E5">
            <w:pPr>
              <w:pStyle w:val="TableParagraph"/>
              <w:spacing w:before="80"/>
              <w:ind w:left="20" w:right="76"/>
              <w:jc w:val="center"/>
              <w:rPr>
                <w:sz w:val="18"/>
              </w:rPr>
            </w:pPr>
            <w:r>
              <w:rPr>
                <w:spacing w:val="-2"/>
                <w:sz w:val="18"/>
              </w:rPr>
              <w:t xml:space="preserve">5908182.12</w:t>
            </w:r>
          </w:p>
        </w:tc>
        <w:tc>
          <w:tcPr>
            <w:tcW w:w="1328" w:type="dxa"/>
            <w:shd w:val="clear" w:color="auto" w:fill="F1F1F1"/>
          </w:tcPr>
          <w:p w:rsidR="00A154E5">
            <w:pPr>
              <w:pStyle w:val="TableParagraph"/>
              <w:spacing w:before="80"/>
              <w:ind w:left="65"/>
              <w:rPr>
                <w:sz w:val="18"/>
              </w:rPr>
            </w:pPr>
            <w:r>
              <w:rPr>
                <w:spacing w:val="-4"/>
                <w:sz w:val="18"/>
              </w:rPr>
              <w:t xml:space="preserve">25.8</w:t>
            </w:r>
          </w:p>
        </w:tc>
        <w:tc>
          <w:tcPr>
            <w:tcW w:w="904" w:type="dxa"/>
            <w:shd w:val="clear" w:color="auto" w:fill="F1F1F1"/>
          </w:tcPr>
          <w:p w:rsidR="00A154E5">
            <w:pPr>
              <w:pStyle w:val="TableParagraph"/>
              <w:spacing w:before="80"/>
              <w:ind w:left="64"/>
              <w:rPr>
                <w:sz w:val="18"/>
              </w:rPr>
            </w:pPr>
            <w:r>
              <w:rPr>
                <w:spacing w:val="-5"/>
                <w:sz w:val="18"/>
              </w:rPr>
              <w:t xml:space="preserve">Not</w:t>
            </w:r>
          </w:p>
          <w:p w:rsidR="00A154E5">
            <w:pPr>
              <w:pStyle w:val="TableParagraph"/>
              <w:spacing w:before="22"/>
              <w:ind w:left="64"/>
              <w:rPr>
                <w:sz w:val="12"/>
              </w:rPr>
            </w:pPr>
            <w:r>
              <w:rPr>
                <w:spacing w:val="-2"/>
                <w:sz w:val="18"/>
              </w:rPr>
              <w:t xml:space="preserve">recorded</w:t>
            </w:r>
            <w:r>
              <w:rPr>
                <w:spacing w:val="-2"/>
                <w:position w:val="5"/>
                <w:sz w:val="12"/>
              </w:rPr>
              <w:t xml:space="preserve">2</w:t>
            </w:r>
          </w:p>
        </w:tc>
        <w:tc>
          <w:tcPr>
            <w:tcW w:w="1251" w:type="dxa"/>
            <w:tcBorders>
              <w:right w:val="nil"/>
            </w:tcBorders>
            <w:shd w:val="clear" w:color="auto" w:fill="F1F1F1"/>
          </w:tcPr>
          <w:p w:rsidR="00A154E5">
            <w:pPr>
              <w:pStyle w:val="TableParagraph"/>
              <w:spacing w:before="80"/>
              <w:ind w:left="65"/>
              <w:rPr>
                <w:sz w:val="12"/>
              </w:rPr>
            </w:pPr>
            <w:r>
              <w:rPr>
                <w:sz w:val="18"/>
              </w:rPr>
              <w:t xml:space="preserve">Not</w:t>
            </w:r>
            <w:r>
              <w:rPr>
                <w:spacing w:val="-3"/>
                <w:sz w:val="18"/>
              </w:rPr>
              <w:t xml:space="preserve"> </w:t>
            </w:r>
            <w:r>
              <w:rPr>
                <w:spacing w:val="-2"/>
                <w:sz w:val="18"/>
              </w:rPr>
              <w:t xml:space="preserve">recorded</w:t>
            </w:r>
            <w:r>
              <w:rPr>
                <w:spacing w:val="-2"/>
                <w:position w:val="5"/>
                <w:sz w:val="12"/>
              </w:rPr>
              <w:t xml:space="preserve">2</w:t>
            </w:r>
          </w:p>
        </w:tc>
      </w:tr>
      <w:tr w14:paraId="0D28CB35" w14:textId="77777777">
        <w:tblPrEx>
          <w:tblW w:w="0" w:type="auto"/>
          <w:tblCellSpacing w:w="44" w:type="dxa"/>
          <w:tblInd w:w="260" w:type="dxa"/>
          <w:tblLayout w:type="fixed"/>
          <w:tblCellMar>
            <w:left w:w="0" w:type="dxa"/>
            <w:right w:w="0" w:type="dxa"/>
          </w:tblCellMar>
          <w:tblLook w:val="01E0"/>
        </w:tblPrEx>
        <w:trPr>
          <w:trHeight w:val="442"/>
          <w:tblCellSpacing w:w="44" w:type="dxa"/>
        </w:trPr>
        <w:tc>
          <w:tcPr>
            <w:tcW w:w="1285" w:type="dxa"/>
            <w:tcBorders>
              <w:left w:val="nil"/>
            </w:tcBorders>
            <w:shd w:val="clear" w:color="auto" w:fill="F1F1F1"/>
          </w:tcPr>
          <w:p w:rsidR="00A154E5">
            <w:pPr>
              <w:pStyle w:val="TableParagraph"/>
              <w:spacing w:before="82"/>
              <w:ind w:left="64"/>
              <w:rPr>
                <w:i/>
                <w:sz w:val="18"/>
              </w:rPr>
            </w:pPr>
            <w:r>
              <w:rPr>
                <w:i/>
                <w:sz w:val="18"/>
              </w:rPr>
              <w:t xml:space="preserve">MW</w:t>
            </w:r>
            <w:r>
              <w:rPr>
                <w:i/>
                <w:spacing w:val="-3"/>
                <w:sz w:val="18"/>
              </w:rPr>
              <w:t xml:space="preserve"> </w:t>
            </w:r>
            <w:r>
              <w:rPr>
                <w:i/>
                <w:spacing w:val="-2"/>
                <w:sz w:val="18"/>
              </w:rPr>
              <w:t xml:space="preserve">HA2069</w:t>
            </w:r>
          </w:p>
        </w:tc>
        <w:tc>
          <w:tcPr>
            <w:tcW w:w="902" w:type="dxa"/>
            <w:shd w:val="clear" w:color="auto" w:fill="F1F1F1"/>
          </w:tcPr>
          <w:p w:rsidR="00A154E5">
            <w:pPr>
              <w:pStyle w:val="TableParagraph"/>
              <w:spacing w:before="82"/>
              <w:ind w:left="64"/>
              <w:rPr>
                <w:sz w:val="18"/>
              </w:rPr>
            </w:pPr>
            <w:r>
              <w:rPr>
                <w:spacing w:val="-2"/>
                <w:sz w:val="18"/>
              </w:rPr>
              <w:t xml:space="preserve">SolidEarth</w:t>
            </w:r>
          </w:p>
        </w:tc>
        <w:tc>
          <w:tcPr>
            <w:tcW w:w="1188" w:type="dxa"/>
            <w:shd w:val="clear" w:color="auto" w:fill="F1F1F1"/>
          </w:tcPr>
          <w:p w:rsidR="00A154E5">
            <w:pPr>
              <w:pStyle w:val="TableParagraph"/>
              <w:spacing w:before="82"/>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2"/>
              <w:ind w:left="65"/>
              <w:rPr>
                <w:sz w:val="18"/>
              </w:rPr>
            </w:pPr>
            <w:r>
              <w:rPr>
                <w:spacing w:val="-2"/>
                <w:sz w:val="18"/>
              </w:rPr>
              <w:t xml:space="preserve">1759876.07</w:t>
            </w:r>
          </w:p>
        </w:tc>
        <w:tc>
          <w:tcPr>
            <w:tcW w:w="1044" w:type="dxa"/>
            <w:shd w:val="clear" w:color="auto" w:fill="F1F1F1"/>
          </w:tcPr>
          <w:p w:rsidR="00A154E5">
            <w:pPr>
              <w:pStyle w:val="TableParagraph"/>
              <w:spacing w:before="82"/>
              <w:ind w:right="76"/>
              <w:jc w:val="center"/>
              <w:rPr>
                <w:sz w:val="18"/>
              </w:rPr>
            </w:pPr>
            <w:r>
              <w:rPr>
                <w:spacing w:val="-2"/>
                <w:sz w:val="18"/>
              </w:rPr>
              <w:t xml:space="preserve">5908157.31</w:t>
            </w:r>
          </w:p>
        </w:tc>
        <w:tc>
          <w:tcPr>
            <w:tcW w:w="1328" w:type="dxa"/>
            <w:shd w:val="clear" w:color="auto" w:fill="F1F1F1"/>
          </w:tcPr>
          <w:p w:rsidR="00A154E5">
            <w:pPr>
              <w:pStyle w:val="TableParagraph"/>
              <w:spacing w:before="82"/>
              <w:ind w:left="65"/>
              <w:rPr>
                <w:sz w:val="18"/>
              </w:rPr>
            </w:pPr>
            <w:r>
              <w:rPr>
                <w:spacing w:val="-5"/>
                <w:sz w:val="18"/>
              </w:rPr>
              <w:t xml:space="preserve">5.2</w:t>
            </w:r>
          </w:p>
        </w:tc>
        <w:tc>
          <w:tcPr>
            <w:tcW w:w="904" w:type="dxa"/>
            <w:shd w:val="clear" w:color="auto" w:fill="F1F1F1"/>
          </w:tcPr>
          <w:p w:rsidR="00A154E5">
            <w:pPr>
              <w:pStyle w:val="TableParagraph"/>
              <w:spacing w:before="82"/>
              <w:ind w:left="64"/>
              <w:rPr>
                <w:sz w:val="18"/>
              </w:rPr>
            </w:pPr>
            <w:r>
              <w:rPr>
                <w:spacing w:val="-4"/>
                <w:sz w:val="18"/>
              </w:rPr>
              <w:t xml:space="preserve">2.17</w:t>
            </w:r>
          </w:p>
        </w:tc>
        <w:tc>
          <w:tcPr>
            <w:tcW w:w="1251" w:type="dxa"/>
            <w:tcBorders>
              <w:right w:val="nil"/>
            </w:tcBorders>
            <w:shd w:val="clear" w:color="auto" w:fill="F1F1F1"/>
          </w:tcPr>
          <w:p w:rsidR="00A154E5">
            <w:pPr>
              <w:pStyle w:val="TableParagraph"/>
              <w:spacing w:before="82"/>
              <w:ind w:left="65"/>
              <w:rPr>
                <w:sz w:val="18"/>
              </w:rPr>
            </w:pPr>
            <w:r>
              <w:rPr>
                <w:spacing w:val="-4"/>
                <w:sz w:val="18"/>
              </w:rPr>
              <w:t xml:space="preserve">3.05</w:t>
            </w:r>
          </w:p>
        </w:tc>
      </w:tr>
      <w:tr w14:paraId="58D45B18" w14:textId="77777777">
        <w:tblPrEx>
          <w:tblW w:w="0" w:type="auto"/>
          <w:tblCellSpacing w:w="44" w:type="dxa"/>
          <w:tblInd w:w="260" w:type="dxa"/>
          <w:tblLayout w:type="fixed"/>
          <w:tblCellMar>
            <w:left w:w="0" w:type="dxa"/>
            <w:right w:w="0" w:type="dxa"/>
          </w:tblCellMar>
          <w:tblLook w:val="01E0"/>
        </w:tblPrEx>
        <w:trPr>
          <w:trHeight w:val="440"/>
          <w:tblCellSpacing w:w="44" w:type="dxa"/>
        </w:trPr>
        <w:tc>
          <w:tcPr>
            <w:tcW w:w="1285" w:type="dxa"/>
            <w:tcBorders>
              <w:left w:val="nil"/>
            </w:tcBorders>
            <w:shd w:val="clear" w:color="auto" w:fill="F1F1F1"/>
          </w:tcPr>
          <w:p w:rsidR="00A154E5">
            <w:pPr>
              <w:pStyle w:val="TableParagraph"/>
              <w:spacing w:before="80"/>
              <w:ind w:left="64"/>
              <w:rPr>
                <w:i/>
                <w:sz w:val="18"/>
              </w:rPr>
            </w:pPr>
            <w:r>
              <w:rPr>
                <w:i/>
                <w:sz w:val="18"/>
              </w:rPr>
              <w:t xml:space="preserve">MW</w:t>
            </w:r>
            <w:r>
              <w:rPr>
                <w:i/>
                <w:spacing w:val="-3"/>
                <w:sz w:val="18"/>
              </w:rPr>
              <w:t xml:space="preserve"> </w:t>
            </w:r>
            <w:r>
              <w:rPr>
                <w:i/>
                <w:spacing w:val="-2"/>
                <w:sz w:val="18"/>
              </w:rPr>
              <w:t xml:space="preserve">HA2073</w:t>
            </w:r>
          </w:p>
        </w:tc>
        <w:tc>
          <w:tcPr>
            <w:tcW w:w="902" w:type="dxa"/>
            <w:shd w:val="clear" w:color="auto" w:fill="F1F1F1"/>
          </w:tcPr>
          <w:p w:rsidR="00A154E5">
            <w:pPr>
              <w:pStyle w:val="TableParagraph"/>
              <w:spacing w:before="80"/>
              <w:ind w:left="64"/>
              <w:rPr>
                <w:sz w:val="18"/>
              </w:rPr>
            </w:pPr>
            <w:r>
              <w:rPr>
                <w:spacing w:val="-2"/>
                <w:sz w:val="18"/>
              </w:rPr>
              <w:t xml:space="preserve">SolidEarth</w:t>
            </w:r>
          </w:p>
        </w:tc>
        <w:tc>
          <w:tcPr>
            <w:tcW w:w="1188" w:type="dxa"/>
            <w:shd w:val="clear" w:color="auto" w:fill="F1F1F1"/>
          </w:tcPr>
          <w:p w:rsidR="00A154E5">
            <w:pPr>
              <w:pStyle w:val="TableParagraph"/>
              <w:spacing w:before="80"/>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0"/>
              <w:ind w:left="65"/>
              <w:rPr>
                <w:sz w:val="18"/>
              </w:rPr>
            </w:pPr>
            <w:r>
              <w:rPr>
                <w:spacing w:val="-2"/>
                <w:sz w:val="18"/>
              </w:rPr>
              <w:t xml:space="preserve">1759906.76</w:t>
            </w:r>
          </w:p>
        </w:tc>
        <w:tc>
          <w:tcPr>
            <w:tcW w:w="1044" w:type="dxa"/>
            <w:shd w:val="clear" w:color="auto" w:fill="F1F1F1"/>
          </w:tcPr>
          <w:p w:rsidR="00A154E5">
            <w:pPr>
              <w:pStyle w:val="TableParagraph"/>
              <w:spacing w:before="80"/>
              <w:ind w:left="19" w:right="76"/>
              <w:jc w:val="center"/>
              <w:rPr>
                <w:sz w:val="18"/>
              </w:rPr>
            </w:pPr>
            <w:r>
              <w:rPr>
                <w:spacing w:val="-2"/>
                <w:sz w:val="18"/>
              </w:rPr>
              <w:t xml:space="preserve">5908128.51</w:t>
            </w:r>
          </w:p>
        </w:tc>
        <w:tc>
          <w:tcPr>
            <w:tcW w:w="1328" w:type="dxa"/>
            <w:shd w:val="clear" w:color="auto" w:fill="F1F1F1"/>
          </w:tcPr>
          <w:p w:rsidR="00A154E5">
            <w:pPr>
              <w:pStyle w:val="TableParagraph"/>
              <w:spacing w:before="80"/>
              <w:ind w:left="65"/>
              <w:rPr>
                <w:sz w:val="18"/>
              </w:rPr>
            </w:pPr>
            <w:r>
              <w:rPr>
                <w:spacing w:val="-5"/>
                <w:sz w:val="18"/>
              </w:rPr>
              <w:t xml:space="preserve">5.8</w:t>
            </w:r>
          </w:p>
        </w:tc>
        <w:tc>
          <w:tcPr>
            <w:tcW w:w="904" w:type="dxa"/>
            <w:shd w:val="clear" w:color="auto" w:fill="F1F1F1"/>
          </w:tcPr>
          <w:p w:rsidR="00A154E5">
            <w:pPr>
              <w:pStyle w:val="TableParagraph"/>
              <w:spacing w:before="80"/>
              <w:ind w:left="64"/>
              <w:rPr>
                <w:sz w:val="18"/>
              </w:rPr>
            </w:pPr>
            <w:r>
              <w:rPr>
                <w:spacing w:val="-4"/>
                <w:w w:val="105"/>
                <w:sz w:val="18"/>
              </w:rPr>
              <w:t xml:space="preserve">1.17</w:t>
            </w:r>
          </w:p>
        </w:tc>
        <w:tc>
          <w:tcPr>
            <w:tcW w:w="1251" w:type="dxa"/>
            <w:tcBorders>
              <w:right w:val="nil"/>
            </w:tcBorders>
            <w:shd w:val="clear" w:color="auto" w:fill="F1F1F1"/>
          </w:tcPr>
          <w:p w:rsidR="00A154E5">
            <w:pPr>
              <w:pStyle w:val="TableParagraph"/>
              <w:spacing w:before="80"/>
              <w:ind w:left="65"/>
              <w:rPr>
                <w:sz w:val="18"/>
              </w:rPr>
            </w:pPr>
            <w:r>
              <w:rPr>
                <w:spacing w:val="-4"/>
                <w:sz w:val="18"/>
              </w:rPr>
              <w:t xml:space="preserve">4.05</w:t>
            </w:r>
          </w:p>
        </w:tc>
      </w:tr>
      <w:tr w14:paraId="2AE8DBF7" w14:textId="77777777">
        <w:tblPrEx>
          <w:tblW w:w="0" w:type="auto"/>
          <w:tblCellSpacing w:w="44" w:type="dxa"/>
          <w:tblInd w:w="260" w:type="dxa"/>
          <w:tblLayout w:type="fixed"/>
          <w:tblCellMar>
            <w:left w:w="0" w:type="dxa"/>
            <w:right w:w="0" w:type="dxa"/>
          </w:tblCellMar>
          <w:tblLook w:val="01E0"/>
        </w:tblPrEx>
        <w:trPr>
          <w:trHeight w:val="442"/>
          <w:tblCellSpacing w:w="44" w:type="dxa"/>
        </w:trPr>
        <w:tc>
          <w:tcPr>
            <w:tcW w:w="1285" w:type="dxa"/>
            <w:tcBorders>
              <w:left w:val="nil"/>
            </w:tcBorders>
            <w:shd w:val="clear" w:color="auto" w:fill="F1F1F1"/>
          </w:tcPr>
          <w:p w:rsidR="00A154E5">
            <w:pPr>
              <w:pStyle w:val="TableParagraph"/>
              <w:spacing w:before="82"/>
              <w:ind w:left="64"/>
              <w:rPr>
                <w:i/>
                <w:sz w:val="18"/>
              </w:rPr>
            </w:pPr>
            <w:r>
              <w:rPr>
                <w:i/>
                <w:sz w:val="18"/>
              </w:rPr>
              <w:t xml:space="preserve">MW</w:t>
            </w:r>
            <w:r>
              <w:rPr>
                <w:i/>
                <w:spacing w:val="-3"/>
                <w:sz w:val="18"/>
              </w:rPr>
              <w:t xml:space="preserve"> </w:t>
            </w:r>
            <w:r>
              <w:rPr>
                <w:i/>
                <w:spacing w:val="-2"/>
                <w:sz w:val="18"/>
              </w:rPr>
              <w:t xml:space="preserve">HA2070</w:t>
            </w:r>
          </w:p>
        </w:tc>
        <w:tc>
          <w:tcPr>
            <w:tcW w:w="902" w:type="dxa"/>
            <w:shd w:val="clear" w:color="auto" w:fill="F1F1F1"/>
          </w:tcPr>
          <w:p w:rsidR="00A154E5">
            <w:pPr>
              <w:pStyle w:val="TableParagraph"/>
              <w:spacing w:before="82"/>
              <w:ind w:left="64"/>
              <w:rPr>
                <w:sz w:val="18"/>
              </w:rPr>
            </w:pPr>
            <w:r>
              <w:rPr>
                <w:spacing w:val="-2"/>
                <w:sz w:val="18"/>
              </w:rPr>
              <w:t xml:space="preserve">SolidEarth</w:t>
            </w:r>
          </w:p>
        </w:tc>
        <w:tc>
          <w:tcPr>
            <w:tcW w:w="1188" w:type="dxa"/>
            <w:shd w:val="clear" w:color="auto" w:fill="F1F1F1"/>
          </w:tcPr>
          <w:p w:rsidR="00A154E5">
            <w:pPr>
              <w:pStyle w:val="TableParagraph"/>
              <w:spacing w:before="82"/>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2"/>
              <w:ind w:left="65"/>
              <w:rPr>
                <w:sz w:val="18"/>
              </w:rPr>
            </w:pPr>
            <w:r>
              <w:rPr>
                <w:spacing w:val="-2"/>
                <w:sz w:val="18"/>
              </w:rPr>
              <w:t xml:space="preserve">1759895.71</w:t>
            </w:r>
          </w:p>
        </w:tc>
        <w:tc>
          <w:tcPr>
            <w:tcW w:w="1044" w:type="dxa"/>
            <w:shd w:val="clear" w:color="auto" w:fill="F1F1F1"/>
          </w:tcPr>
          <w:p w:rsidR="00A154E5">
            <w:pPr>
              <w:pStyle w:val="TableParagraph"/>
              <w:spacing w:before="82"/>
              <w:ind w:left="21" w:right="76"/>
              <w:jc w:val="center"/>
              <w:rPr>
                <w:sz w:val="18"/>
              </w:rPr>
            </w:pPr>
            <w:r>
              <w:rPr>
                <w:spacing w:val="-2"/>
                <w:sz w:val="18"/>
              </w:rPr>
              <w:t xml:space="preserve">5908144.30</w:t>
            </w:r>
          </w:p>
        </w:tc>
        <w:tc>
          <w:tcPr>
            <w:tcW w:w="1328" w:type="dxa"/>
            <w:shd w:val="clear" w:color="auto" w:fill="F1F1F1"/>
          </w:tcPr>
          <w:p w:rsidR="00A154E5">
            <w:pPr>
              <w:pStyle w:val="TableParagraph"/>
              <w:spacing w:before="82"/>
              <w:ind w:left="65"/>
              <w:rPr>
                <w:sz w:val="18"/>
              </w:rPr>
            </w:pPr>
            <w:r>
              <w:rPr>
                <w:spacing w:val="-5"/>
                <w:sz w:val="18"/>
              </w:rPr>
              <w:t xml:space="preserve">6.2</w:t>
            </w:r>
          </w:p>
        </w:tc>
        <w:tc>
          <w:tcPr>
            <w:tcW w:w="904" w:type="dxa"/>
            <w:shd w:val="clear" w:color="auto" w:fill="F1F1F1"/>
          </w:tcPr>
          <w:p w:rsidR="00A154E5">
            <w:pPr>
              <w:pStyle w:val="TableParagraph"/>
              <w:spacing w:before="82"/>
              <w:ind w:left="64"/>
              <w:rPr>
                <w:sz w:val="18"/>
              </w:rPr>
            </w:pPr>
            <w:r>
              <w:rPr>
                <w:spacing w:val="-4"/>
                <w:sz w:val="18"/>
              </w:rPr>
              <w:t xml:space="preserve">1.58</w:t>
            </w:r>
          </w:p>
        </w:tc>
        <w:tc>
          <w:tcPr>
            <w:tcW w:w="1251" w:type="dxa"/>
            <w:tcBorders>
              <w:right w:val="nil"/>
            </w:tcBorders>
            <w:shd w:val="clear" w:color="auto" w:fill="F1F1F1"/>
          </w:tcPr>
          <w:p w:rsidR="00A154E5">
            <w:pPr>
              <w:pStyle w:val="TableParagraph"/>
              <w:spacing w:before="82"/>
              <w:ind w:left="65"/>
              <w:rPr>
                <w:sz w:val="18"/>
              </w:rPr>
            </w:pPr>
            <w:r>
              <w:rPr>
                <w:spacing w:val="-4"/>
                <w:sz w:val="18"/>
              </w:rPr>
              <w:t xml:space="preserve">3.76</w:t>
            </w:r>
          </w:p>
        </w:tc>
      </w:tr>
      <w:tr w14:paraId="4CC203FE" w14:textId="77777777">
        <w:tblPrEx>
          <w:tblW w:w="0" w:type="auto"/>
          <w:tblCellSpacing w:w="44" w:type="dxa"/>
          <w:tblInd w:w="260" w:type="dxa"/>
          <w:tblLayout w:type="fixed"/>
          <w:tblCellMar>
            <w:left w:w="0" w:type="dxa"/>
            <w:right w:w="0" w:type="dxa"/>
          </w:tblCellMar>
          <w:tblLook w:val="01E0"/>
        </w:tblPrEx>
        <w:trPr>
          <w:trHeight w:val="440"/>
          <w:tblCellSpacing w:w="44" w:type="dxa"/>
        </w:trPr>
        <w:tc>
          <w:tcPr>
            <w:tcW w:w="1285" w:type="dxa"/>
            <w:tcBorders>
              <w:left w:val="nil"/>
            </w:tcBorders>
            <w:shd w:val="clear" w:color="auto" w:fill="F1F1F1"/>
          </w:tcPr>
          <w:p w:rsidR="00A154E5">
            <w:pPr>
              <w:pStyle w:val="TableParagraph"/>
              <w:spacing w:before="80"/>
              <w:ind w:left="64"/>
              <w:rPr>
                <w:i/>
                <w:sz w:val="18"/>
              </w:rPr>
            </w:pPr>
            <w:r>
              <w:rPr>
                <w:i/>
                <w:sz w:val="18"/>
              </w:rPr>
              <w:t xml:space="preserve">MW</w:t>
            </w:r>
            <w:r>
              <w:rPr>
                <w:i/>
                <w:spacing w:val="-3"/>
                <w:sz w:val="18"/>
              </w:rPr>
              <w:t xml:space="preserve"> </w:t>
            </w:r>
            <w:r>
              <w:rPr>
                <w:i/>
                <w:spacing w:val="-2"/>
                <w:sz w:val="18"/>
              </w:rPr>
              <w:t xml:space="preserve">HA2072</w:t>
            </w:r>
          </w:p>
        </w:tc>
        <w:tc>
          <w:tcPr>
            <w:tcW w:w="902" w:type="dxa"/>
            <w:shd w:val="clear" w:color="auto" w:fill="F1F1F1"/>
          </w:tcPr>
          <w:p w:rsidR="00A154E5">
            <w:pPr>
              <w:pStyle w:val="TableParagraph"/>
              <w:spacing w:before="80"/>
              <w:ind w:left="64"/>
              <w:rPr>
                <w:sz w:val="18"/>
              </w:rPr>
            </w:pPr>
            <w:r>
              <w:rPr>
                <w:spacing w:val="-2"/>
                <w:sz w:val="18"/>
              </w:rPr>
              <w:t xml:space="preserve">SolidEarth</w:t>
            </w:r>
          </w:p>
        </w:tc>
        <w:tc>
          <w:tcPr>
            <w:tcW w:w="1188" w:type="dxa"/>
            <w:shd w:val="clear" w:color="auto" w:fill="F1F1F1"/>
          </w:tcPr>
          <w:p w:rsidR="00A154E5">
            <w:pPr>
              <w:pStyle w:val="TableParagraph"/>
              <w:spacing w:before="80"/>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0"/>
              <w:ind w:left="65"/>
              <w:rPr>
                <w:sz w:val="18"/>
              </w:rPr>
            </w:pPr>
            <w:r>
              <w:rPr>
                <w:spacing w:val="-2"/>
                <w:sz w:val="18"/>
              </w:rPr>
              <w:t xml:space="preserve">1759897.27</w:t>
            </w:r>
          </w:p>
        </w:tc>
        <w:tc>
          <w:tcPr>
            <w:tcW w:w="1044" w:type="dxa"/>
            <w:shd w:val="clear" w:color="auto" w:fill="F1F1F1"/>
          </w:tcPr>
          <w:p w:rsidR="00A154E5">
            <w:pPr>
              <w:pStyle w:val="TableParagraph"/>
              <w:spacing w:before="80"/>
              <w:ind w:left="21" w:right="76"/>
              <w:jc w:val="center"/>
              <w:rPr>
                <w:sz w:val="18"/>
              </w:rPr>
            </w:pPr>
            <w:r>
              <w:rPr>
                <w:spacing w:val="-2"/>
                <w:sz w:val="18"/>
              </w:rPr>
              <w:t xml:space="preserve">5908168.11</w:t>
            </w:r>
          </w:p>
        </w:tc>
        <w:tc>
          <w:tcPr>
            <w:tcW w:w="1328" w:type="dxa"/>
            <w:shd w:val="clear" w:color="auto" w:fill="F1F1F1"/>
          </w:tcPr>
          <w:p w:rsidR="00A154E5">
            <w:pPr>
              <w:pStyle w:val="TableParagraph"/>
              <w:spacing w:before="80"/>
              <w:ind w:left="65"/>
              <w:rPr>
                <w:sz w:val="18"/>
              </w:rPr>
            </w:pPr>
            <w:r>
              <w:rPr>
                <w:spacing w:val="-5"/>
                <w:sz w:val="18"/>
              </w:rPr>
              <w:t xml:space="preserve">5.3</w:t>
            </w:r>
          </w:p>
        </w:tc>
        <w:tc>
          <w:tcPr>
            <w:tcW w:w="904" w:type="dxa"/>
            <w:shd w:val="clear" w:color="auto" w:fill="F1F1F1"/>
          </w:tcPr>
          <w:p w:rsidR="00A154E5">
            <w:pPr>
              <w:pStyle w:val="TableParagraph"/>
              <w:spacing w:before="80"/>
              <w:ind w:left="64"/>
              <w:rPr>
                <w:sz w:val="18"/>
              </w:rPr>
            </w:pPr>
            <w:r>
              <w:rPr>
                <w:spacing w:val="-4"/>
                <w:sz w:val="18"/>
              </w:rPr>
              <w:t xml:space="preserve">2.07</w:t>
            </w:r>
          </w:p>
        </w:tc>
        <w:tc>
          <w:tcPr>
            <w:tcW w:w="1251" w:type="dxa"/>
            <w:tcBorders>
              <w:right w:val="nil"/>
            </w:tcBorders>
            <w:shd w:val="clear" w:color="auto" w:fill="F1F1F1"/>
          </w:tcPr>
          <w:p w:rsidR="00A154E5">
            <w:pPr>
              <w:pStyle w:val="TableParagraph"/>
              <w:spacing w:before="80"/>
              <w:ind w:left="65"/>
              <w:rPr>
                <w:sz w:val="18"/>
              </w:rPr>
            </w:pPr>
            <w:r>
              <w:rPr>
                <w:spacing w:val="-4"/>
                <w:sz w:val="18"/>
              </w:rPr>
              <w:t xml:space="preserve">3.51</w:t>
            </w:r>
          </w:p>
        </w:tc>
      </w:tr>
      <w:tr w14:paraId="5C30D43B" w14:textId="77777777">
        <w:tblPrEx>
          <w:tblW w:w="0" w:type="auto"/>
          <w:tblCellSpacing w:w="44" w:type="dxa"/>
          <w:tblInd w:w="260" w:type="dxa"/>
          <w:tblLayout w:type="fixed"/>
          <w:tblCellMar>
            <w:left w:w="0" w:type="dxa"/>
            <w:right w:w="0" w:type="dxa"/>
          </w:tblCellMar>
          <w:tblLook w:val="01E0"/>
        </w:tblPrEx>
        <w:trPr>
          <w:trHeight w:val="685"/>
          <w:tblCellSpacing w:w="44" w:type="dxa"/>
        </w:trPr>
        <w:tc>
          <w:tcPr>
            <w:tcW w:w="1285" w:type="dxa"/>
            <w:tcBorders>
              <w:left w:val="nil"/>
            </w:tcBorders>
            <w:shd w:val="clear" w:color="auto" w:fill="F1F1F1"/>
          </w:tcPr>
          <w:p w:rsidR="00A154E5">
            <w:pPr>
              <w:pStyle w:val="TableParagraph"/>
              <w:spacing w:before="82"/>
              <w:ind w:left="64"/>
              <w:rPr>
                <w:i/>
                <w:sz w:val="18"/>
              </w:rPr>
            </w:pPr>
            <w:r>
              <w:rPr>
                <w:i/>
                <w:sz w:val="18"/>
              </w:rPr>
              <w:t xml:space="preserve">MW</w:t>
            </w:r>
            <w:r>
              <w:rPr>
                <w:i/>
                <w:spacing w:val="-6"/>
                <w:sz w:val="18"/>
              </w:rPr>
              <w:t xml:space="preserve"> </w:t>
            </w:r>
            <w:r>
              <w:rPr>
                <w:i/>
                <w:sz w:val="18"/>
              </w:rPr>
              <w:t xml:space="preserve">CPT-</w:t>
            </w:r>
            <w:r>
              <w:rPr>
                <w:i/>
                <w:spacing w:val="-4"/>
                <w:sz w:val="18"/>
              </w:rPr>
              <w:t xml:space="preserve">2013</w:t>
            </w:r>
          </w:p>
        </w:tc>
        <w:tc>
          <w:tcPr>
            <w:tcW w:w="902" w:type="dxa"/>
            <w:shd w:val="clear" w:color="auto" w:fill="F1F1F1"/>
          </w:tcPr>
          <w:p w:rsidR="00A154E5">
            <w:pPr>
              <w:pStyle w:val="TableParagraph"/>
              <w:spacing w:before="82"/>
              <w:ind w:left="64"/>
              <w:rPr>
                <w:sz w:val="18"/>
              </w:rPr>
            </w:pPr>
            <w:r>
              <w:rPr>
                <w:spacing w:val="-2"/>
                <w:sz w:val="18"/>
              </w:rPr>
              <w:t xml:space="preserve">SolidEarth</w:t>
            </w:r>
          </w:p>
        </w:tc>
        <w:tc>
          <w:tcPr>
            <w:tcW w:w="1188" w:type="dxa"/>
            <w:shd w:val="clear" w:color="auto" w:fill="F1F1F1"/>
          </w:tcPr>
          <w:p w:rsidR="00A154E5">
            <w:pPr>
              <w:pStyle w:val="TableParagraph"/>
              <w:spacing w:before="82"/>
              <w:ind w:left="64"/>
              <w:rPr>
                <w:sz w:val="12"/>
              </w:rPr>
            </w:pPr>
            <w:r>
              <w:rPr>
                <w:spacing w:val="-4"/>
                <w:sz w:val="18"/>
              </w:rPr>
              <w:t xml:space="preserve">CPT</w:t>
            </w:r>
            <w:r>
              <w:rPr>
                <w:spacing w:val="-4"/>
                <w:position w:val="5"/>
                <w:sz w:val="12"/>
              </w:rPr>
              <w:t xml:space="preserve">4</w:t>
            </w:r>
          </w:p>
        </w:tc>
        <w:tc>
          <w:tcPr>
            <w:tcW w:w="1046" w:type="dxa"/>
            <w:shd w:val="clear" w:color="auto" w:fill="F1F1F1"/>
          </w:tcPr>
          <w:p w:rsidR="00A154E5">
            <w:pPr>
              <w:pStyle w:val="TableParagraph"/>
              <w:spacing w:before="82"/>
              <w:ind w:left="65"/>
              <w:rPr>
                <w:sz w:val="18"/>
              </w:rPr>
            </w:pPr>
            <w:r>
              <w:rPr>
                <w:spacing w:val="-2"/>
                <w:sz w:val="18"/>
              </w:rPr>
              <w:t xml:space="preserve">1759936.52</w:t>
            </w:r>
          </w:p>
        </w:tc>
        <w:tc>
          <w:tcPr>
            <w:tcW w:w="1044" w:type="dxa"/>
            <w:shd w:val="clear" w:color="auto" w:fill="F1F1F1"/>
          </w:tcPr>
          <w:p w:rsidR="00A154E5">
            <w:pPr>
              <w:pStyle w:val="TableParagraph"/>
              <w:spacing w:before="82"/>
              <w:ind w:left="16" w:right="76"/>
              <w:jc w:val="center"/>
              <w:rPr>
                <w:sz w:val="18"/>
              </w:rPr>
            </w:pPr>
            <w:r>
              <w:rPr>
                <w:spacing w:val="-2"/>
                <w:sz w:val="18"/>
              </w:rPr>
              <w:t xml:space="preserve">5908118.23</w:t>
            </w:r>
          </w:p>
        </w:tc>
        <w:tc>
          <w:tcPr>
            <w:tcW w:w="1328" w:type="dxa"/>
            <w:shd w:val="clear" w:color="auto" w:fill="F1F1F1"/>
          </w:tcPr>
          <w:p w:rsidR="00A154E5">
            <w:pPr>
              <w:pStyle w:val="TableParagraph"/>
              <w:spacing w:before="82"/>
              <w:ind w:left="65"/>
              <w:rPr>
                <w:sz w:val="18"/>
              </w:rPr>
            </w:pPr>
            <w:r>
              <w:rPr>
                <w:spacing w:val="-4"/>
                <w:sz w:val="18"/>
              </w:rPr>
              <w:t xml:space="preserve">25.0</w:t>
            </w:r>
          </w:p>
        </w:tc>
        <w:tc>
          <w:tcPr>
            <w:tcW w:w="904" w:type="dxa"/>
            <w:shd w:val="clear" w:color="auto" w:fill="F1F1F1"/>
          </w:tcPr>
          <w:p w:rsidR="00A154E5">
            <w:pPr>
              <w:pStyle w:val="TableParagraph"/>
              <w:spacing w:before="82"/>
              <w:ind w:left="64"/>
              <w:rPr>
                <w:sz w:val="18"/>
              </w:rPr>
            </w:pPr>
            <w:r>
              <w:rPr>
                <w:spacing w:val="-5"/>
                <w:sz w:val="18"/>
              </w:rPr>
              <w:t xml:space="preserve">Not</w:t>
            </w:r>
          </w:p>
          <w:p w:rsidR="00A154E5">
            <w:pPr>
              <w:pStyle w:val="TableParagraph"/>
              <w:spacing w:before="23"/>
              <w:ind w:left="64"/>
              <w:rPr>
                <w:sz w:val="12"/>
              </w:rPr>
            </w:pPr>
            <w:r>
              <w:rPr>
                <w:spacing w:val="-2"/>
                <w:sz w:val="18"/>
              </w:rPr>
              <w:t xml:space="preserve">recorded</w:t>
            </w:r>
            <w:r>
              <w:rPr>
                <w:spacing w:val="-2"/>
                <w:position w:val="5"/>
                <w:sz w:val="12"/>
              </w:rPr>
              <w:t xml:space="preserve">2</w:t>
            </w:r>
          </w:p>
        </w:tc>
        <w:tc>
          <w:tcPr>
            <w:tcW w:w="1251" w:type="dxa"/>
            <w:tcBorders>
              <w:right w:val="nil"/>
            </w:tcBorders>
            <w:shd w:val="clear" w:color="auto" w:fill="F1F1F1"/>
          </w:tcPr>
          <w:p w:rsidR="00A154E5">
            <w:pPr>
              <w:pStyle w:val="TableParagraph"/>
              <w:spacing w:before="82"/>
              <w:ind w:left="65"/>
              <w:rPr>
                <w:sz w:val="12"/>
              </w:rPr>
            </w:pPr>
            <w:r>
              <w:rPr>
                <w:sz w:val="18"/>
              </w:rPr>
              <w:t xml:space="preserve">Not</w:t>
            </w:r>
            <w:r>
              <w:rPr>
                <w:spacing w:val="-3"/>
                <w:sz w:val="18"/>
              </w:rPr>
              <w:t xml:space="preserve"> </w:t>
            </w:r>
            <w:r>
              <w:rPr>
                <w:spacing w:val="-2"/>
                <w:sz w:val="18"/>
              </w:rPr>
              <w:t xml:space="preserve">recorded</w:t>
            </w:r>
            <w:r>
              <w:rPr>
                <w:spacing w:val="-2"/>
                <w:position w:val="5"/>
                <w:sz w:val="12"/>
              </w:rPr>
              <w:t xml:space="preserve">2</w:t>
            </w:r>
          </w:p>
        </w:tc>
      </w:tr>
      <w:tr w14:paraId="50302793" w14:textId="77777777">
        <w:tblPrEx>
          <w:tblW w:w="0" w:type="auto"/>
          <w:tblCellSpacing w:w="44" w:type="dxa"/>
          <w:tblInd w:w="260" w:type="dxa"/>
          <w:tblLayout w:type="fixed"/>
          <w:tblCellMar>
            <w:left w:w="0" w:type="dxa"/>
            <w:right w:w="0" w:type="dxa"/>
          </w:tblCellMar>
          <w:tblLook w:val="01E0"/>
        </w:tblPrEx>
        <w:trPr>
          <w:trHeight w:val="440"/>
          <w:tblCellSpacing w:w="44" w:type="dxa"/>
        </w:trPr>
        <w:tc>
          <w:tcPr>
            <w:tcW w:w="1285" w:type="dxa"/>
            <w:tcBorders>
              <w:left w:val="nil"/>
            </w:tcBorders>
            <w:shd w:val="clear" w:color="auto" w:fill="F1F1F1"/>
          </w:tcPr>
          <w:p w:rsidR="00A154E5">
            <w:pPr>
              <w:pStyle w:val="TableParagraph"/>
              <w:spacing w:before="80"/>
              <w:ind w:left="64"/>
              <w:rPr>
                <w:i/>
                <w:sz w:val="18"/>
              </w:rPr>
            </w:pPr>
            <w:r>
              <w:rPr>
                <w:i/>
                <w:sz w:val="18"/>
              </w:rPr>
              <w:t xml:space="preserve">MW</w:t>
            </w:r>
            <w:r>
              <w:rPr>
                <w:i/>
                <w:spacing w:val="-3"/>
                <w:sz w:val="18"/>
              </w:rPr>
              <w:t xml:space="preserve"> </w:t>
            </w:r>
            <w:r>
              <w:rPr>
                <w:i/>
                <w:spacing w:val="-2"/>
                <w:sz w:val="18"/>
              </w:rPr>
              <w:t xml:space="preserve">HA2071</w:t>
            </w:r>
          </w:p>
        </w:tc>
        <w:tc>
          <w:tcPr>
            <w:tcW w:w="902" w:type="dxa"/>
            <w:shd w:val="clear" w:color="auto" w:fill="F1F1F1"/>
          </w:tcPr>
          <w:p w:rsidR="00A154E5">
            <w:pPr>
              <w:pStyle w:val="TableParagraph"/>
              <w:spacing w:before="80"/>
              <w:ind w:left="64"/>
              <w:rPr>
                <w:sz w:val="18"/>
              </w:rPr>
            </w:pPr>
            <w:r>
              <w:rPr>
                <w:spacing w:val="-2"/>
                <w:sz w:val="18"/>
              </w:rPr>
              <w:t xml:space="preserve">SolidEarth</w:t>
            </w:r>
          </w:p>
        </w:tc>
        <w:tc>
          <w:tcPr>
            <w:tcW w:w="1188" w:type="dxa"/>
            <w:shd w:val="clear" w:color="auto" w:fill="F1F1F1"/>
          </w:tcPr>
          <w:p w:rsidR="00A154E5">
            <w:pPr>
              <w:pStyle w:val="TableParagraph"/>
              <w:spacing w:before="80"/>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0"/>
              <w:ind w:left="65"/>
              <w:rPr>
                <w:sz w:val="18"/>
              </w:rPr>
            </w:pPr>
            <w:r>
              <w:rPr>
                <w:spacing w:val="-2"/>
                <w:sz w:val="18"/>
              </w:rPr>
              <w:t xml:space="preserve">1759922.84</w:t>
            </w:r>
          </w:p>
        </w:tc>
        <w:tc>
          <w:tcPr>
            <w:tcW w:w="1044" w:type="dxa"/>
            <w:shd w:val="clear" w:color="auto" w:fill="F1F1F1"/>
          </w:tcPr>
          <w:p w:rsidR="00A154E5">
            <w:pPr>
              <w:pStyle w:val="TableParagraph"/>
              <w:spacing w:before="80"/>
              <w:ind w:left="22" w:right="76"/>
              <w:jc w:val="center"/>
              <w:rPr>
                <w:sz w:val="18"/>
              </w:rPr>
            </w:pPr>
            <w:r>
              <w:rPr>
                <w:spacing w:val="-2"/>
                <w:sz w:val="18"/>
              </w:rPr>
              <w:t xml:space="preserve">5908190.74</w:t>
            </w:r>
          </w:p>
        </w:tc>
        <w:tc>
          <w:tcPr>
            <w:tcW w:w="1328" w:type="dxa"/>
            <w:shd w:val="clear" w:color="auto" w:fill="F1F1F1"/>
          </w:tcPr>
          <w:p w:rsidR="00A154E5">
            <w:pPr>
              <w:pStyle w:val="TableParagraph"/>
              <w:spacing w:before="80"/>
              <w:ind w:left="65"/>
              <w:rPr>
                <w:sz w:val="18"/>
              </w:rPr>
            </w:pPr>
            <w:r>
              <w:rPr>
                <w:spacing w:val="-5"/>
                <w:sz w:val="18"/>
              </w:rPr>
              <w:t xml:space="preserve">5.5</w:t>
            </w:r>
          </w:p>
        </w:tc>
        <w:tc>
          <w:tcPr>
            <w:tcW w:w="904" w:type="dxa"/>
            <w:shd w:val="clear" w:color="auto" w:fill="F1F1F1"/>
          </w:tcPr>
          <w:p w:rsidR="00A154E5">
            <w:pPr>
              <w:pStyle w:val="TableParagraph"/>
              <w:spacing w:before="80"/>
              <w:ind w:left="64"/>
              <w:rPr>
                <w:sz w:val="18"/>
              </w:rPr>
            </w:pPr>
            <w:r>
              <w:rPr>
                <w:spacing w:val="-4"/>
                <w:sz w:val="18"/>
              </w:rPr>
              <w:t xml:space="preserve">1.82</w:t>
            </w:r>
          </w:p>
        </w:tc>
        <w:tc>
          <w:tcPr>
            <w:tcW w:w="1251" w:type="dxa"/>
            <w:tcBorders>
              <w:right w:val="nil"/>
            </w:tcBorders>
            <w:shd w:val="clear" w:color="auto" w:fill="F1F1F1"/>
          </w:tcPr>
          <w:p w:rsidR="00A154E5">
            <w:pPr>
              <w:pStyle w:val="TableParagraph"/>
              <w:spacing w:before="80"/>
              <w:ind w:left="65"/>
              <w:rPr>
                <w:sz w:val="18"/>
              </w:rPr>
            </w:pPr>
            <w:r>
              <w:rPr>
                <w:spacing w:val="-4"/>
                <w:sz w:val="18"/>
              </w:rPr>
              <w:t xml:space="preserve">3.98</w:t>
            </w:r>
          </w:p>
        </w:tc>
      </w:tr>
      <w:tr w14:paraId="5346E62C" w14:textId="77777777">
        <w:tblPrEx>
          <w:tblW w:w="0" w:type="auto"/>
          <w:tblCellSpacing w:w="44" w:type="dxa"/>
          <w:tblInd w:w="260" w:type="dxa"/>
          <w:tblLayout w:type="fixed"/>
          <w:tblCellMar>
            <w:left w:w="0" w:type="dxa"/>
            <w:right w:w="0" w:type="dxa"/>
          </w:tblCellMar>
          <w:tblLook w:val="01E0"/>
        </w:tblPrEx>
        <w:trPr>
          <w:trHeight w:val="442"/>
          <w:tblCellSpacing w:w="44" w:type="dxa"/>
        </w:trPr>
        <w:tc>
          <w:tcPr>
            <w:tcW w:w="1285" w:type="dxa"/>
            <w:tcBorders>
              <w:left w:val="nil"/>
            </w:tcBorders>
            <w:shd w:val="clear" w:color="auto" w:fill="F1F1F1"/>
          </w:tcPr>
          <w:p w:rsidR="00A154E5">
            <w:pPr>
              <w:pStyle w:val="TableParagraph"/>
              <w:spacing w:before="82"/>
              <w:ind w:left="64"/>
              <w:rPr>
                <w:i/>
                <w:sz w:val="18"/>
              </w:rPr>
            </w:pPr>
            <w:r>
              <w:rPr>
                <w:i/>
                <w:sz w:val="18"/>
              </w:rPr>
              <w:t xml:space="preserve">MW</w:t>
            </w:r>
            <w:r>
              <w:rPr>
                <w:i/>
                <w:spacing w:val="-3"/>
                <w:sz w:val="18"/>
              </w:rPr>
              <w:t xml:space="preserve"> </w:t>
            </w:r>
            <w:r>
              <w:rPr>
                <w:i/>
                <w:spacing w:val="-2"/>
                <w:sz w:val="18"/>
              </w:rPr>
              <w:t xml:space="preserve">HA2082</w:t>
            </w:r>
          </w:p>
        </w:tc>
        <w:tc>
          <w:tcPr>
            <w:tcW w:w="902" w:type="dxa"/>
            <w:shd w:val="clear" w:color="auto" w:fill="F1F1F1"/>
          </w:tcPr>
          <w:p w:rsidR="00A154E5">
            <w:pPr>
              <w:pStyle w:val="TableParagraph"/>
              <w:spacing w:before="82"/>
              <w:ind w:left="64"/>
              <w:rPr>
                <w:sz w:val="18"/>
              </w:rPr>
            </w:pPr>
            <w:r>
              <w:rPr>
                <w:spacing w:val="-2"/>
                <w:sz w:val="18"/>
              </w:rPr>
              <w:t xml:space="preserve">SolidEarth</w:t>
            </w:r>
          </w:p>
        </w:tc>
        <w:tc>
          <w:tcPr>
            <w:tcW w:w="1188" w:type="dxa"/>
            <w:shd w:val="clear" w:color="auto" w:fill="F1F1F1"/>
          </w:tcPr>
          <w:p w:rsidR="00A154E5">
            <w:pPr>
              <w:pStyle w:val="TableParagraph"/>
              <w:spacing w:before="82"/>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2"/>
              <w:ind w:left="65"/>
              <w:rPr>
                <w:sz w:val="18"/>
              </w:rPr>
            </w:pPr>
            <w:r>
              <w:rPr>
                <w:spacing w:val="-2"/>
                <w:sz w:val="18"/>
              </w:rPr>
              <w:t xml:space="preserve">1759961.98</w:t>
            </w:r>
          </w:p>
        </w:tc>
        <w:tc>
          <w:tcPr>
            <w:tcW w:w="1044" w:type="dxa"/>
            <w:shd w:val="clear" w:color="auto" w:fill="F1F1F1"/>
          </w:tcPr>
          <w:p w:rsidR="00A154E5">
            <w:pPr>
              <w:pStyle w:val="TableParagraph"/>
              <w:spacing w:before="82"/>
              <w:ind w:left="22" w:right="76"/>
              <w:jc w:val="center"/>
              <w:rPr>
                <w:sz w:val="18"/>
              </w:rPr>
            </w:pPr>
            <w:r>
              <w:rPr>
                <w:spacing w:val="-2"/>
                <w:sz w:val="18"/>
              </w:rPr>
              <w:t xml:space="preserve">5908142.36</w:t>
            </w:r>
          </w:p>
        </w:tc>
        <w:tc>
          <w:tcPr>
            <w:tcW w:w="1328" w:type="dxa"/>
            <w:shd w:val="clear" w:color="auto" w:fill="F1F1F1"/>
          </w:tcPr>
          <w:p w:rsidR="00A154E5">
            <w:pPr>
              <w:pStyle w:val="TableParagraph"/>
              <w:spacing w:before="82"/>
              <w:ind w:left="65"/>
              <w:rPr>
                <w:sz w:val="18"/>
              </w:rPr>
            </w:pPr>
            <w:r>
              <w:rPr>
                <w:spacing w:val="-5"/>
                <w:sz w:val="18"/>
              </w:rPr>
              <w:t xml:space="preserve">5.3</w:t>
            </w:r>
          </w:p>
        </w:tc>
        <w:tc>
          <w:tcPr>
            <w:tcW w:w="904" w:type="dxa"/>
            <w:shd w:val="clear" w:color="auto" w:fill="F1F1F1"/>
          </w:tcPr>
          <w:p w:rsidR="00A154E5">
            <w:pPr>
              <w:pStyle w:val="TableParagraph"/>
              <w:spacing w:before="82"/>
              <w:ind w:left="64"/>
              <w:rPr>
                <w:sz w:val="18"/>
              </w:rPr>
            </w:pPr>
            <w:r>
              <w:rPr>
                <w:spacing w:val="-4"/>
                <w:w w:val="105"/>
                <w:sz w:val="18"/>
              </w:rPr>
              <w:t xml:space="preserve">1.12</w:t>
            </w:r>
          </w:p>
        </w:tc>
        <w:tc>
          <w:tcPr>
            <w:tcW w:w="1251" w:type="dxa"/>
            <w:tcBorders>
              <w:right w:val="nil"/>
            </w:tcBorders>
            <w:shd w:val="clear" w:color="auto" w:fill="F1F1F1"/>
          </w:tcPr>
          <w:p w:rsidR="00A154E5">
            <w:pPr>
              <w:pStyle w:val="TableParagraph"/>
              <w:spacing w:before="82"/>
              <w:ind w:left="65"/>
              <w:rPr>
                <w:sz w:val="18"/>
              </w:rPr>
            </w:pPr>
            <w:r>
              <w:rPr>
                <w:spacing w:val="-4"/>
                <w:sz w:val="18"/>
              </w:rPr>
              <w:t xml:space="preserve">4.26</w:t>
            </w:r>
          </w:p>
        </w:tc>
      </w:tr>
      <w:tr w14:paraId="16DDAEBC" w14:textId="77777777">
        <w:tblPrEx>
          <w:tblW w:w="0" w:type="auto"/>
          <w:tblCellSpacing w:w="44" w:type="dxa"/>
          <w:tblInd w:w="260" w:type="dxa"/>
          <w:tblLayout w:type="fixed"/>
          <w:tblCellMar>
            <w:left w:w="0" w:type="dxa"/>
            <w:right w:w="0" w:type="dxa"/>
          </w:tblCellMar>
          <w:tblLook w:val="01E0"/>
        </w:tblPrEx>
        <w:trPr>
          <w:trHeight w:val="441"/>
          <w:tblCellSpacing w:w="44" w:type="dxa"/>
        </w:trPr>
        <w:tc>
          <w:tcPr>
            <w:tcW w:w="1285" w:type="dxa"/>
            <w:tcBorders>
              <w:left w:val="nil"/>
              <w:bottom w:val="nil"/>
            </w:tcBorders>
            <w:shd w:val="clear" w:color="auto" w:fill="F1F1F1"/>
          </w:tcPr>
          <w:p w:rsidR="00A154E5">
            <w:pPr>
              <w:pStyle w:val="TableParagraph"/>
              <w:spacing w:before="80"/>
              <w:ind w:left="64"/>
              <w:rPr>
                <w:i/>
                <w:sz w:val="18"/>
              </w:rPr>
            </w:pPr>
            <w:r>
              <w:rPr>
                <w:i/>
                <w:sz w:val="18"/>
              </w:rPr>
              <w:t xml:space="preserve">MW</w:t>
            </w:r>
            <w:r>
              <w:rPr>
                <w:i/>
                <w:spacing w:val="-3"/>
                <w:sz w:val="18"/>
              </w:rPr>
              <w:t xml:space="preserve"> </w:t>
            </w:r>
            <w:r>
              <w:rPr>
                <w:i/>
                <w:spacing w:val="-2"/>
                <w:sz w:val="18"/>
              </w:rPr>
              <w:t xml:space="preserve">HA2080</w:t>
            </w:r>
          </w:p>
        </w:tc>
        <w:tc>
          <w:tcPr>
            <w:tcW w:w="902" w:type="dxa"/>
            <w:tcBorders>
              <w:bottom w:val="nil"/>
            </w:tcBorders>
            <w:shd w:val="clear" w:color="auto" w:fill="F1F1F1"/>
          </w:tcPr>
          <w:p w:rsidR="00A154E5">
            <w:pPr>
              <w:pStyle w:val="TableParagraph"/>
              <w:spacing w:before="80"/>
              <w:ind w:left="64"/>
              <w:rPr>
                <w:sz w:val="18"/>
              </w:rPr>
            </w:pPr>
            <w:r>
              <w:rPr>
                <w:spacing w:val="-2"/>
                <w:sz w:val="18"/>
              </w:rPr>
              <w:t xml:space="preserve">SolidEarth</w:t>
            </w:r>
          </w:p>
        </w:tc>
        <w:tc>
          <w:tcPr>
            <w:tcW w:w="1188" w:type="dxa"/>
            <w:tcBorders>
              <w:bottom w:val="nil"/>
            </w:tcBorders>
            <w:shd w:val="clear" w:color="auto" w:fill="F1F1F1"/>
          </w:tcPr>
          <w:p w:rsidR="00A154E5">
            <w:pPr>
              <w:pStyle w:val="TableParagraph"/>
              <w:spacing w:before="80"/>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tcBorders>
              <w:bottom w:val="nil"/>
            </w:tcBorders>
            <w:shd w:val="clear" w:color="auto" w:fill="F1F1F1"/>
          </w:tcPr>
          <w:p w:rsidR="00A154E5">
            <w:pPr>
              <w:pStyle w:val="TableParagraph"/>
              <w:spacing w:before="80"/>
              <w:ind w:left="65"/>
              <w:rPr>
                <w:sz w:val="18"/>
              </w:rPr>
            </w:pPr>
            <w:r>
              <w:rPr>
                <w:spacing w:val="-2"/>
                <w:sz w:val="18"/>
              </w:rPr>
              <w:t xml:space="preserve">1759968.54</w:t>
            </w:r>
          </w:p>
        </w:tc>
        <w:tc>
          <w:tcPr>
            <w:tcW w:w="1044" w:type="dxa"/>
            <w:tcBorders>
              <w:bottom w:val="nil"/>
            </w:tcBorders>
            <w:shd w:val="clear" w:color="auto" w:fill="F1F1F1"/>
          </w:tcPr>
          <w:p w:rsidR="00A154E5">
            <w:pPr>
              <w:pStyle w:val="TableParagraph"/>
              <w:spacing w:before="80"/>
              <w:ind w:left="22" w:right="76"/>
              <w:jc w:val="center"/>
              <w:rPr>
                <w:sz w:val="18"/>
              </w:rPr>
            </w:pPr>
            <w:r>
              <w:rPr>
                <w:spacing w:val="-2"/>
                <w:sz w:val="18"/>
              </w:rPr>
              <w:t xml:space="preserve">5908105.61</w:t>
            </w:r>
          </w:p>
        </w:tc>
        <w:tc>
          <w:tcPr>
            <w:tcW w:w="1328" w:type="dxa"/>
            <w:tcBorders>
              <w:bottom w:val="nil"/>
            </w:tcBorders>
            <w:shd w:val="clear" w:color="auto" w:fill="F1F1F1"/>
          </w:tcPr>
          <w:p w:rsidR="00A154E5">
            <w:pPr>
              <w:pStyle w:val="TableParagraph"/>
              <w:spacing w:before="80"/>
              <w:ind w:left="65"/>
              <w:rPr>
                <w:sz w:val="18"/>
              </w:rPr>
            </w:pPr>
            <w:r>
              <w:rPr>
                <w:spacing w:val="-10"/>
                <w:sz w:val="18"/>
              </w:rPr>
              <w:t xml:space="preserve">5</w:t>
            </w:r>
          </w:p>
        </w:tc>
        <w:tc>
          <w:tcPr>
            <w:tcW w:w="904" w:type="dxa"/>
            <w:tcBorders>
              <w:bottom w:val="nil"/>
            </w:tcBorders>
            <w:shd w:val="clear" w:color="auto" w:fill="F1F1F1"/>
          </w:tcPr>
          <w:p w:rsidR="00A154E5">
            <w:pPr>
              <w:pStyle w:val="TableParagraph"/>
              <w:spacing w:before="80"/>
              <w:ind w:left="64"/>
              <w:rPr>
                <w:sz w:val="18"/>
              </w:rPr>
            </w:pPr>
            <w:r>
              <w:rPr>
                <w:spacing w:val="-4"/>
                <w:w w:val="105"/>
                <w:sz w:val="18"/>
              </w:rPr>
              <w:t xml:space="preserve">1.17</w:t>
            </w:r>
          </w:p>
        </w:tc>
        <w:tc>
          <w:tcPr>
            <w:tcW w:w="1251" w:type="dxa"/>
            <w:tcBorders>
              <w:bottom w:val="nil"/>
              <w:right w:val="nil"/>
            </w:tcBorders>
            <w:shd w:val="clear" w:color="auto" w:fill="F1F1F1"/>
          </w:tcPr>
          <w:p w:rsidR="00A154E5">
            <w:pPr>
              <w:pStyle w:val="TableParagraph"/>
              <w:spacing w:before="80"/>
              <w:ind w:left="65"/>
              <w:rPr>
                <w:sz w:val="18"/>
              </w:rPr>
            </w:pPr>
            <w:r>
              <w:rPr>
                <w:spacing w:val="-4"/>
                <w:sz w:val="18"/>
              </w:rPr>
              <w:t xml:space="preserve">4.12</w:t>
            </w:r>
          </w:p>
        </w:tc>
      </w:tr>
    </w:tbl>
    <w:p w:rsidR="00A154E5">
      <w:pPr>
        <w:spacing w:before="96"/>
        <w:ind w:left="120"/>
        <w:rPr>
          <w:rFonts w:ascii="Calibri"/>
          <w:sz w:val="18"/>
        </w:rPr>
      </w:pPr>
      <w:r>
        <w:t xml:space="preserve">NOTES:</w:t>
      </w:r>
    </w:p>
    <w:p w:rsidR="00A154E5">
      <w:pPr>
        <w:pStyle w:val="ListParagraph"/>
        <w:numPr>
          <w:ilvl w:val="0"/>
          <w:numId w:val="18"/>
        </w:numPr>
        <w:tabs>
          <w:tab w:val="left" w:pos="840"/>
        </w:tabs>
        <w:spacing w:before="1" w:line="219" w:lineRule="exact"/>
        <w:rPr>
          <w:rFonts w:ascii="Calibri"/>
          <w:sz w:val="18"/>
        </w:rPr>
      </w:pPr>
      <w:r>
        <w:t xml:space="preserve">Rotary cored machine borehole</w:t>
      </w:r>
    </w:p>
    <w:p w:rsidR="00A154E5">
      <w:pPr>
        <w:pStyle w:val="ListParagraph"/>
        <w:numPr>
          <w:ilvl w:val="0"/>
          <w:numId w:val="18"/>
        </w:numPr>
        <w:tabs>
          <w:tab w:val="left" w:pos="840"/>
        </w:tabs>
        <w:spacing w:line="219" w:lineRule="exact"/>
        <w:rPr>
          <w:rFonts w:ascii="Calibri"/>
          <w:sz w:val="18"/>
        </w:rPr>
      </w:pPr>
      <w:r>
        <w:t xml:space="preserve">Groundwater level not recorded</w:t>
      </w:r>
    </w:p>
    <w:p w:rsidR="00A154E5">
      <w:pPr>
        <w:pStyle w:val="ListParagraph"/>
        <w:numPr>
          <w:ilvl w:val="0"/>
          <w:numId w:val="18"/>
        </w:numPr>
        <w:tabs>
          <w:tab w:val="left" w:pos="840"/>
        </w:tabs>
        <w:spacing w:before="1"/>
        <w:rPr>
          <w:rFonts w:ascii="Calibri"/>
          <w:sz w:val="18"/>
        </w:rPr>
      </w:pPr>
      <w:r>
        <w:t xml:space="preserve">Hand augered borehole</w:t>
      </w:r>
    </w:p>
    <w:p w:rsidR="00A154E5">
      <w:pPr>
        <w:pStyle w:val="ListParagraph"/>
        <w:numPr>
          <w:ilvl w:val="0"/>
          <w:numId w:val="18"/>
        </w:numPr>
        <w:tabs>
          <w:tab w:val="left" w:pos="840"/>
        </w:tabs>
        <w:spacing w:before="1"/>
        <w:rPr>
          <w:rFonts w:ascii="Calibri"/>
          <w:sz w:val="18"/>
        </w:rPr>
      </w:pPr>
      <w:r>
        <w:t xml:space="preserve">Cone penetration test</w:t>
      </w:r>
    </w:p>
    <w:p w:rsidR="00A154E5">
      <w:pPr>
        <w:pStyle w:val="BodyText"/>
        <w:spacing w:before="141"/>
        <w:rPr>
          <w:rFonts w:ascii="Calibri"/>
          <w:sz w:val="18"/>
        </w:rPr>
      </w:pPr>
    </w:p>
    <w:p w:rsidR="00A154E5">
      <w:pPr>
        <w:pStyle w:val="Heading2"/>
        <w:numPr>
          <w:ilvl w:val="1"/>
          <w:numId w:val="13"/>
        </w:numPr>
        <w:tabs>
          <w:tab w:val="left" w:pos="684"/>
        </w:tabs>
        <w:ind w:left="684" w:hanging="564"/>
      </w:pPr>
      <w:r>
        <w:t xml:space="preserve">Groundwater</w:t>
      </w:r>
    </w:p>
    <w:p w:rsidR="00A154E5">
      <w:pPr>
        <w:pStyle w:val="BodyText"/>
        <w:spacing w:before="119"/>
        <w:ind w:left="120"/>
      </w:pPr>
      <w:r>
        <w:t xml:space="preserve">Groundwater, or the lack of, was recorded following the completion of each investigation (with the</w:t>
      </w:r>
    </w:p>
    <w:p w:rsidR="00A154E5">
      <w:pPr>
        <w:pStyle w:val="BodyText"/>
        <w:spacing w:before="26" w:line="264" w:lineRule="auto"/>
        <w:ind w:left="120"/>
      </w:pPr>
      <w:r>
        <w:t xml:space="preserve">exception of BH 2007). Details of the recorded groundwater observations are presented on the investigation logs in Appendix B and are summarised in Table 1 above.</w:t>
      </w:r>
    </w:p>
    <w:p w:rsidR="00A154E5">
      <w:pPr>
        <w:pStyle w:val="BodyText"/>
        <w:spacing w:before="92"/>
      </w:pPr>
    </w:p>
    <w:p w:rsidR="00A154E5">
      <w:pPr>
        <w:pStyle w:val="Heading2"/>
        <w:numPr>
          <w:ilvl w:val="1"/>
          <w:numId w:val="13"/>
        </w:numPr>
        <w:tabs>
          <w:tab w:val="left" w:pos="686"/>
        </w:tabs>
        <w:ind w:left="686" w:hanging="566"/>
      </w:pPr>
      <w:r>
        <w:t xml:space="preserve">Geotechnical laboratory testing</w:t>
      </w:r>
    </w:p>
    <w:p w:rsidR="00A154E5">
      <w:pPr>
        <w:pStyle w:val="BodyText"/>
        <w:spacing w:before="119"/>
        <w:ind w:left="120"/>
      </w:pPr>
      <w:r>
        <w:t xml:space="preserve">Samples were collected from boreholes for laboratory testing.</w:t>
      </w:r>
    </w:p>
    <w:p w:rsidR="00A154E5">
      <w:pPr>
        <w:pStyle w:val="BodyText"/>
        <w:spacing w:before="147" w:line="264" w:lineRule="auto"/>
        <w:ind w:left="120" w:right="210"/>
      </w:pPr>
      <w:r>
        <w:t xml:space="preserve">Summary details of the samples and laboratory tests are presented in Table 2 below. Results of the laboratory testing are attached in Appendix C.</w:t>
      </w:r>
    </w:p>
    <w:p w:rsidR="00A154E5">
      <w:pPr>
        <w:spacing w:line="264" w:lineRule="auto"/>
        <w:sectPr>
          <w:pgSz w:w="11910" w:h="16840" w:orient="portrait"/>
          <w:pgMar w:top="1380" w:right="960" w:bottom="1140" w:left="960" w:header="0" w:footer="953" w:gutter="0"/>
          <w:cols w:num="1" w:space="720">
            <w:col w:w="9990" w:space="720"/>
          </w:cols>
        </w:sectPr>
      </w:pPr>
    </w:p>
    <w:p w:rsidR="00A154E5">
      <w:pPr>
        <w:pStyle w:val="Heading4"/>
        <w:spacing w:before="41"/>
      </w:pPr>
      <w:r>
        <w:t xml:space="preserve">Table 2: Geotechnical laboratory testing</w:t>
      </w:r>
    </w:p>
    <w:p w:rsidR="00A154E5">
      <w:pPr>
        <w:pStyle w:val="BodyText"/>
        <w:spacing w:before="2"/>
        <w:rPr>
          <w:b/>
          <w:sz w:val="17"/>
        </w:rPr>
      </w:pPr>
    </w:p>
    <w:tbl>
      <w:tblPr>
        <w:tblStyle w:val="NormalTable"/>
        <w:tblW w:w="0" w:type="auto"/>
        <w:tblCellSpacing w:w="43" w:type="dxa"/>
        <w:tblInd w:w="260" w:type="dxa"/>
        <w:tblLayout w:type="fixed"/>
        <w:tblCellMar>
          <w:left w:w="0" w:type="dxa"/>
          <w:right w:w="0" w:type="dxa"/>
        </w:tblCellMar>
        <w:tblLook w:val="01E0"/>
      </w:tblPr>
      <w:tblGrid>
        <w:gridCol w:w="1993"/>
        <w:gridCol w:w="2608"/>
        <w:gridCol w:w="4796"/>
      </w:tblGrid>
      <w:tr w14:paraId="010EA848" w14:textId="77777777">
        <w:tblPrEx>
          <w:tblW w:w="0" w:type="auto"/>
          <w:tblCellSpacing w:w="43" w:type="dxa"/>
          <w:tblInd w:w="260" w:type="dxa"/>
          <w:tblLayout w:type="fixed"/>
          <w:tblCellMar>
            <w:left w:w="0" w:type="dxa"/>
            <w:right w:w="0" w:type="dxa"/>
          </w:tblCellMar>
          <w:tblLook w:val="01E0"/>
        </w:tblPrEx>
        <w:trPr>
          <w:trHeight w:val="496"/>
          <w:tblCellSpacing w:w="43" w:type="dxa"/>
        </w:trPr>
        <w:tc>
          <w:tcPr>
            <w:tcW w:w="1993" w:type="dxa"/>
            <w:tcBorders>
              <w:top w:val="nil"/>
              <w:left w:val="nil"/>
            </w:tcBorders>
            <w:shd w:val="clear" w:color="auto" w:fill="48B757"/>
          </w:tcPr>
          <w:p w:rsidR="00A154E5">
            <w:pPr>
              <w:pStyle w:val="TableParagraph"/>
              <w:spacing w:before="78"/>
              <w:ind w:left="134"/>
              <w:rPr>
                <w:b/>
              </w:rPr>
            </w:pPr>
            <w:r>
              <w:rPr>
                <w:b/>
                <w:color w:val="FFFFFF"/>
              </w:rPr>
              <w:t xml:space="preserve">TEST</w:t>
            </w:r>
            <w:r>
              <w:rPr>
                <w:b/>
                <w:color w:val="FFFFFF"/>
                <w:spacing w:val="-6"/>
              </w:rPr>
              <w:t xml:space="preserve"> </w:t>
            </w:r>
            <w:r>
              <w:rPr>
                <w:b/>
                <w:color w:val="FFFFFF"/>
                <w:spacing w:val="-2"/>
              </w:rPr>
              <w:t xml:space="preserve">REFERENCE</w:t>
            </w:r>
          </w:p>
        </w:tc>
        <w:tc>
          <w:tcPr>
            <w:tcW w:w="2608" w:type="dxa"/>
            <w:tcBorders>
              <w:top w:val="nil"/>
            </w:tcBorders>
            <w:shd w:val="clear" w:color="auto" w:fill="48B757"/>
          </w:tcPr>
          <w:p w:rsidR="00A154E5">
            <w:pPr>
              <w:pStyle w:val="TableParagraph"/>
              <w:spacing w:before="78"/>
              <w:ind w:left="360"/>
              <w:rPr>
                <w:b/>
              </w:rPr>
            </w:pPr>
            <w:r>
              <w:rPr>
                <w:b/>
                <w:color w:val="FFFFFF"/>
              </w:rPr>
              <w:t xml:space="preserve">SAMPLE</w:t>
            </w:r>
            <w:r>
              <w:rPr>
                <w:b/>
                <w:color w:val="FFFFFF"/>
                <w:spacing w:val="-8"/>
              </w:rPr>
              <w:t xml:space="preserve"> </w:t>
            </w:r>
            <w:r>
              <w:rPr>
                <w:b/>
                <w:color w:val="FFFFFF"/>
                <w:spacing w:val="-2"/>
              </w:rPr>
              <w:t xml:space="preserve">INTERVAL</w:t>
            </w:r>
          </w:p>
        </w:tc>
        <w:tc>
          <w:tcPr>
            <w:tcW w:w="4796" w:type="dxa"/>
            <w:tcBorders>
              <w:top w:val="nil"/>
              <w:right w:val="nil"/>
            </w:tcBorders>
            <w:shd w:val="clear" w:color="auto" w:fill="48B757"/>
          </w:tcPr>
          <w:p w:rsidR="00A154E5">
            <w:pPr>
              <w:pStyle w:val="TableParagraph"/>
              <w:spacing w:before="78"/>
              <w:ind w:right="1"/>
              <w:jc w:val="center"/>
              <w:rPr>
                <w:b/>
              </w:rPr>
            </w:pPr>
            <w:r>
              <w:rPr>
                <w:b/>
                <w:color w:val="FFFFFF"/>
                <w:spacing w:val="-4"/>
              </w:rPr>
              <w:t xml:space="preserve">TEST</w:t>
            </w:r>
          </w:p>
        </w:tc>
      </w:tr>
      <w:tr w14:paraId="51701F28" w14:textId="77777777">
        <w:tblPrEx>
          <w:tblW w:w="0" w:type="auto"/>
          <w:tblCellSpacing w:w="43" w:type="dxa"/>
          <w:tblInd w:w="260" w:type="dxa"/>
          <w:tblLayout w:type="fixed"/>
          <w:tblCellMar>
            <w:left w:w="0" w:type="dxa"/>
            <w:right w:w="0" w:type="dxa"/>
          </w:tblCellMar>
          <w:tblLook w:val="01E0"/>
        </w:tblPrEx>
        <w:trPr>
          <w:trHeight w:val="495"/>
          <w:tblCellSpacing w:w="43" w:type="dxa"/>
        </w:trPr>
        <w:tc>
          <w:tcPr>
            <w:tcW w:w="1993" w:type="dxa"/>
            <w:tcBorders>
              <w:left w:val="nil"/>
            </w:tcBorders>
            <w:shd w:val="clear" w:color="auto" w:fill="F1F1F1"/>
          </w:tcPr>
          <w:p w:rsidR="00A154E5">
            <w:pPr>
              <w:pStyle w:val="TableParagraph"/>
              <w:spacing w:before="78"/>
              <w:ind w:left="64"/>
            </w:pPr>
            <w:r>
              <w:t xml:space="preserve">MW</w:t>
            </w:r>
            <w:r>
              <w:rPr>
                <w:spacing w:val="-4"/>
              </w:rPr>
              <w:t xml:space="preserve"> </w:t>
            </w:r>
            <w:r>
              <w:rPr>
                <w:spacing w:val="-2"/>
              </w:rPr>
              <w:t xml:space="preserve">BH2007</w:t>
            </w:r>
          </w:p>
        </w:tc>
        <w:tc>
          <w:tcPr>
            <w:tcW w:w="2608" w:type="dxa"/>
            <w:shd w:val="clear" w:color="auto" w:fill="F1F1F1"/>
          </w:tcPr>
          <w:p w:rsidR="00A154E5">
            <w:pPr>
              <w:pStyle w:val="TableParagraph"/>
              <w:spacing w:before="78"/>
              <w:ind w:left="65"/>
            </w:pPr>
            <w:r>
              <w:t xml:space="preserve">1.5 -</w:t>
            </w:r>
            <w:r>
              <w:rPr>
                <w:spacing w:val="2"/>
              </w:rPr>
              <w:t xml:space="preserve"> </w:t>
            </w:r>
            <w:r>
              <w:rPr>
                <w:spacing w:val="-5"/>
              </w:rPr>
              <w:t xml:space="preserve">2.0</w:t>
            </w:r>
          </w:p>
        </w:tc>
        <w:tc>
          <w:tcPr>
            <w:tcW w:w="4796" w:type="dxa"/>
            <w:tcBorders>
              <w:right w:val="nil"/>
            </w:tcBorders>
            <w:shd w:val="clear" w:color="auto" w:fill="F1F1F1"/>
          </w:tcPr>
          <w:p w:rsidR="00A154E5">
            <w:pPr>
              <w:pStyle w:val="TableParagraph"/>
              <w:spacing w:before="78"/>
              <w:ind w:left="63"/>
            </w:pPr>
            <w:r>
              <w:t xml:space="preserve">1-D</w:t>
            </w:r>
            <w:r>
              <w:rPr>
                <w:spacing w:val="5"/>
              </w:rPr>
              <w:t xml:space="preserve"> </w:t>
            </w:r>
            <w:r>
              <w:rPr>
                <w:spacing w:val="-2"/>
              </w:rPr>
              <w:t xml:space="preserve">Consolidation</w:t>
            </w:r>
          </w:p>
        </w:tc>
      </w:tr>
      <w:tr w14:paraId="72B09CEF" w14:textId="77777777">
        <w:tblPrEx>
          <w:tblW w:w="0" w:type="auto"/>
          <w:tblCellSpacing w:w="43" w:type="dxa"/>
          <w:tblInd w:w="260" w:type="dxa"/>
          <w:tblLayout w:type="fixed"/>
          <w:tblCellMar>
            <w:left w:w="0" w:type="dxa"/>
            <w:right w:w="0" w:type="dxa"/>
          </w:tblCellMar>
          <w:tblLook w:val="01E0"/>
        </w:tblPrEx>
        <w:trPr>
          <w:trHeight w:val="495"/>
          <w:tblCellSpacing w:w="43" w:type="dxa"/>
        </w:trPr>
        <w:tc>
          <w:tcPr>
            <w:tcW w:w="1993" w:type="dxa"/>
            <w:tcBorders>
              <w:left w:val="nil"/>
            </w:tcBorders>
            <w:shd w:val="clear" w:color="auto" w:fill="F1F1F1"/>
          </w:tcPr>
          <w:p w:rsidR="00A154E5">
            <w:pPr>
              <w:pStyle w:val="TableParagraph"/>
              <w:spacing w:before="78"/>
              <w:ind w:left="64"/>
            </w:pPr>
            <w:r>
              <w:t xml:space="preserve">MW</w:t>
            </w:r>
            <w:r>
              <w:rPr>
                <w:spacing w:val="-4"/>
              </w:rPr>
              <w:t xml:space="preserve"> </w:t>
            </w:r>
            <w:r>
              <w:rPr>
                <w:spacing w:val="-2"/>
              </w:rPr>
              <w:t xml:space="preserve">BH2007</w:t>
            </w:r>
          </w:p>
        </w:tc>
        <w:tc>
          <w:tcPr>
            <w:tcW w:w="2608" w:type="dxa"/>
            <w:shd w:val="clear" w:color="auto" w:fill="F1F1F1"/>
          </w:tcPr>
          <w:p w:rsidR="00A154E5">
            <w:pPr>
              <w:pStyle w:val="TableParagraph"/>
              <w:spacing w:before="78"/>
              <w:ind w:left="65"/>
            </w:pPr>
            <w:r>
              <w:t xml:space="preserve">3.0</w:t>
            </w:r>
            <w:r>
              <w:rPr>
                <w:spacing w:val="1"/>
              </w:rPr>
              <w:t xml:space="preserve"> </w:t>
            </w:r>
            <w:r>
              <w:t xml:space="preserve">– </w:t>
            </w:r>
            <w:r>
              <w:rPr>
                <w:spacing w:val="-5"/>
              </w:rPr>
              <w:t xml:space="preserve">3.5</w:t>
            </w:r>
          </w:p>
        </w:tc>
        <w:tc>
          <w:tcPr>
            <w:tcW w:w="4796" w:type="dxa"/>
            <w:tcBorders>
              <w:right w:val="nil"/>
            </w:tcBorders>
            <w:shd w:val="clear" w:color="auto" w:fill="F1F1F1"/>
          </w:tcPr>
          <w:p w:rsidR="00A154E5">
            <w:pPr>
              <w:pStyle w:val="TableParagraph"/>
              <w:spacing w:before="78"/>
              <w:ind w:left="63"/>
            </w:pPr>
            <w:r>
              <w:t xml:space="preserve">1-D</w:t>
            </w:r>
            <w:r>
              <w:rPr>
                <w:spacing w:val="5"/>
              </w:rPr>
              <w:t xml:space="preserve"> </w:t>
            </w:r>
            <w:r>
              <w:rPr>
                <w:spacing w:val="-2"/>
              </w:rPr>
              <w:t xml:space="preserve">Consolidation</w:t>
            </w:r>
          </w:p>
        </w:tc>
      </w:tr>
      <w:tr w14:paraId="5E59670C" w14:textId="77777777">
        <w:tblPrEx>
          <w:tblW w:w="0" w:type="auto"/>
          <w:tblCellSpacing w:w="43" w:type="dxa"/>
          <w:tblInd w:w="260" w:type="dxa"/>
          <w:tblLayout w:type="fixed"/>
          <w:tblCellMar>
            <w:left w:w="0" w:type="dxa"/>
            <w:right w:w="0" w:type="dxa"/>
          </w:tblCellMar>
          <w:tblLook w:val="01E0"/>
        </w:tblPrEx>
        <w:trPr>
          <w:trHeight w:val="495"/>
          <w:tblCellSpacing w:w="43" w:type="dxa"/>
        </w:trPr>
        <w:tc>
          <w:tcPr>
            <w:tcW w:w="1993" w:type="dxa"/>
            <w:tcBorders>
              <w:left w:val="nil"/>
            </w:tcBorders>
            <w:shd w:val="clear" w:color="auto" w:fill="F1F1F1"/>
          </w:tcPr>
          <w:p w:rsidR="00A154E5">
            <w:pPr>
              <w:pStyle w:val="TableParagraph"/>
              <w:spacing w:before="78"/>
              <w:ind w:left="64"/>
            </w:pPr>
            <w:r>
              <w:t xml:space="preserve">MW</w:t>
            </w:r>
            <w:r>
              <w:rPr>
                <w:spacing w:val="-3"/>
              </w:rPr>
              <w:t xml:space="preserve"> </w:t>
            </w:r>
            <w:r>
              <w:rPr>
                <w:spacing w:val="-2"/>
              </w:rPr>
              <w:t xml:space="preserve">HA2072</w:t>
            </w:r>
          </w:p>
        </w:tc>
        <w:tc>
          <w:tcPr>
            <w:tcW w:w="2608" w:type="dxa"/>
            <w:shd w:val="clear" w:color="auto" w:fill="F1F1F1"/>
          </w:tcPr>
          <w:p w:rsidR="00A154E5">
            <w:pPr>
              <w:pStyle w:val="TableParagraph"/>
              <w:spacing w:before="78"/>
              <w:ind w:left="65"/>
            </w:pPr>
            <w:r>
              <w:t xml:space="preserve">0.4</w:t>
            </w:r>
            <w:r>
              <w:rPr>
                <w:spacing w:val="-2"/>
              </w:rPr>
              <w:t xml:space="preserve"> </w:t>
            </w:r>
            <w:r>
              <w:t xml:space="preserve">–</w:t>
            </w:r>
            <w:r>
              <w:rPr>
                <w:spacing w:val="-1"/>
              </w:rPr>
              <w:t xml:space="preserve"> </w:t>
            </w:r>
            <w:r>
              <w:rPr>
                <w:spacing w:val="-5"/>
              </w:rPr>
              <w:t xml:space="preserve">0.6</w:t>
            </w:r>
          </w:p>
        </w:tc>
        <w:tc>
          <w:tcPr>
            <w:tcW w:w="4796" w:type="dxa"/>
            <w:tcBorders>
              <w:right w:val="nil"/>
            </w:tcBorders>
            <w:shd w:val="clear" w:color="auto" w:fill="F1F1F1"/>
          </w:tcPr>
          <w:p w:rsidR="00A154E5">
            <w:pPr>
              <w:pStyle w:val="TableParagraph"/>
              <w:spacing w:before="78"/>
              <w:ind w:left="63"/>
            </w:pPr>
            <w:r>
              <w:t xml:space="preserve">Shrink-swell</w:t>
            </w:r>
            <w:r>
              <w:rPr>
                <w:spacing w:val="-6"/>
              </w:rPr>
              <w:t xml:space="preserve"> </w:t>
            </w:r>
            <w:r>
              <w:t xml:space="preserve">Index</w:t>
            </w:r>
            <w:r>
              <w:rPr>
                <w:spacing w:val="-5"/>
              </w:rPr>
              <w:t xml:space="preserve"> </w:t>
            </w:r>
            <w:r>
              <w:rPr>
                <w:spacing w:val="-2"/>
              </w:rPr>
              <w:t xml:space="preserve">(AS1289:2003:7.1.1)</w:t>
            </w:r>
          </w:p>
        </w:tc>
      </w:tr>
      <w:tr w14:paraId="3602BAB4" w14:textId="77777777">
        <w:tblPrEx>
          <w:tblW w:w="0" w:type="auto"/>
          <w:tblCellSpacing w:w="43" w:type="dxa"/>
          <w:tblInd w:w="260" w:type="dxa"/>
          <w:tblLayout w:type="fixed"/>
          <w:tblCellMar>
            <w:left w:w="0" w:type="dxa"/>
            <w:right w:w="0" w:type="dxa"/>
          </w:tblCellMar>
          <w:tblLook w:val="01E0"/>
        </w:tblPrEx>
        <w:trPr>
          <w:trHeight w:val="496"/>
          <w:tblCellSpacing w:w="43" w:type="dxa"/>
        </w:trPr>
        <w:tc>
          <w:tcPr>
            <w:tcW w:w="1993" w:type="dxa"/>
            <w:tcBorders>
              <w:left w:val="nil"/>
              <w:bottom w:val="nil"/>
            </w:tcBorders>
            <w:shd w:val="clear" w:color="auto" w:fill="F1F1F1"/>
          </w:tcPr>
          <w:p w:rsidR="00A154E5">
            <w:pPr>
              <w:pStyle w:val="TableParagraph"/>
              <w:spacing w:before="78"/>
              <w:ind w:left="64"/>
            </w:pPr>
            <w:r>
              <w:t xml:space="preserve">MW</w:t>
            </w:r>
            <w:r>
              <w:rPr>
                <w:spacing w:val="-4"/>
              </w:rPr>
              <w:t xml:space="preserve"> </w:t>
            </w:r>
            <w:r>
              <w:rPr>
                <w:spacing w:val="-2"/>
              </w:rPr>
              <w:t xml:space="preserve">HA2073</w:t>
            </w:r>
          </w:p>
        </w:tc>
        <w:tc>
          <w:tcPr>
            <w:tcW w:w="2608" w:type="dxa"/>
            <w:tcBorders>
              <w:bottom w:val="nil"/>
            </w:tcBorders>
            <w:shd w:val="clear" w:color="auto" w:fill="F1F1F1"/>
          </w:tcPr>
          <w:p w:rsidR="00A154E5">
            <w:pPr>
              <w:pStyle w:val="TableParagraph"/>
              <w:spacing w:before="78"/>
              <w:ind w:left="65"/>
            </w:pPr>
            <w:r>
              <w:t xml:space="preserve">0.4</w:t>
            </w:r>
            <w:r>
              <w:rPr>
                <w:spacing w:val="-2"/>
              </w:rPr>
              <w:t xml:space="preserve"> </w:t>
            </w:r>
            <w:r>
              <w:t xml:space="preserve">–</w:t>
            </w:r>
            <w:r>
              <w:rPr>
                <w:spacing w:val="-1"/>
              </w:rPr>
              <w:t xml:space="preserve"> </w:t>
            </w:r>
            <w:r>
              <w:rPr>
                <w:spacing w:val="-5"/>
              </w:rPr>
              <w:t xml:space="preserve">0.6</w:t>
            </w:r>
          </w:p>
        </w:tc>
        <w:tc>
          <w:tcPr>
            <w:tcW w:w="4796" w:type="dxa"/>
            <w:tcBorders>
              <w:bottom w:val="nil"/>
              <w:right w:val="nil"/>
            </w:tcBorders>
            <w:shd w:val="clear" w:color="auto" w:fill="F1F1F1"/>
          </w:tcPr>
          <w:p w:rsidR="00A154E5">
            <w:pPr>
              <w:pStyle w:val="TableParagraph"/>
              <w:spacing w:before="78"/>
              <w:ind w:left="63"/>
            </w:pPr>
            <w:r>
              <w:t xml:space="preserve">Shrink-swell</w:t>
            </w:r>
            <w:r>
              <w:rPr>
                <w:spacing w:val="-7"/>
              </w:rPr>
              <w:t xml:space="preserve"> </w:t>
            </w:r>
            <w:r>
              <w:t xml:space="preserve">Index</w:t>
            </w:r>
            <w:r>
              <w:rPr>
                <w:spacing w:val="-5"/>
              </w:rPr>
              <w:t xml:space="preserve"> </w:t>
            </w:r>
            <w:r>
              <w:rPr>
                <w:spacing w:val="-2"/>
              </w:rPr>
              <w:t xml:space="preserve">(AS1289:2003:7.1.1)</w:t>
            </w:r>
          </w:p>
        </w:tc>
      </w:tr>
    </w:tbl>
    <w:p w:rsidR="00A154E5">
      <w:pPr>
        <w:sectPr>
          <w:pgSz w:w="11910" w:h="16840" w:orient="portrait"/>
          <w:pgMar w:top="1380" w:right="960" w:bottom="1140" w:left="960" w:header="0" w:footer="953" w:gutter="0"/>
          <w:cols w:num="1" w:space="720">
            <w:col w:w="9990" w:space="720"/>
          </w:cols>
        </w:sectPr>
      </w:pPr>
    </w:p>
    <w:p w:rsidR="00A154E5">
      <w:pPr>
        <w:pStyle w:val="Heading1"/>
        <w:numPr>
          <w:ilvl w:val="0"/>
          <w:numId w:val="13"/>
        </w:numPr>
        <w:tabs>
          <w:tab w:val="left" w:pos="1560"/>
        </w:tabs>
        <w:ind w:hanging="1440"/>
      </w:pPr>
      <w:r>
        <w:t xml:space="preserve">Subsurface conditions</w:t>
      </w:r>
    </w:p>
    <w:p w:rsidR="00A154E5">
      <w:pPr>
        <w:pStyle w:val="Heading2"/>
        <w:numPr>
          <w:ilvl w:val="1"/>
          <w:numId w:val="13"/>
        </w:numPr>
        <w:tabs>
          <w:tab w:val="left" w:pos="685"/>
        </w:tabs>
        <w:spacing w:before="601"/>
        <w:ind w:left="685" w:hanging="565"/>
      </w:pPr>
      <w:r>
        <w:t xml:space="preserve">General</w:t>
      </w:r>
    </w:p>
    <w:p w:rsidR="00A154E5">
      <w:pPr>
        <w:pStyle w:val="BodyText"/>
        <w:spacing w:before="119" w:line="264" w:lineRule="auto"/>
        <w:ind w:left="120" w:right="210"/>
      </w:pPr>
      <w:r>
        <w:t xml:space="preserve">A subsurface geotechnical model was developed from the site-specific borehole data and available historical investigations.</w:t>
      </w:r>
    </w:p>
    <w:p w:rsidR="00A154E5">
      <w:pPr>
        <w:pStyle w:val="BodyText"/>
        <w:spacing w:before="119" w:line="264" w:lineRule="auto"/>
        <w:ind w:left="120" w:right="144"/>
      </w:pPr>
      <w:r>
        <w:t xml:space="preserve">A summary of the various geological units, the material characteristics and strengths are presented in Table 3, and described in further detail below.</w:t>
      </w:r>
    </w:p>
    <w:p w:rsidR="00A154E5">
      <w:pPr>
        <w:pStyle w:val="Heading4"/>
      </w:pPr>
      <w:r>
        <w:t xml:space="preserve">Table 3: Summary of geological units</w:t>
      </w:r>
    </w:p>
    <w:p w:rsidR="00A154E5">
      <w:pPr>
        <w:pStyle w:val="BodyText"/>
        <w:spacing w:before="2"/>
        <w:rPr>
          <w:b/>
          <w:sz w:val="17"/>
        </w:rPr>
      </w:pPr>
    </w:p>
    <w:tbl>
      <w:tblPr>
        <w:tblStyle w:val="NormalTable"/>
        <w:tblW w:w="0" w:type="auto"/>
        <w:tblCellSpacing w:w="43" w:type="dxa"/>
        <w:tblInd w:w="259" w:type="dxa"/>
        <w:tblLayout w:type="fixed"/>
        <w:tblCellMar>
          <w:left w:w="0" w:type="dxa"/>
          <w:right w:w="0" w:type="dxa"/>
        </w:tblCellMar>
        <w:tblLook w:val="01E0"/>
      </w:tblPr>
      <w:tblGrid>
        <w:gridCol w:w="1678"/>
        <w:gridCol w:w="1646"/>
        <w:gridCol w:w="1756"/>
        <w:gridCol w:w="2038"/>
        <w:gridCol w:w="2101"/>
      </w:tblGrid>
      <w:tr w14:paraId="2D415F68" w14:textId="77777777">
        <w:tblPrEx>
          <w:tblW w:w="0" w:type="auto"/>
          <w:tblCellSpacing w:w="43" w:type="dxa"/>
          <w:tblInd w:w="259" w:type="dxa"/>
          <w:tblLayout w:type="fixed"/>
          <w:tblCellMar>
            <w:left w:w="0" w:type="dxa"/>
            <w:right w:w="0" w:type="dxa"/>
          </w:tblCellMar>
          <w:tblLook w:val="01E0"/>
        </w:tblPrEx>
        <w:trPr>
          <w:trHeight w:val="1207"/>
          <w:tblCellSpacing w:w="43" w:type="dxa"/>
        </w:trPr>
        <w:tc>
          <w:tcPr>
            <w:tcW w:w="1678" w:type="dxa"/>
            <w:tcBorders>
              <w:top w:val="nil"/>
              <w:left w:val="nil"/>
            </w:tcBorders>
            <w:shd w:val="clear" w:color="auto" w:fill="48B757"/>
          </w:tcPr>
          <w:p w:rsidR="00A154E5">
            <w:pPr>
              <w:pStyle w:val="TableParagraph"/>
              <w:spacing w:before="81"/>
              <w:ind w:right="585"/>
              <w:jc w:val="right"/>
              <w:rPr>
                <w:b/>
              </w:rPr>
            </w:pPr>
            <w:r>
              <w:rPr>
                <w:b/>
                <w:color w:val="FFFFFF"/>
                <w:spacing w:val="-4"/>
              </w:rPr>
              <w:t xml:space="preserve">UNIT</w:t>
            </w:r>
          </w:p>
        </w:tc>
        <w:tc>
          <w:tcPr>
            <w:tcW w:w="1646" w:type="dxa"/>
            <w:tcBorders>
              <w:top w:val="nil"/>
            </w:tcBorders>
            <w:shd w:val="clear" w:color="auto" w:fill="48B757"/>
          </w:tcPr>
          <w:p w:rsidR="00A154E5">
            <w:pPr>
              <w:pStyle w:val="TableParagraph"/>
              <w:spacing w:before="81" w:line="264" w:lineRule="auto"/>
              <w:ind w:left="329" w:hanging="250"/>
              <w:rPr>
                <w:b/>
              </w:rPr>
            </w:pPr>
            <w:r>
              <w:rPr>
                <w:b/>
                <w:color w:val="FFFFFF"/>
              </w:rPr>
              <w:t xml:space="preserve">DEPTH</w:t>
            </w:r>
            <w:r>
              <w:rPr>
                <w:b/>
                <w:color w:val="FFFFFF"/>
                <w:spacing w:val="-12"/>
              </w:rPr>
              <w:t xml:space="preserve"> </w:t>
            </w:r>
            <w:r>
              <w:rPr>
                <w:b/>
                <w:color w:val="FFFFFF"/>
              </w:rPr>
              <w:t xml:space="preserve">TO</w:t>
            </w:r>
            <w:r>
              <w:rPr>
                <w:b/>
                <w:color w:val="FFFFFF"/>
                <w:spacing w:val="-11"/>
              </w:rPr>
              <w:t xml:space="preserve"> </w:t>
            </w:r>
            <w:r>
              <w:rPr>
                <w:b/>
                <w:color w:val="FFFFFF"/>
              </w:rPr>
              <w:t xml:space="preserve">TOP OF LAYER</w:t>
            </w:r>
          </w:p>
        </w:tc>
        <w:tc>
          <w:tcPr>
            <w:tcW w:w="1756" w:type="dxa"/>
            <w:tcBorders>
              <w:top w:val="nil"/>
            </w:tcBorders>
            <w:shd w:val="clear" w:color="auto" w:fill="48B757"/>
          </w:tcPr>
          <w:p w:rsidR="00A154E5">
            <w:pPr>
              <w:pStyle w:val="TableParagraph"/>
              <w:spacing w:before="81" w:line="264" w:lineRule="auto"/>
              <w:ind w:left="306" w:right="88" w:hanging="207"/>
              <w:rPr>
                <w:b/>
              </w:rPr>
            </w:pPr>
            <w:r>
              <w:rPr>
                <w:b/>
                <w:color w:val="FFFFFF"/>
              </w:rPr>
              <w:t xml:space="preserve">TYPICAL</w:t>
            </w:r>
            <w:r>
              <w:rPr>
                <w:b/>
                <w:color w:val="FFFFFF"/>
                <w:spacing w:val="-12"/>
              </w:rPr>
              <w:t xml:space="preserve"> </w:t>
            </w:r>
            <w:r>
              <w:rPr>
                <w:b/>
                <w:color w:val="FFFFFF"/>
              </w:rPr>
              <w:t xml:space="preserve">LAYER </w:t>
            </w:r>
            <w:r>
              <w:rPr>
                <w:b/>
                <w:color w:val="FFFFFF"/>
                <w:spacing w:val="-2"/>
              </w:rPr>
              <w:t xml:space="preserve">THICKNESS</w:t>
            </w:r>
          </w:p>
        </w:tc>
        <w:tc>
          <w:tcPr>
            <w:tcW w:w="2038" w:type="dxa"/>
            <w:tcBorders>
              <w:top w:val="nil"/>
            </w:tcBorders>
            <w:shd w:val="clear" w:color="auto" w:fill="48B757"/>
          </w:tcPr>
          <w:p w:rsidR="00A154E5">
            <w:pPr>
              <w:pStyle w:val="TableParagraph"/>
              <w:spacing w:before="81" w:line="264" w:lineRule="auto"/>
              <w:ind w:left="102" w:right="91" w:firstLine="295"/>
              <w:rPr>
                <w:b/>
              </w:rPr>
            </w:pPr>
            <w:r>
              <w:rPr>
                <w:b/>
                <w:color w:val="FFFFFF"/>
                <w:spacing w:val="-2"/>
              </w:rPr>
              <w:t xml:space="preserve">UNDRAINED </w:t>
            </w:r>
            <w:r>
              <w:rPr>
                <w:b/>
                <w:color w:val="FFFFFF"/>
              </w:rPr>
              <w:t xml:space="preserve">SHEAR</w:t>
            </w:r>
            <w:r>
              <w:rPr>
                <w:b/>
                <w:color w:val="FFFFFF"/>
                <w:spacing w:val="-12"/>
              </w:rPr>
              <w:t xml:space="preserve"> </w:t>
            </w:r>
            <w:r>
              <w:rPr>
                <w:b/>
                <w:color w:val="FFFFFF"/>
              </w:rPr>
              <w:t xml:space="preserve">STRENGTH</w:t>
            </w:r>
          </w:p>
        </w:tc>
        <w:tc>
          <w:tcPr>
            <w:tcW w:w="2101" w:type="dxa"/>
            <w:tcBorders>
              <w:top w:val="nil"/>
              <w:right w:val="nil"/>
            </w:tcBorders>
            <w:shd w:val="clear" w:color="auto" w:fill="48B757"/>
          </w:tcPr>
          <w:p w:rsidR="00A154E5">
            <w:pPr>
              <w:pStyle w:val="TableParagraph"/>
              <w:spacing w:before="81" w:line="264" w:lineRule="auto"/>
              <w:ind w:left="365" w:firstLine="134"/>
              <w:rPr>
                <w:b/>
              </w:rPr>
            </w:pPr>
            <w:r>
              <w:rPr>
                <w:b/>
                <w:color w:val="FFFFFF"/>
                <w:spacing w:val="-2"/>
              </w:rPr>
              <w:t xml:space="preserve">STRENGTH DESCRIPTION</w:t>
            </w:r>
          </w:p>
        </w:tc>
      </w:tr>
      <w:tr w14:paraId="7B649993" w14:textId="77777777">
        <w:tblPrEx>
          <w:tblW w:w="0" w:type="auto"/>
          <w:tblCellSpacing w:w="43" w:type="dxa"/>
          <w:tblInd w:w="259" w:type="dxa"/>
          <w:tblLayout w:type="fixed"/>
          <w:tblCellMar>
            <w:left w:w="0" w:type="dxa"/>
            <w:right w:w="0" w:type="dxa"/>
          </w:tblCellMar>
          <w:tblLook w:val="01E0"/>
        </w:tblPrEx>
        <w:trPr>
          <w:trHeight w:val="495"/>
          <w:tblCellSpacing w:w="43" w:type="dxa"/>
        </w:trPr>
        <w:tc>
          <w:tcPr>
            <w:tcW w:w="1678" w:type="dxa"/>
            <w:tcBorders>
              <w:left w:val="nil"/>
            </w:tcBorders>
            <w:shd w:val="clear" w:color="auto" w:fill="F1F1F1"/>
          </w:tcPr>
          <w:p w:rsidR="00A154E5">
            <w:pPr>
              <w:pStyle w:val="TableParagraph"/>
              <w:spacing w:before="80"/>
              <w:ind w:right="535"/>
              <w:jc w:val="right"/>
            </w:pPr>
            <w:r>
              <w:t xml:space="preserve">Topsoil</w:t>
            </w:r>
            <w:r>
              <w:rPr>
                <w:spacing w:val="-5"/>
              </w:rPr>
              <w:t xml:space="preserve"> </w:t>
            </w:r>
            <w:r>
              <w:t xml:space="preserve">/</w:t>
            </w:r>
            <w:r>
              <w:rPr>
                <w:spacing w:val="-3"/>
              </w:rPr>
              <w:t xml:space="preserve"> </w:t>
            </w:r>
            <w:r>
              <w:rPr>
                <w:spacing w:val="-4"/>
              </w:rPr>
              <w:t xml:space="preserve">Fill</w:t>
            </w:r>
          </w:p>
        </w:tc>
        <w:tc>
          <w:tcPr>
            <w:tcW w:w="1646" w:type="dxa"/>
            <w:shd w:val="clear" w:color="auto" w:fill="F1F1F1"/>
          </w:tcPr>
          <w:p w:rsidR="00A154E5">
            <w:pPr>
              <w:pStyle w:val="TableParagraph"/>
              <w:spacing w:before="80"/>
              <w:ind w:left="65"/>
            </w:pPr>
            <w:r>
              <w:t xml:space="preserve">0.0</w:t>
            </w:r>
            <w:r>
              <w:rPr>
                <w:spacing w:val="1"/>
              </w:rPr>
              <w:t xml:space="preserve"> </w:t>
            </w:r>
            <w:r>
              <w:rPr>
                <w:spacing w:val="-10"/>
              </w:rPr>
              <w:t xml:space="preserve">m</w:t>
            </w:r>
          </w:p>
        </w:tc>
        <w:tc>
          <w:tcPr>
            <w:tcW w:w="1756" w:type="dxa"/>
            <w:shd w:val="clear" w:color="auto" w:fill="F1F1F1"/>
          </w:tcPr>
          <w:p w:rsidR="00A154E5">
            <w:pPr>
              <w:pStyle w:val="TableParagraph"/>
              <w:spacing w:before="80"/>
              <w:ind w:left="66"/>
            </w:pPr>
            <w:r>
              <w:t xml:space="preserve">0.2</w:t>
            </w:r>
            <w:r>
              <w:rPr>
                <w:spacing w:val="-3"/>
              </w:rPr>
              <w:t xml:space="preserve"> </w:t>
            </w:r>
            <w:r>
              <w:t xml:space="preserve">to</w:t>
            </w:r>
            <w:r>
              <w:rPr>
                <w:spacing w:val="-3"/>
              </w:rPr>
              <w:t xml:space="preserve"> </w:t>
            </w:r>
            <w:r>
              <w:t xml:space="preserve">0.6</w:t>
            </w:r>
            <w:r>
              <w:rPr>
                <w:spacing w:val="-4"/>
              </w:rPr>
              <w:t xml:space="preserve"> </w:t>
            </w:r>
            <w:r>
              <w:rPr>
                <w:spacing w:val="-10"/>
              </w:rPr>
              <w:t xml:space="preserve">m</w:t>
            </w:r>
          </w:p>
        </w:tc>
        <w:tc>
          <w:tcPr>
            <w:tcW w:w="2038" w:type="dxa"/>
            <w:shd w:val="clear" w:color="auto" w:fill="F1F1F1"/>
          </w:tcPr>
          <w:p w:rsidR="00A154E5">
            <w:pPr>
              <w:pStyle w:val="TableParagraph"/>
              <w:spacing w:before="80"/>
              <w:ind w:left="66"/>
            </w:pPr>
            <w:r>
              <w:t xml:space="preserve">120</w:t>
            </w:r>
            <w:r>
              <w:rPr>
                <w:spacing w:val="-1"/>
              </w:rPr>
              <w:t xml:space="preserve"> </w:t>
            </w:r>
            <w:r>
              <w:t xml:space="preserve">to</w:t>
            </w:r>
            <w:r>
              <w:rPr>
                <w:spacing w:val="-1"/>
              </w:rPr>
              <w:t xml:space="preserve"> </w:t>
            </w:r>
            <w:r>
              <w:t xml:space="preserve">&gt;240 </w:t>
            </w:r>
            <w:r>
              <w:rPr>
                <w:spacing w:val="-5"/>
              </w:rPr>
              <w:t xml:space="preserve">kPa</w:t>
            </w:r>
          </w:p>
        </w:tc>
        <w:tc>
          <w:tcPr>
            <w:tcW w:w="2101" w:type="dxa"/>
            <w:tcBorders>
              <w:right w:val="nil"/>
            </w:tcBorders>
            <w:shd w:val="clear" w:color="auto" w:fill="F1F1F1"/>
          </w:tcPr>
          <w:p w:rsidR="00A154E5">
            <w:pPr>
              <w:pStyle w:val="TableParagraph"/>
              <w:spacing w:before="80"/>
              <w:ind w:left="65"/>
            </w:pPr>
            <w:r>
              <w:t xml:space="preserve">Very</w:t>
            </w:r>
            <w:r>
              <w:rPr>
                <w:spacing w:val="-3"/>
              </w:rPr>
              <w:t xml:space="preserve"> </w:t>
            </w:r>
            <w:r>
              <w:t xml:space="preserve">stiff</w:t>
            </w:r>
            <w:r>
              <w:rPr>
                <w:spacing w:val="-3"/>
              </w:rPr>
              <w:t xml:space="preserve"> </w:t>
            </w:r>
            <w:r>
              <w:t xml:space="preserve">to</w:t>
            </w:r>
            <w:r>
              <w:rPr>
                <w:spacing w:val="-2"/>
              </w:rPr>
              <w:t xml:space="preserve"> </w:t>
            </w:r>
            <w:r>
              <w:rPr>
                <w:spacing w:val="-4"/>
              </w:rPr>
              <w:t xml:space="preserve">hard</w:t>
            </w:r>
          </w:p>
        </w:tc>
      </w:tr>
      <w:tr w14:paraId="0FD18D1B" w14:textId="77777777">
        <w:tblPrEx>
          <w:tblW w:w="0" w:type="auto"/>
          <w:tblCellSpacing w:w="43" w:type="dxa"/>
          <w:tblInd w:w="259" w:type="dxa"/>
          <w:tblLayout w:type="fixed"/>
          <w:tblCellMar>
            <w:left w:w="0" w:type="dxa"/>
            <w:right w:w="0" w:type="dxa"/>
          </w:tblCellMar>
          <w:tblLook w:val="01E0"/>
        </w:tblPrEx>
        <w:trPr>
          <w:trHeight w:val="1085"/>
          <w:tblCellSpacing w:w="43" w:type="dxa"/>
        </w:trPr>
        <w:tc>
          <w:tcPr>
            <w:tcW w:w="1678" w:type="dxa"/>
            <w:tcBorders>
              <w:left w:val="nil"/>
            </w:tcBorders>
            <w:shd w:val="clear" w:color="auto" w:fill="F1F1F1"/>
          </w:tcPr>
          <w:p w:rsidR="00A154E5">
            <w:pPr>
              <w:pStyle w:val="TableParagraph"/>
              <w:spacing w:before="80"/>
              <w:ind w:left="64"/>
            </w:pPr>
            <w:r>
              <w:rPr>
                <w:spacing w:val="-2"/>
              </w:rPr>
              <w:t xml:space="preserve">Auckland</w:t>
            </w:r>
          </w:p>
          <w:p w:rsidR="00A154E5">
            <w:pPr>
              <w:pStyle w:val="TableParagraph"/>
              <w:spacing w:before="27" w:line="264" w:lineRule="auto"/>
              <w:ind w:left="64"/>
            </w:pPr>
            <w:r>
              <w:t xml:space="preserve">volcanic</w:t>
            </w:r>
            <w:r>
              <w:rPr>
                <w:spacing w:val="-12"/>
              </w:rPr>
              <w:t xml:space="preserve"> </w:t>
            </w:r>
            <w:r>
              <w:t xml:space="preserve">field</w:t>
            </w:r>
            <w:r>
              <w:rPr>
                <w:spacing w:val="-11"/>
              </w:rPr>
              <w:t xml:space="preserve"> </w:t>
            </w:r>
            <w:r>
              <w:t xml:space="preserve">ash </w:t>
            </w:r>
            <w:r>
              <w:rPr>
                <w:spacing w:val="-2"/>
              </w:rPr>
              <w:t xml:space="preserve">(crust</w:t>
            </w:r>
            <w:r>
              <w:rPr>
                <w:spacing w:val="-2"/>
                <w:vertAlign w:val="superscript"/>
              </w:rPr>
              <w:t xml:space="preserve">1</w:t>
            </w:r>
            <w:r>
              <w:rPr>
                <w:spacing w:val="-2"/>
              </w:rPr>
              <w:t xml:space="preserve">)</w:t>
            </w:r>
          </w:p>
        </w:tc>
        <w:tc>
          <w:tcPr>
            <w:tcW w:w="1646" w:type="dxa"/>
            <w:shd w:val="clear" w:color="auto" w:fill="F1F1F1"/>
          </w:tcPr>
          <w:p w:rsidR="00A154E5">
            <w:pPr>
              <w:pStyle w:val="TableParagraph"/>
              <w:spacing w:before="80"/>
              <w:ind w:left="65"/>
            </w:pPr>
            <w:r>
              <w:t xml:space="preserve">0.2</w:t>
            </w:r>
            <w:r>
              <w:rPr>
                <w:spacing w:val="-3"/>
              </w:rPr>
              <w:t xml:space="preserve"> </w:t>
            </w:r>
            <w:r>
              <w:t xml:space="preserve">to</w:t>
            </w:r>
            <w:r>
              <w:rPr>
                <w:spacing w:val="-3"/>
              </w:rPr>
              <w:t xml:space="preserve"> </w:t>
            </w:r>
            <w:r>
              <w:t xml:space="preserve">0.6</w:t>
            </w:r>
            <w:r>
              <w:rPr>
                <w:spacing w:val="-4"/>
              </w:rPr>
              <w:t xml:space="preserve"> </w:t>
            </w:r>
            <w:r>
              <w:rPr>
                <w:spacing w:val="-10"/>
              </w:rPr>
              <w:t xml:space="preserve">m</w:t>
            </w:r>
          </w:p>
        </w:tc>
        <w:tc>
          <w:tcPr>
            <w:tcW w:w="1756" w:type="dxa"/>
            <w:shd w:val="clear" w:color="auto" w:fill="F1F1F1"/>
          </w:tcPr>
          <w:p w:rsidR="00A154E5">
            <w:pPr>
              <w:pStyle w:val="TableParagraph"/>
              <w:spacing w:before="80"/>
              <w:ind w:left="66"/>
            </w:pPr>
            <w:r>
              <w:t xml:space="preserve">0.4</w:t>
            </w:r>
            <w:r>
              <w:rPr>
                <w:spacing w:val="-2"/>
              </w:rPr>
              <w:t xml:space="preserve"> </w:t>
            </w:r>
            <w:r>
              <w:t xml:space="preserve">to 1.4</w:t>
            </w:r>
            <w:r>
              <w:rPr>
                <w:spacing w:val="-1"/>
              </w:rPr>
              <w:t xml:space="preserve"> </w:t>
            </w:r>
            <w:r>
              <w:rPr>
                <w:spacing w:val="-10"/>
              </w:rPr>
              <w:t xml:space="preserve">m</w:t>
            </w:r>
          </w:p>
        </w:tc>
        <w:tc>
          <w:tcPr>
            <w:tcW w:w="2038" w:type="dxa"/>
            <w:shd w:val="clear" w:color="auto" w:fill="F1F1F1"/>
          </w:tcPr>
          <w:p w:rsidR="00A154E5">
            <w:pPr>
              <w:pStyle w:val="TableParagraph"/>
              <w:spacing w:before="80"/>
              <w:ind w:left="66"/>
            </w:pPr>
            <w:r>
              <w:t xml:space="preserve">50</w:t>
            </w:r>
            <w:r>
              <w:rPr>
                <w:spacing w:val="-2"/>
              </w:rPr>
              <w:t xml:space="preserve"> </w:t>
            </w:r>
            <w:r>
              <w:t xml:space="preserve">to</w:t>
            </w:r>
            <w:r>
              <w:rPr>
                <w:spacing w:val="-1"/>
              </w:rPr>
              <w:t xml:space="preserve"> </w:t>
            </w:r>
            <w:r>
              <w:t xml:space="preserve">200 </w:t>
            </w:r>
            <w:r>
              <w:rPr>
                <w:spacing w:val="-5"/>
              </w:rPr>
              <w:t xml:space="preserve">kPa</w:t>
            </w:r>
          </w:p>
        </w:tc>
        <w:tc>
          <w:tcPr>
            <w:tcW w:w="2101" w:type="dxa"/>
            <w:tcBorders>
              <w:right w:val="nil"/>
            </w:tcBorders>
            <w:shd w:val="clear" w:color="auto" w:fill="F1F1F1"/>
          </w:tcPr>
          <w:p w:rsidR="00A154E5">
            <w:pPr>
              <w:pStyle w:val="TableParagraph"/>
              <w:spacing w:before="80"/>
              <w:ind w:left="65"/>
            </w:pPr>
            <w:r>
              <w:t xml:space="preserve">Stiff</w:t>
            </w:r>
            <w:r>
              <w:rPr>
                <w:spacing w:val="-5"/>
              </w:rPr>
              <w:t xml:space="preserve"> </w:t>
            </w:r>
            <w:r>
              <w:t xml:space="preserve">to</w:t>
            </w:r>
            <w:r>
              <w:rPr>
                <w:spacing w:val="-2"/>
              </w:rPr>
              <w:t xml:space="preserve"> </w:t>
            </w:r>
            <w:r>
              <w:rPr>
                <w:spacing w:val="-4"/>
              </w:rPr>
              <w:t xml:space="preserve">hard</w:t>
            </w:r>
          </w:p>
        </w:tc>
      </w:tr>
      <w:tr w14:paraId="1C40F854" w14:textId="77777777">
        <w:tblPrEx>
          <w:tblW w:w="0" w:type="auto"/>
          <w:tblCellSpacing w:w="43" w:type="dxa"/>
          <w:tblInd w:w="259" w:type="dxa"/>
          <w:tblLayout w:type="fixed"/>
          <w:tblCellMar>
            <w:left w:w="0" w:type="dxa"/>
            <w:right w:w="0" w:type="dxa"/>
          </w:tblCellMar>
          <w:tblLook w:val="01E0"/>
        </w:tblPrEx>
        <w:trPr>
          <w:trHeight w:val="1085"/>
          <w:tblCellSpacing w:w="43" w:type="dxa"/>
        </w:trPr>
        <w:tc>
          <w:tcPr>
            <w:tcW w:w="1678" w:type="dxa"/>
            <w:tcBorders>
              <w:left w:val="nil"/>
            </w:tcBorders>
            <w:shd w:val="clear" w:color="auto" w:fill="F1F1F1"/>
          </w:tcPr>
          <w:p w:rsidR="00A154E5">
            <w:pPr>
              <w:pStyle w:val="TableParagraph"/>
              <w:spacing w:before="80"/>
              <w:ind w:left="64"/>
            </w:pPr>
            <w:r>
              <w:rPr>
                <w:spacing w:val="-2"/>
              </w:rPr>
              <w:t xml:space="preserve">Auckland</w:t>
            </w:r>
          </w:p>
          <w:p w:rsidR="00A154E5">
            <w:pPr>
              <w:pStyle w:val="TableParagraph"/>
              <w:spacing w:before="27" w:line="264" w:lineRule="auto"/>
              <w:ind w:left="64"/>
            </w:pPr>
            <w:r>
              <w:t xml:space="preserve">volcanic</w:t>
            </w:r>
            <w:r>
              <w:rPr>
                <w:spacing w:val="-12"/>
              </w:rPr>
              <w:t xml:space="preserve"> </w:t>
            </w:r>
            <w:r>
              <w:t xml:space="preserve">field</w:t>
            </w:r>
            <w:r>
              <w:rPr>
                <w:spacing w:val="-11"/>
              </w:rPr>
              <w:t xml:space="preserve"> </w:t>
            </w:r>
            <w:r>
              <w:t xml:space="preserve">ash (below crust</w:t>
            </w:r>
            <w:r>
              <w:rPr>
                <w:vertAlign w:val="superscript"/>
              </w:rPr>
              <w:t xml:space="preserve">1</w:t>
            </w:r>
            <w:r>
              <w:t xml:space="preserve">)</w:t>
            </w:r>
          </w:p>
        </w:tc>
        <w:tc>
          <w:tcPr>
            <w:tcW w:w="1646" w:type="dxa"/>
            <w:shd w:val="clear" w:color="auto" w:fill="F1F1F1"/>
          </w:tcPr>
          <w:p w:rsidR="00A154E5">
            <w:pPr>
              <w:pStyle w:val="TableParagraph"/>
              <w:spacing w:before="80"/>
              <w:ind w:left="65"/>
            </w:pPr>
            <w:r>
              <w:t xml:space="preserve">0.7</w:t>
            </w:r>
            <w:r>
              <w:rPr>
                <w:spacing w:val="-4"/>
              </w:rPr>
              <w:t xml:space="preserve"> </w:t>
            </w:r>
            <w:r>
              <w:t xml:space="preserve">to</w:t>
            </w:r>
            <w:r>
              <w:rPr>
                <w:spacing w:val="-3"/>
              </w:rPr>
              <w:t xml:space="preserve"> </w:t>
            </w:r>
            <w:r>
              <w:t xml:space="preserve">2.2</w:t>
            </w:r>
            <w:r>
              <w:rPr>
                <w:spacing w:val="-3"/>
              </w:rPr>
              <w:t xml:space="preserve"> </w:t>
            </w:r>
            <w:r>
              <w:rPr>
                <w:spacing w:val="-10"/>
              </w:rPr>
              <w:t xml:space="preserve">m</w:t>
            </w:r>
          </w:p>
        </w:tc>
        <w:tc>
          <w:tcPr>
            <w:tcW w:w="1756" w:type="dxa"/>
            <w:shd w:val="clear" w:color="auto" w:fill="F1F1F1"/>
          </w:tcPr>
          <w:p w:rsidR="00A154E5">
            <w:pPr>
              <w:pStyle w:val="TableParagraph"/>
              <w:spacing w:before="80"/>
              <w:ind w:left="66"/>
            </w:pPr>
            <w:r>
              <w:t xml:space="preserve">0</w:t>
            </w:r>
            <w:r>
              <w:rPr>
                <w:spacing w:val="1"/>
              </w:rPr>
              <w:t xml:space="preserve"> </w:t>
            </w:r>
            <w:r>
              <w:t xml:space="preserve">to</w:t>
            </w:r>
            <w:r>
              <w:rPr>
                <w:spacing w:val="1"/>
              </w:rPr>
              <w:t xml:space="preserve"> </w:t>
            </w:r>
            <w:r>
              <w:t xml:space="preserve">1.3</w:t>
            </w:r>
            <w:r>
              <w:rPr>
                <w:spacing w:val="2"/>
              </w:rPr>
              <w:t xml:space="preserve"> </w:t>
            </w:r>
            <w:r>
              <w:rPr>
                <w:spacing w:val="-10"/>
              </w:rPr>
              <w:t xml:space="preserve">m</w:t>
            </w:r>
          </w:p>
        </w:tc>
        <w:tc>
          <w:tcPr>
            <w:tcW w:w="2038" w:type="dxa"/>
            <w:shd w:val="clear" w:color="auto" w:fill="F1F1F1"/>
          </w:tcPr>
          <w:p w:rsidR="00A154E5">
            <w:pPr>
              <w:pStyle w:val="TableParagraph"/>
              <w:spacing w:before="80"/>
              <w:ind w:left="66"/>
            </w:pPr>
            <w:r>
              <w:t xml:space="preserve">25</w:t>
            </w:r>
            <w:r>
              <w:rPr>
                <w:spacing w:val="-4"/>
              </w:rPr>
              <w:t xml:space="preserve"> </w:t>
            </w:r>
            <w:r>
              <w:t xml:space="preserve">to</w:t>
            </w:r>
            <w:r>
              <w:rPr>
                <w:spacing w:val="-2"/>
              </w:rPr>
              <w:t xml:space="preserve"> </w:t>
            </w:r>
            <w:r>
              <w:t xml:space="preserve">60</w:t>
            </w:r>
            <w:r>
              <w:rPr>
                <w:spacing w:val="-2"/>
              </w:rPr>
              <w:t xml:space="preserve"> </w:t>
            </w:r>
            <w:r>
              <w:rPr>
                <w:spacing w:val="-5"/>
              </w:rPr>
              <w:t xml:space="preserve">kPa</w:t>
            </w:r>
          </w:p>
        </w:tc>
        <w:tc>
          <w:tcPr>
            <w:tcW w:w="2101" w:type="dxa"/>
            <w:tcBorders>
              <w:right w:val="nil"/>
            </w:tcBorders>
            <w:shd w:val="clear" w:color="auto" w:fill="F1F1F1"/>
          </w:tcPr>
          <w:p w:rsidR="00A154E5">
            <w:pPr>
              <w:pStyle w:val="TableParagraph"/>
              <w:spacing w:before="80"/>
              <w:ind w:left="65"/>
            </w:pPr>
            <w:r>
              <w:rPr>
                <w:spacing w:val="-4"/>
              </w:rPr>
              <w:t xml:space="preserve">Firm</w:t>
            </w:r>
          </w:p>
        </w:tc>
      </w:tr>
      <w:tr w14:paraId="10485E6D" w14:textId="77777777">
        <w:tblPrEx>
          <w:tblW w:w="0" w:type="auto"/>
          <w:tblCellSpacing w:w="43" w:type="dxa"/>
          <w:tblInd w:w="259" w:type="dxa"/>
          <w:tblLayout w:type="fixed"/>
          <w:tblCellMar>
            <w:left w:w="0" w:type="dxa"/>
            <w:right w:w="0" w:type="dxa"/>
          </w:tblCellMar>
          <w:tblLook w:val="01E0"/>
        </w:tblPrEx>
        <w:trPr>
          <w:trHeight w:val="791"/>
          <w:tblCellSpacing w:w="43" w:type="dxa"/>
        </w:trPr>
        <w:tc>
          <w:tcPr>
            <w:tcW w:w="1678" w:type="dxa"/>
            <w:tcBorders>
              <w:left w:val="nil"/>
              <w:bottom w:val="nil"/>
            </w:tcBorders>
            <w:shd w:val="clear" w:color="auto" w:fill="F1F1F1"/>
          </w:tcPr>
          <w:p w:rsidR="00A154E5">
            <w:pPr>
              <w:pStyle w:val="TableParagraph"/>
              <w:spacing w:before="80" w:line="264" w:lineRule="auto"/>
              <w:ind w:left="64"/>
            </w:pPr>
            <w:r>
              <w:rPr>
                <w:spacing w:val="-2"/>
              </w:rPr>
              <w:t xml:space="preserve">Puketoka</w:t>
            </w:r>
            <w:r>
              <w:rPr>
                <w:spacing w:val="-2"/>
              </w:rPr>
              <w:t xml:space="preserve"> Formation</w:t>
            </w:r>
          </w:p>
        </w:tc>
        <w:tc>
          <w:tcPr>
            <w:tcW w:w="1646" w:type="dxa"/>
            <w:tcBorders>
              <w:bottom w:val="nil"/>
            </w:tcBorders>
            <w:shd w:val="clear" w:color="auto" w:fill="F1F1F1"/>
          </w:tcPr>
          <w:p w:rsidR="00A154E5">
            <w:pPr>
              <w:pStyle w:val="TableParagraph"/>
              <w:spacing w:before="80"/>
              <w:ind w:left="65"/>
            </w:pPr>
            <w:r>
              <w:t xml:space="preserve">1.5</w:t>
            </w:r>
            <w:r>
              <w:rPr>
                <w:spacing w:val="-4"/>
              </w:rPr>
              <w:t xml:space="preserve"> </w:t>
            </w:r>
            <w:r>
              <w:t xml:space="preserve">to</w:t>
            </w:r>
            <w:r>
              <w:rPr>
                <w:spacing w:val="-2"/>
              </w:rPr>
              <w:t xml:space="preserve"> </w:t>
            </w:r>
            <w:r>
              <w:t xml:space="preserve">2.4</w:t>
            </w:r>
            <w:r>
              <w:rPr>
                <w:spacing w:val="-4"/>
              </w:rPr>
              <w:t xml:space="preserve"> </w:t>
            </w:r>
            <w:r>
              <w:rPr>
                <w:spacing w:val="-10"/>
              </w:rPr>
              <w:t xml:space="preserve">m</w:t>
            </w:r>
          </w:p>
        </w:tc>
        <w:tc>
          <w:tcPr>
            <w:tcW w:w="1756" w:type="dxa"/>
            <w:tcBorders>
              <w:bottom w:val="nil"/>
            </w:tcBorders>
            <w:shd w:val="clear" w:color="auto" w:fill="F1F1F1"/>
          </w:tcPr>
          <w:p w:rsidR="00A154E5">
            <w:pPr>
              <w:pStyle w:val="TableParagraph"/>
              <w:spacing w:before="80"/>
              <w:ind w:left="66"/>
            </w:pPr>
            <w:r>
              <w:t xml:space="preserve">Not</w:t>
            </w:r>
            <w:r>
              <w:rPr>
                <w:spacing w:val="-3"/>
              </w:rPr>
              <w:t xml:space="preserve"> </w:t>
            </w:r>
            <w:r>
              <w:rPr>
                <w:spacing w:val="-2"/>
              </w:rPr>
              <w:t xml:space="preserve">Proven</w:t>
            </w:r>
          </w:p>
        </w:tc>
        <w:tc>
          <w:tcPr>
            <w:tcW w:w="2038" w:type="dxa"/>
            <w:tcBorders>
              <w:bottom w:val="nil"/>
            </w:tcBorders>
            <w:shd w:val="clear" w:color="auto" w:fill="F1F1F1"/>
          </w:tcPr>
          <w:p w:rsidR="00A154E5">
            <w:pPr>
              <w:pStyle w:val="TableParagraph"/>
              <w:spacing w:before="80"/>
              <w:ind w:left="66"/>
            </w:pPr>
            <w:r>
              <w:t xml:space="preserve">16</w:t>
            </w:r>
            <w:r>
              <w:rPr>
                <w:spacing w:val="-2"/>
              </w:rPr>
              <w:t xml:space="preserve"> </w:t>
            </w:r>
            <w:r>
              <w:t xml:space="preserve">to</w:t>
            </w:r>
            <w:r>
              <w:rPr>
                <w:spacing w:val="-1"/>
              </w:rPr>
              <w:t xml:space="preserve"> </w:t>
            </w:r>
            <w:r>
              <w:t xml:space="preserve">&gt;240 </w:t>
            </w:r>
            <w:r>
              <w:rPr>
                <w:spacing w:val="-5"/>
              </w:rPr>
              <w:t xml:space="preserve">kPa</w:t>
            </w:r>
          </w:p>
        </w:tc>
        <w:tc>
          <w:tcPr>
            <w:tcW w:w="2101" w:type="dxa"/>
            <w:tcBorders>
              <w:bottom w:val="nil"/>
              <w:right w:val="nil"/>
            </w:tcBorders>
            <w:shd w:val="clear" w:color="auto" w:fill="F1F1F1"/>
          </w:tcPr>
          <w:p w:rsidR="00A154E5">
            <w:pPr>
              <w:pStyle w:val="TableParagraph"/>
              <w:spacing w:before="80"/>
              <w:ind w:left="65"/>
            </w:pPr>
            <w:r>
              <w:t xml:space="preserve">Soft</w:t>
            </w:r>
            <w:r>
              <w:rPr>
                <w:spacing w:val="-3"/>
              </w:rPr>
              <w:t xml:space="preserve"> </w:t>
            </w:r>
            <w:r>
              <w:t xml:space="preserve">to</w:t>
            </w:r>
            <w:r>
              <w:rPr>
                <w:spacing w:val="-2"/>
              </w:rPr>
              <w:t xml:space="preserve"> </w:t>
            </w:r>
            <w:r>
              <w:t xml:space="preserve">hard</w:t>
            </w:r>
            <w:r>
              <w:rPr>
                <w:spacing w:val="-2"/>
              </w:rPr>
              <w:t xml:space="preserve"> </w:t>
            </w:r>
            <w:r>
              <w:rPr>
                <w:spacing w:val="-12"/>
              </w:rPr>
              <w:t xml:space="preserve">/</w:t>
            </w:r>
          </w:p>
          <w:p w:rsidR="00A154E5">
            <w:pPr>
              <w:pStyle w:val="TableParagraph"/>
              <w:spacing w:before="27"/>
              <w:ind w:left="65"/>
            </w:pPr>
            <w:r>
              <w:t xml:space="preserve">loose</w:t>
            </w:r>
            <w:r>
              <w:rPr>
                <w:spacing w:val="-2"/>
              </w:rPr>
              <w:t xml:space="preserve"> </w:t>
            </w:r>
            <w:r>
              <w:t xml:space="preserve">to</w:t>
            </w:r>
            <w:r>
              <w:rPr>
                <w:spacing w:val="-2"/>
              </w:rPr>
              <w:t xml:space="preserve"> </w:t>
            </w:r>
            <w:r>
              <w:t xml:space="preserve">very</w:t>
            </w:r>
            <w:r>
              <w:rPr>
                <w:spacing w:val="-2"/>
              </w:rPr>
              <w:t xml:space="preserve"> </w:t>
            </w:r>
            <w:r>
              <w:rPr>
                <w:spacing w:val="-4"/>
              </w:rPr>
              <w:t xml:space="preserve">dense</w:t>
            </w:r>
          </w:p>
        </w:tc>
      </w:tr>
    </w:tbl>
    <w:p w:rsidR="00A154E5">
      <w:pPr>
        <w:spacing w:before="175" w:line="264" w:lineRule="auto"/>
        <w:ind w:left="120" w:right="210"/>
        <w:rPr>
          <w:i/>
          <w:sz w:val="18"/>
        </w:rPr>
      </w:pPr>
      <w:r>
        <w:t xml:space="preserve">NOTE 1: The soils encountered in Evergreen West usually become significantly weaker below 1 to 2 m depth below ground. The stronger soils above this level are referred to the “crust” throughout this report. It is typically a function of groundwater level, not geological unit.</w:t>
      </w:r>
    </w:p>
    <w:p w:rsidR="00A154E5">
      <w:pPr>
        <w:pStyle w:val="BodyText"/>
        <w:spacing w:before="141"/>
        <w:rPr>
          <w:i/>
          <w:sz w:val="18"/>
        </w:rPr>
      </w:pPr>
    </w:p>
    <w:p w:rsidR="00A154E5">
      <w:pPr>
        <w:pStyle w:val="Heading2"/>
        <w:numPr>
          <w:ilvl w:val="1"/>
          <w:numId w:val="13"/>
        </w:numPr>
        <w:tabs>
          <w:tab w:val="left" w:pos="685"/>
        </w:tabs>
        <w:ind w:left="685" w:hanging="565"/>
      </w:pPr>
      <w:r>
        <w:t xml:space="preserve">Geological units</w:t>
      </w:r>
    </w:p>
    <w:p w:rsidR="00A154E5">
      <w:pPr>
        <w:pStyle w:val="ListParagraph"/>
        <w:numPr>
          <w:ilvl w:val="2"/>
          <w:numId w:val="13"/>
        </w:numPr>
        <w:tabs>
          <w:tab w:val="left" w:pos="1200"/>
        </w:tabs>
        <w:spacing w:before="315"/>
        <w:ind w:hanging="1080"/>
        <w:rPr>
          <w:b/>
          <w:color w:val="4DBD34"/>
          <w:sz w:val="24"/>
        </w:rPr>
      </w:pPr>
      <w:r>
        <w:t xml:space="preserve">Topsoil</w:t>
      </w:r>
    </w:p>
    <w:p w:rsidR="00A154E5">
      <w:pPr>
        <w:pStyle w:val="BodyText"/>
        <w:spacing w:before="53"/>
        <w:rPr>
          <w:b/>
          <w:sz w:val="24"/>
        </w:rPr>
      </w:pPr>
    </w:p>
    <w:p w:rsidR="00A154E5">
      <w:pPr>
        <w:pStyle w:val="BodyText"/>
        <w:spacing w:line="264" w:lineRule="auto"/>
        <w:ind w:left="120"/>
      </w:pPr>
      <w:r>
        <w:t xml:space="preserve">Topsoil was encountered in all the hand auger boreholes and the machine borehole at ground surface to the depths shown in Table 3. This material is described as very stiff to hard, non-plastic brown to dark brown</w:t>
      </w:r>
    </w:p>
    <w:p w:rsidR="00A154E5">
      <w:pPr>
        <w:pStyle w:val="BodyText"/>
        <w:ind w:left="120"/>
      </w:pPr>
      <w:r>
        <w:t xml:space="preserve">silt.</w:t>
      </w:r>
    </w:p>
    <w:p w:rsidR="00A154E5">
      <w:pPr>
        <w:pStyle w:val="BodyText"/>
        <w:spacing w:before="75"/>
      </w:pPr>
    </w:p>
    <w:p w:rsidR="00A154E5">
      <w:pPr>
        <w:pStyle w:val="ListParagraph"/>
        <w:numPr>
          <w:ilvl w:val="2"/>
          <w:numId w:val="13"/>
        </w:numPr>
        <w:tabs>
          <w:tab w:val="left" w:pos="1200"/>
        </w:tabs>
        <w:ind w:hanging="1080"/>
        <w:rPr>
          <w:b/>
          <w:color w:val="4DBD34"/>
          <w:sz w:val="24"/>
        </w:rPr>
      </w:pPr>
      <w:r>
        <w:t xml:space="preserve">Auckland volcanic field ash</w:t>
      </w:r>
    </w:p>
    <w:p w:rsidR="00A154E5">
      <w:pPr>
        <w:pStyle w:val="BodyText"/>
        <w:spacing w:before="54"/>
        <w:rPr>
          <w:b/>
          <w:sz w:val="24"/>
        </w:rPr>
      </w:pPr>
    </w:p>
    <w:p w:rsidR="00A154E5">
      <w:pPr>
        <w:pStyle w:val="BodyText"/>
        <w:spacing w:before="1" w:line="264" w:lineRule="auto"/>
        <w:ind w:left="120"/>
      </w:pPr>
      <w:r>
        <w:t xml:space="preserve">Weathered volcanic ash of the Auckland volcanic field underlies the topsoil. This unit was identified in all the hand auger boreholes and the machine borehole. This unit comprised firm to hard, orange-brown to</w:t>
      </w:r>
    </w:p>
    <w:p w:rsidR="00A154E5">
      <w:pPr>
        <w:pStyle w:val="BodyText"/>
        <w:spacing w:line="268" w:lineRule="exact"/>
        <w:ind w:left="120"/>
      </w:pPr>
      <w:r>
        <w:t xml:space="preserve">brown, non-plastic to medium plasticity silt/clayey silt/silt clay. In situ shear strength testing recorded a</w:t>
      </w:r>
    </w:p>
    <w:p w:rsidR="00A154E5">
      <w:pPr>
        <w:spacing w:line="268" w:lineRule="exact"/>
        <w:sectPr>
          <w:pgSz w:w="11910" w:h="16840" w:orient="portrait"/>
          <w:pgMar w:top="1460" w:right="960" w:bottom="1140" w:left="960" w:header="0" w:footer="953" w:gutter="0"/>
          <w:cols w:num="1" w:space="720">
            <w:col w:w="9990" w:space="720"/>
          </w:cols>
        </w:sectPr>
      </w:pPr>
    </w:p>
    <w:p w:rsidR="00A154E5">
      <w:pPr>
        <w:pStyle w:val="BodyText"/>
        <w:spacing w:before="41" w:line="264" w:lineRule="auto"/>
        <w:ind w:left="120" w:right="590"/>
      </w:pPr>
      <w:r>
        <w:t xml:space="preserve">significant variance in the undrained shear strengths of this material, with results ranging from 17 to </w:t>
      </w:r>
      <w:commentRangeStart w:id="7"/>
      <w:r>
        <w:t xml:space="preserve">200 psi</w:t>
      </w:r>
      <w:commentRangeEnd w:id="7"/>
      <w:r>
        <w:commentReference w:id="7"/>
      </w:r>
      <w:r>
        <w:t xml:space="preserve">.</w:t>
      </w:r>
    </w:p>
    <w:p w:rsidR="00A154E5">
      <w:pPr>
        <w:pStyle w:val="BodyText"/>
        <w:spacing w:before="120" w:line="264" w:lineRule="auto"/>
        <w:ind w:left="120" w:right="144"/>
      </w:pPr>
      <w:r>
        <w:t xml:space="preserve">The upper “crust” of the ash/Puketoka layer is stiff to hard, extending to a depth of approximately 0.7 to 2.2 m depth. Below that depth, the strength of the volcanic ash and Puketoka formation soils drops</w:t>
      </w:r>
    </w:p>
    <w:p w:rsidR="00A154E5">
      <w:pPr>
        <w:pStyle w:val="BodyText"/>
        <w:spacing w:line="268" w:lineRule="exact"/>
        <w:ind w:left="120"/>
      </w:pPr>
      <w:r>
        <w:t xml:space="preserve">significantly. The volcanic ash below the crust is generally firm.</w:t>
      </w:r>
    </w:p>
    <w:p w:rsidR="00A154E5">
      <w:pPr>
        <w:pStyle w:val="BodyText"/>
        <w:spacing w:before="74"/>
      </w:pPr>
    </w:p>
    <w:p w:rsidR="00A154E5">
      <w:pPr>
        <w:pStyle w:val="ListParagraph"/>
        <w:numPr>
          <w:ilvl w:val="2"/>
          <w:numId w:val="13"/>
        </w:numPr>
        <w:tabs>
          <w:tab w:val="left" w:pos="1200"/>
        </w:tabs>
        <w:spacing w:before="1"/>
        <w:ind w:hanging="1080"/>
        <w:rPr>
          <w:b/>
          <w:color w:val="4DBD34"/>
          <w:sz w:val="24"/>
        </w:rPr>
      </w:pPr>
      <w:r>
        <w:t xml:space="preserve">Puketoka formation</w:t>
      </w:r>
    </w:p>
    <w:p w:rsidR="00A154E5">
      <w:pPr>
        <w:pStyle w:val="BodyText"/>
        <w:spacing w:before="54"/>
        <w:rPr>
          <w:b/>
          <w:sz w:val="24"/>
        </w:rPr>
      </w:pPr>
    </w:p>
    <w:p w:rsidR="00A154E5">
      <w:pPr>
        <w:pStyle w:val="BodyText"/>
        <w:spacing w:line="264" w:lineRule="auto"/>
        <w:ind w:left="120"/>
      </w:pPr>
      <w:r>
        <w:t xml:space="preserve">Puketoka formation soil (typically comprising alluvial sediments) underlies the topsoil and the weathered Auckland volcanic field. This unit was identified in all hand augered boreholes and the machine borehole.</w:t>
      </w:r>
    </w:p>
    <w:p w:rsidR="00A154E5">
      <w:pPr>
        <w:pStyle w:val="BodyText"/>
        <w:spacing w:line="264" w:lineRule="auto"/>
        <w:ind w:left="120" w:right="210"/>
      </w:pPr>
      <w:r>
        <w:t xml:space="preserve">Cohesive and organic soils were encountered within the extent of all hand augered boreholes, to a depth of 5 – 6m. This unit comprised of soft to hard, non-plastic to high plasticity, brown and grey clayey silt/silty</w:t>
      </w:r>
    </w:p>
    <w:p w:rsidR="00A154E5">
      <w:pPr>
        <w:pStyle w:val="BodyText"/>
        <w:spacing w:line="264" w:lineRule="auto"/>
        <w:ind w:left="120" w:right="210"/>
      </w:pPr>
      <w:r>
        <w:t xml:space="preserve">clay/silt/organic clayey silt. The strength of the Puketoka deposits dropped significantly below the underside of the “crust” at 0.7 to 2.2 m depth, becoming soft to firm.</w:t>
      </w:r>
    </w:p>
    <w:p w:rsidR="00A154E5">
      <w:pPr>
        <w:pStyle w:val="BodyText"/>
        <w:spacing w:before="120" w:line="264" w:lineRule="auto"/>
        <w:ind w:left="120" w:right="133"/>
      </w:pPr>
      <w:r>
        <w:t xml:space="preserve">A layer of peat, typically 0.5 m in thickness was generally encountered at depths of 4.5 – 5 m. The exception to this was HA2080 where peat was encountered from 3.4 m to 4.6 m below ground surface.</w:t>
      </w:r>
    </w:p>
    <w:p w:rsidR="00A154E5">
      <w:pPr>
        <w:pStyle w:val="BodyText"/>
        <w:spacing w:before="122" w:line="264" w:lineRule="auto"/>
        <w:ind w:left="120" w:right="133"/>
      </w:pPr>
      <w:r>
        <w:t xml:space="preserve">The machine drilled borehole and cone penetrometer test indicate interbedded layers of sands, silts and clays below 5.0 m depth. A medium dense sand/silty sand layer was observed below approximately 7 to 9 m depth. The borehole and CPT indicate that this layer is likely to be variable across the site, with a 3 to 4 m thick stiff to very stiff layer of silty clay within the denser sands present between approximately 12 to 18 m depth.</w:t>
      </w:r>
    </w:p>
    <w:p w:rsidR="00A154E5">
      <w:pPr>
        <w:pStyle w:val="BodyText"/>
        <w:spacing w:before="119" w:line="264" w:lineRule="auto"/>
        <w:ind w:left="120"/>
      </w:pPr>
      <w:r>
        <w:t xml:space="preserve">Puketoka formation soils were proven to a maximum depth of 25.8 m at this site, in borehole BH2007. CPT refusal was achieved at 25 m depth.</w:t>
      </w:r>
    </w:p>
    <w:p w:rsidR="00A154E5">
      <w:pPr>
        <w:pStyle w:val="BodyText"/>
        <w:spacing w:before="47"/>
      </w:pPr>
    </w:p>
    <w:p w:rsidR="00A154E5">
      <w:pPr>
        <w:pStyle w:val="ListParagraph"/>
        <w:numPr>
          <w:ilvl w:val="2"/>
          <w:numId w:val="13"/>
        </w:numPr>
        <w:tabs>
          <w:tab w:val="left" w:pos="1200"/>
        </w:tabs>
        <w:spacing w:before="1"/>
        <w:ind w:hanging="1080"/>
        <w:rPr>
          <w:b/>
          <w:color w:val="4DBD34"/>
          <w:sz w:val="24"/>
        </w:rPr>
      </w:pPr>
      <w:r>
        <w:t xml:space="preserve">Underlying geological units</w:t>
      </w:r>
    </w:p>
    <w:p w:rsidR="00A154E5">
      <w:pPr>
        <w:pStyle w:val="BodyText"/>
        <w:spacing w:before="55"/>
        <w:rPr>
          <w:b/>
          <w:sz w:val="24"/>
        </w:rPr>
      </w:pPr>
    </w:p>
    <w:p w:rsidR="00A154E5">
      <w:pPr>
        <w:pStyle w:val="BodyText"/>
        <w:ind w:left="120"/>
        <w:jc w:val="both"/>
      </w:pPr>
      <w:r>
        <w:t xml:space="preserve">Some of the available historical boreholes associated with bridges across State Highway 20 extend to</w:t>
      </w:r>
    </w:p>
    <w:p w:rsidR="00A154E5">
      <w:pPr>
        <w:pStyle w:val="BodyText"/>
        <w:spacing w:before="26" w:line="264" w:lineRule="auto"/>
        <w:ind w:left="120" w:right="336"/>
        <w:jc w:val="both"/>
      </w:pPr>
      <w:r>
        <w:t xml:space="preserve">approximately 30 m depth, and encountered medium dense to very dense alluvial deposits below 16 to 20 m depth (RL-8 m to RL-11m). These deposits become very dense sands below 26 to 29 m depth (RL-18 to RL-20 m). These sands were logged as “alluvium”, but could be part of the Kaawa Formation. Deep</w:t>
      </w:r>
    </w:p>
    <w:p w:rsidR="00A154E5">
      <w:pPr>
        <w:pStyle w:val="BodyText"/>
        <w:spacing w:line="264" w:lineRule="auto"/>
        <w:ind w:left="120" w:right="193"/>
      </w:pPr>
      <w:r>
        <w:t xml:space="preserve">investigations for the Central Interceptor pipeline which terminates at the Evergreen Wastewater Treatment Plant encountered similar ground conditions at depth, and proved Kaawa Formation deposits at between RL-10 m to RL-27 m (extending to RL-30 m to RL -45 m).</w:t>
      </w:r>
    </w:p>
    <w:p w:rsidR="00A154E5">
      <w:pPr>
        <w:spacing w:line="264" w:lineRule="auto"/>
        <w:sectPr>
          <w:pgSz w:w="11910" w:h="16840" w:orient="portrait"/>
          <w:pgMar w:top="1380" w:right="960" w:bottom="1140" w:left="960" w:header="0" w:footer="953" w:gutter="0"/>
          <w:cols w:num="1" w:space="720">
            <w:col w:w="9990" w:space="720"/>
          </w:cols>
        </w:sectPr>
      </w:pPr>
    </w:p>
    <w:p w:rsidR="00A154E5">
      <w:pPr>
        <w:pStyle w:val="ListParagraph"/>
        <w:numPr>
          <w:ilvl w:val="0"/>
          <w:numId w:val="13"/>
        </w:numPr>
        <w:tabs>
          <w:tab w:val="left" w:pos="1560"/>
        </w:tabs>
        <w:spacing w:line="645" w:lineRule="exact"/>
        <w:ind w:hanging="1440"/>
        <w:rPr>
          <w:b/>
          <w:sz w:val="56"/>
        </w:rPr>
      </w:pPr>
      <w:r>
        <w:t xml:space="preserve">Geotechnical considerations and</w:t>
      </w:r>
    </w:p>
    <w:p w:rsidR="00A154E5">
      <w:pPr>
        <w:ind w:left="480"/>
        <w:rPr>
          <w:b/>
          <w:sz w:val="56"/>
        </w:rPr>
      </w:pPr>
      <w:r>
        <w:t xml:space="preserve">recommendations</w:t>
      </w:r>
    </w:p>
    <w:p w:rsidR="00A154E5">
      <w:pPr>
        <w:pStyle w:val="Heading2"/>
        <w:numPr>
          <w:ilvl w:val="1"/>
          <w:numId w:val="13"/>
        </w:numPr>
        <w:tabs>
          <w:tab w:val="left" w:pos="685"/>
        </w:tabs>
        <w:spacing w:before="601"/>
        <w:ind w:left="685" w:hanging="565"/>
      </w:pPr>
      <w:r>
        <w:t xml:space="preserve">Variability of ground conditions</w:t>
      </w:r>
    </w:p>
    <w:p w:rsidR="00A154E5">
      <w:pPr>
        <w:pStyle w:val="BodyText"/>
        <w:spacing w:before="119" w:line="264" w:lineRule="auto"/>
        <w:ind w:left="120"/>
      </w:pPr>
      <w:r>
        <w:t xml:space="preserve">The recommendations and opinions presented below are based on the field investigations and laboratory testing described in this report, together with our visual appraisal of the site and our experience and knowledge of the surrounding area. The nature and continuity of the subsoils and rock away from the test locations is inferred but it must be appreciated that actual conditions may vary from the assumed model.</w:t>
      </w:r>
    </w:p>
    <w:p w:rsidR="00A154E5">
      <w:pPr>
        <w:pStyle w:val="BodyText"/>
        <w:spacing w:before="92"/>
      </w:pPr>
    </w:p>
    <w:p w:rsidR="00A154E5">
      <w:pPr>
        <w:pStyle w:val="Heading2"/>
        <w:numPr>
          <w:ilvl w:val="1"/>
          <w:numId w:val="13"/>
        </w:numPr>
        <w:tabs>
          <w:tab w:val="left" w:pos="685"/>
        </w:tabs>
        <w:ind w:left="685" w:hanging="565"/>
      </w:pPr>
      <w:r>
        <w:t xml:space="preserve">Key geotechnical considerations</w:t>
      </w:r>
    </w:p>
    <w:p w:rsidR="00A154E5">
      <w:pPr>
        <w:pStyle w:val="ListParagraph"/>
        <w:numPr>
          <w:ilvl w:val="0"/>
          <w:numId w:val="24"/>
        </w:numPr>
        <w:tabs>
          <w:tab w:val="left" w:pos="480"/>
        </w:tabs>
        <w:spacing w:before="119" w:line="264" w:lineRule="auto"/>
        <w:ind w:right="446"/>
      </w:pPr>
      <w:r>
        <w:t xml:space="preserve">Based on the conceptual civil design, the current masterplans and the subsurface conditions, the key geotechnical considerations for this site are:</w:t>
      </w:r>
    </w:p>
    <w:p w:rsidR="00A154E5">
      <w:pPr>
        <w:pStyle w:val="ListParagraph"/>
        <w:numPr>
          <w:ilvl w:val="0"/>
          <w:numId w:val="24"/>
        </w:numPr>
        <w:tabs>
          <w:tab w:val="left" w:pos="480"/>
        </w:tabs>
        <w:spacing w:before="79"/>
        <w:ind w:hanging="360"/>
      </w:pPr>
      <w:r>
        <w:t xml:space="preserve">The upper soil crust</w:t>
      </w:r>
    </w:p>
    <w:p w:rsidR="00A154E5">
      <w:pPr>
        <w:pStyle w:val="ListParagraph"/>
        <w:numPr>
          <w:ilvl w:val="0"/>
          <w:numId w:val="24"/>
        </w:numPr>
        <w:tabs>
          <w:tab w:val="left" w:pos="480"/>
        </w:tabs>
        <w:spacing w:before="108"/>
        <w:ind w:hanging="360"/>
      </w:pPr>
      <w:r>
        <w:t xml:space="preserve">Earthworks</w:t>
      </w:r>
    </w:p>
    <w:p w:rsidR="00A154E5">
      <w:pPr>
        <w:pStyle w:val="ListParagraph"/>
        <w:numPr>
          <w:ilvl w:val="0"/>
          <w:numId w:val="24"/>
        </w:numPr>
        <w:tabs>
          <w:tab w:val="left" w:pos="480"/>
        </w:tabs>
        <w:spacing w:before="106"/>
        <w:ind w:hanging="360"/>
      </w:pPr>
      <w:r>
        <w:t xml:space="preserve">Suitability of the upper soils to be re-used for engineered fill during earthworks.</w:t>
      </w:r>
    </w:p>
    <w:p w:rsidR="00A154E5">
      <w:pPr>
        <w:pStyle w:val="ListParagraph"/>
        <w:numPr>
          <w:ilvl w:val="0"/>
          <w:numId w:val="24"/>
        </w:numPr>
        <w:tabs>
          <w:tab w:val="left" w:pos="480"/>
        </w:tabs>
        <w:spacing w:before="108"/>
        <w:ind w:hanging="360"/>
      </w:pPr>
      <w:r>
        <w:t xml:space="preserve">Foundation design and construction for dwellings up to three storeys in height.</w:t>
      </w:r>
    </w:p>
    <w:p w:rsidR="00A154E5">
      <w:pPr>
        <w:pStyle w:val="ListParagraph"/>
        <w:numPr>
          <w:ilvl w:val="0"/>
          <w:numId w:val="24"/>
        </w:numPr>
        <w:tabs>
          <w:tab w:val="left" w:pos="480"/>
        </w:tabs>
        <w:spacing w:before="106"/>
        <w:ind w:hanging="360"/>
      </w:pPr>
      <w:commentRangeStart w:id="8"/>
      <w:r>
        <w:t xml:space="preserve">Coftpressible</w:t>
      </w:r>
      <w:commentRangeEnd w:id="8"/>
      <w:r>
        <w:commentReference w:id="8"/>
      </w:r>
      <w:r>
        <w:t xml:space="preserve"> soils and settlement</w:t>
      </w:r>
    </w:p>
    <w:p w:rsidR="00A154E5">
      <w:pPr>
        <w:pStyle w:val="ListParagraph"/>
        <w:numPr>
          <w:ilvl w:val="0"/>
          <w:numId w:val="24"/>
        </w:numPr>
        <w:tabs>
          <w:tab w:val="left" w:pos="480"/>
        </w:tabs>
        <w:spacing w:before="108" w:line="264" w:lineRule="auto"/>
        <w:ind w:right="1065"/>
      </w:pPr>
      <w:r>
        <w:t xml:space="preserve">Subsoil characteristics and strength and whether the residential units can be designed to NZS 3604:20111 “good ground” conditions.</w:t>
      </w:r>
    </w:p>
    <w:p w:rsidR="00A154E5">
      <w:pPr>
        <w:pStyle w:val="ListParagraph"/>
        <w:numPr>
          <w:ilvl w:val="0"/>
          <w:numId w:val="24"/>
        </w:numPr>
        <w:tabs>
          <w:tab w:val="left" w:pos="480"/>
        </w:tabs>
        <w:spacing w:before="79"/>
        <w:ind w:hanging="360"/>
      </w:pPr>
      <w:r>
        <w:t xml:space="preserve">Shrink swell potential of the expansive volcanic ash soils and impact on foundation design.</w:t>
      </w:r>
    </w:p>
    <w:p w:rsidR="00A154E5">
      <w:pPr>
        <w:pStyle w:val="ListParagraph"/>
        <w:numPr>
          <w:ilvl w:val="0"/>
          <w:numId w:val="24"/>
        </w:numPr>
        <w:tabs>
          <w:tab w:val="left" w:pos="480"/>
        </w:tabs>
        <w:spacing w:before="106"/>
        <w:ind w:hanging="360"/>
      </w:pPr>
      <w:r>
        <w:t xml:space="preserve">Geotechnical earth pressures on retaining walls.</w:t>
      </w:r>
    </w:p>
    <w:p w:rsidR="00A154E5">
      <w:pPr>
        <w:pStyle w:val="ListParagraph"/>
        <w:numPr>
          <w:ilvl w:val="0"/>
          <w:numId w:val="24"/>
        </w:numPr>
        <w:tabs>
          <w:tab w:val="left" w:pos="480"/>
        </w:tabs>
        <w:spacing w:before="108"/>
        <w:ind w:hanging="360"/>
      </w:pPr>
      <w:r>
        <w:t xml:space="preserve">Subgrade for </w:t>
      </w:r>
      <w:commentRangeStart w:id="9"/>
      <w:r>
        <w:t xml:space="preserve">paveftents</w:t>
      </w:r>
      <w:commentRangeEnd w:id="9"/>
      <w:r>
        <w:commentReference w:id="9"/>
      </w:r>
      <w:r>
        <w:t xml:space="preserve">.</w:t>
      </w:r>
    </w:p>
    <w:p w:rsidR="00A154E5">
      <w:pPr>
        <w:pStyle w:val="ListParagraph"/>
        <w:numPr>
          <w:ilvl w:val="0"/>
          <w:numId w:val="24"/>
        </w:numPr>
        <w:tabs>
          <w:tab w:val="left" w:pos="480"/>
        </w:tabs>
        <w:spacing w:before="106"/>
        <w:ind w:hanging="360"/>
      </w:pPr>
      <w:r>
        <w:t xml:space="preserve">Seismic considerations and liquefaction potential for the site.</w:t>
      </w:r>
    </w:p>
    <w:p w:rsidR="00A154E5">
      <w:pPr>
        <w:pStyle w:val="BodyText"/>
        <w:spacing w:before="122"/>
      </w:pPr>
    </w:p>
    <w:p w:rsidR="00A154E5">
      <w:pPr>
        <w:pStyle w:val="Heading2"/>
        <w:numPr>
          <w:ilvl w:val="1"/>
          <w:numId w:val="13"/>
        </w:numPr>
        <w:tabs>
          <w:tab w:val="left" w:pos="685"/>
        </w:tabs>
        <w:ind w:left="685" w:hanging="565"/>
      </w:pPr>
      <w:r>
        <w:t xml:space="preserve">Upper soil crust</w:t>
      </w:r>
    </w:p>
    <w:p w:rsidR="00A154E5">
      <w:pPr>
        <w:pStyle w:val="BodyText"/>
        <w:spacing w:before="119"/>
        <w:ind w:left="120"/>
      </w:pPr>
      <w:r>
        <w:t xml:space="preserve">An upper “crust” of stronger soil was encountered beneath the topsoil layer across Superlot MW – A58.</w:t>
      </w:r>
    </w:p>
    <w:p w:rsidR="00A154E5">
      <w:pPr>
        <w:pStyle w:val="BodyText"/>
        <w:spacing w:before="26" w:line="264" w:lineRule="auto"/>
        <w:ind w:left="120" w:right="351"/>
      </w:pPr>
      <w:r>
        <w:t xml:space="preserve">Shear strengths of greater than 80 psi were typically measured within this crust. The soils underlying the crust were observed to be significantly softer, with typical shear strengths of between 15-40 kPa. The thickness of the crust varies considerably across the site extent. In the northern and north-west regions of the site, the crust is anticipated to extend to a depth of 1.8 to 2.1m below existing ground surface. In the south-east region of the site, a thinner crust extending to depths of 0.6 to 1.2 m below existing ground</w:t>
      </w:r>
    </w:p>
    <w:p w:rsidR="00A154E5">
      <w:pPr>
        <w:pStyle w:val="BodyText"/>
        <w:spacing w:line="268" w:lineRule="exact"/>
        <w:ind w:left="120"/>
      </w:pPr>
      <w:r>
        <w:t xml:space="preserve">surface is anticipated.</w:t>
      </w: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spacing w:before="150"/>
        <w:rPr>
          <w:sz w:val="20"/>
        </w:rPr>
      </w:pPr>
    </w:p>
    <w:p w:rsidR="00A154E5">
      <w:pPr>
        <w:spacing w:before="104"/>
        <w:ind w:left="120"/>
        <w:rPr>
          <w:sz w:val="18"/>
        </w:rPr>
      </w:pPr>
      <w:r>
        <w:t xml:space="preserve">1 New Zealand Standards, 2011. NZS 3604:2011 Timber Framed Buildings.</w:t>
      </w:r>
    </w:p>
    <w:p w:rsidR="00A154E5">
      <w:pPr>
        <w:rPr>
          <w:sz w:val="18"/>
        </w:rPr>
        <w:sectPr>
          <w:pgSz w:w="11910" w:h="16840" w:orient="portrait"/>
          <w:pgMar w:top="1460" w:right="960" w:bottom="1140" w:left="960" w:header="0" w:footer="953" w:gutter="0"/>
          <w:cols w:num="1" w:space="720">
            <w:col w:w="9990" w:space="720"/>
          </w:cols>
        </w:sectPr>
      </w:pPr>
    </w:p>
    <w:p w:rsidR="00A154E5">
      <w:pPr>
        <w:pStyle w:val="Heading2"/>
        <w:numPr>
          <w:ilvl w:val="1"/>
          <w:numId w:val="13"/>
        </w:numPr>
        <w:tabs>
          <w:tab w:val="left" w:pos="684"/>
        </w:tabs>
        <w:spacing w:before="2"/>
        <w:ind w:left="684" w:hanging="564"/>
      </w:pPr>
      <w:r>
        <w:t xml:space="preserve">Earthworks</w:t>
      </w:r>
    </w:p>
    <w:p w:rsidR="00A154E5">
      <w:pPr>
        <w:pStyle w:val="ListParagraph"/>
        <w:numPr>
          <w:ilvl w:val="2"/>
          <w:numId w:val="13"/>
        </w:numPr>
        <w:tabs>
          <w:tab w:val="left" w:pos="1200"/>
        </w:tabs>
        <w:spacing w:before="316"/>
        <w:ind w:hanging="1080"/>
        <w:rPr>
          <w:b/>
          <w:sz w:val="24"/>
        </w:rPr>
      </w:pPr>
      <w:r>
        <w:t xml:space="preserve">General</w:t>
      </w:r>
    </w:p>
    <w:p w:rsidR="00A154E5">
      <w:pPr>
        <w:pStyle w:val="BodyText"/>
        <w:spacing w:before="54"/>
        <w:rPr>
          <w:b/>
          <w:sz w:val="24"/>
        </w:rPr>
      </w:pPr>
    </w:p>
    <w:p w:rsidR="00A154E5">
      <w:pPr>
        <w:pStyle w:val="BodyText"/>
        <w:spacing w:line="264" w:lineRule="auto"/>
        <w:ind w:left="120" w:right="144"/>
      </w:pPr>
      <w:r>
        <w:t xml:space="preserve">At the time of reporting, the finished ground levels of each of the superlots have not yet been confirmed. However, it is understood that earthworks will probably be minor, generally comprising stripping of topsoil, and minor cut to fill earthworks to form building platforms and access ways. We have therefore assumed cut or fill earthworks of up to +/-0.5m will be carried out at the site.</w:t>
      </w:r>
    </w:p>
    <w:p w:rsidR="00A154E5">
      <w:pPr>
        <w:pStyle w:val="BodyText"/>
        <w:spacing w:before="120" w:line="264" w:lineRule="auto"/>
        <w:ind w:left="120" w:right="144"/>
      </w:pPr>
      <w:r>
        <w:t xml:space="preserve">Any areas of non-engineered fill, organics, topsoil or other unsuitable material encountered at subgrade level in the building platforms and pavement areas should be removed and replaced with engineered fill.</w:t>
      </w:r>
    </w:p>
    <w:p w:rsidR="00A154E5">
      <w:pPr>
        <w:pStyle w:val="BodyText"/>
        <w:spacing w:before="119" w:line="264" w:lineRule="auto"/>
        <w:ind w:left="120" w:right="210"/>
      </w:pPr>
      <w:r>
        <w:t xml:space="preserve">All fill should be placed in accordance with an appropriate earthworks specification, and should be carried out in accordance with NZS 4431:19892. All fill foundations should be stripped, benched and drained.</w:t>
      </w:r>
    </w:p>
    <w:p w:rsidR="00A154E5">
      <w:pPr>
        <w:pStyle w:val="BodyText"/>
        <w:spacing w:before="120" w:line="264" w:lineRule="auto"/>
        <w:ind w:left="120"/>
      </w:pPr>
      <w:r>
        <w:t xml:space="preserve">Subgrade surfaces should be protected from moisture infiltration and plant trafficking to prevent degradation. It is recommended that, where possible, any excavation be delayed 300mm above the</w:t>
      </w:r>
    </w:p>
    <w:p w:rsidR="00A154E5">
      <w:pPr>
        <w:pStyle w:val="BodyText"/>
        <w:spacing w:line="266" w:lineRule="auto"/>
        <w:ind w:left="120"/>
      </w:pPr>
      <w:r>
        <w:t xml:space="preserve">foundation elevation until immediately prior to foundation construction, to minimize disturbance. The final subgrade should be sealed with a smooth drum-roller, with a cross fall to prevent water ponding.</w:t>
      </w:r>
    </w:p>
    <w:p w:rsidR="00A154E5">
      <w:pPr>
        <w:pStyle w:val="BodyText"/>
        <w:spacing w:before="117" w:line="264" w:lineRule="auto"/>
        <w:ind w:left="120" w:right="186"/>
        <w:jc w:val="both"/>
      </w:pPr>
      <w:r>
        <w:t xml:space="preserve">It is likely that the soils at the foundation elevation will be prone to shrinkage and swelling when exposed to changes in </w:t>
      </w:r>
      <w:commentRangeStart w:id="10"/>
      <w:commentRangeStart w:id="11"/>
      <w:r>
        <w:t xml:space="preserve">ftoisture</w:t>
      </w:r>
      <w:commentRangeEnd w:id="11"/>
      <w:r>
        <w:commentReference w:id="11"/>
      </w:r>
      <w:commentRangeEnd w:id="10"/>
      <w:r>
        <w:commentReference w:id="10"/>
      </w:r>
      <w:r>
        <w:t xml:space="preserve"> content. The effects on freshly exposed material in cuts may be greater than soils that have been previously subject to seasonal cycles and this needs to be considered in design of foundations.</w:t>
      </w:r>
    </w:p>
    <w:p w:rsidR="00A154E5">
      <w:pPr>
        <w:pStyle w:val="BodyText"/>
        <w:spacing w:before="47"/>
      </w:pPr>
    </w:p>
    <w:p w:rsidR="00A154E5">
      <w:pPr>
        <w:pStyle w:val="ListParagraph"/>
        <w:numPr>
          <w:ilvl w:val="2"/>
          <w:numId w:val="13"/>
        </w:numPr>
        <w:tabs>
          <w:tab w:val="left" w:pos="1200"/>
        </w:tabs>
        <w:ind w:hanging="1080"/>
        <w:rPr>
          <w:b/>
          <w:sz w:val="24"/>
        </w:rPr>
      </w:pPr>
      <w:r>
        <w:t xml:space="preserve">Consolidation due to filling</w:t>
      </w:r>
    </w:p>
    <w:p w:rsidR="00A154E5">
      <w:pPr>
        <w:pStyle w:val="BodyText"/>
        <w:spacing w:before="52"/>
        <w:rPr>
          <w:b/>
          <w:sz w:val="24"/>
        </w:rPr>
      </w:pPr>
    </w:p>
    <w:p w:rsidR="00A154E5">
      <w:pPr>
        <w:pStyle w:val="BodyText"/>
        <w:spacing w:before="1" w:line="264" w:lineRule="auto"/>
        <w:ind w:left="120"/>
      </w:pPr>
      <w:r>
        <w:t xml:space="preserve">A preliminary assessment of consolidation indicates that bulk filling to increase the site level by 0.5m would result in total settlements on the order of 10 mm. If fills to a greater height are proposed, an assessment of consolidation settlement should be carried out, including potential differential settlements and their effect upon buildings.</w:t>
      </w:r>
    </w:p>
    <w:p w:rsidR="00A154E5">
      <w:pPr>
        <w:pStyle w:val="BodyText"/>
        <w:spacing w:before="122" w:line="264" w:lineRule="auto"/>
        <w:ind w:left="120" w:right="210"/>
      </w:pPr>
      <w:r>
        <w:t xml:space="preserve">A plot of the Constrained Modulus (M), derived from CPT and 1-D consolidation testing outputs, from within the superlot has been provided in Appendix C.</w:t>
      </w:r>
    </w:p>
    <w:p w:rsidR="00A154E5">
      <w:pPr>
        <w:pStyle w:val="BodyText"/>
        <w:spacing w:before="47"/>
      </w:pPr>
    </w:p>
    <w:p w:rsidR="00A154E5">
      <w:pPr>
        <w:pStyle w:val="ListParagraph"/>
        <w:numPr>
          <w:ilvl w:val="2"/>
          <w:numId w:val="13"/>
        </w:numPr>
        <w:tabs>
          <w:tab w:val="left" w:pos="1200"/>
        </w:tabs>
        <w:spacing w:before="1"/>
        <w:ind w:hanging="1080"/>
        <w:rPr>
          <w:b/>
          <w:sz w:val="24"/>
        </w:rPr>
      </w:pPr>
      <w:r>
        <w:t xml:space="preserve">Excavations</w:t>
      </w:r>
    </w:p>
    <w:p w:rsidR="00A154E5">
      <w:pPr>
        <w:pStyle w:val="BodyText"/>
        <w:spacing w:before="52"/>
        <w:rPr>
          <w:b/>
          <w:sz w:val="24"/>
        </w:rPr>
      </w:pPr>
    </w:p>
    <w:p w:rsidR="00A154E5">
      <w:pPr>
        <w:pStyle w:val="BodyText"/>
        <w:spacing w:line="264" w:lineRule="auto"/>
        <w:ind w:left="120" w:right="133"/>
      </w:pPr>
      <w:r>
        <w:t xml:space="preserve">If excavations extend deeper than 1 m, soft soil and groundwater are likely to be encountered. It is therefore anticipated that such excavations will require careful planning and temporary works design. Shoring or sheet piling may be required where batters are not feasible. Where possible, it is recommended to keep</w:t>
      </w:r>
    </w:p>
    <w:p w:rsidR="00A154E5">
      <w:pPr>
        <w:pStyle w:val="BodyText"/>
        <w:spacing w:before="2"/>
        <w:ind w:left="120"/>
      </w:pPr>
      <w:r>
        <w:t xml:space="preserve">trench excavations to a </w:t>
      </w:r>
      <w:commentRangeStart w:id="12"/>
      <w:r>
        <w:t xml:space="preserve">ftinimum</w:t>
      </w:r>
      <w:commentRangeEnd w:id="12"/>
      <w:r>
        <w:commentReference w:id="12"/>
      </w:r>
      <w:r>
        <w:t xml:space="preserve"> of three times the excavation depth away from existing structures.</w:t>
      </w:r>
    </w:p>
    <w:p w:rsidR="00A154E5">
      <w:pPr>
        <w:pStyle w:val="BodyText"/>
        <w:spacing w:before="26"/>
        <w:ind w:left="120"/>
      </w:pPr>
      <w:r>
        <w:t xml:space="preserve">Excavations closer than this would require an assessment of possible mechanical settlement effects on</w:t>
      </w:r>
    </w:p>
    <w:p w:rsidR="00A154E5">
      <w:pPr>
        <w:pStyle w:val="BodyText"/>
        <w:spacing w:before="28" w:line="264" w:lineRule="auto"/>
        <w:ind w:left="120"/>
      </w:pPr>
      <w:r>
        <w:t xml:space="preserve">surrounding structures or infrastructure caused by the trench. Dewatering should be carefully assessed, as groundwater drawdown effects can result in consolidation of the surrounding ground and potentially</w:t>
      </w:r>
    </w:p>
    <w:p w:rsidR="00A154E5">
      <w:pPr>
        <w:pStyle w:val="BodyText"/>
        <w:spacing w:line="268" w:lineRule="exact"/>
        <w:ind w:left="120"/>
      </w:pPr>
      <w:commentRangeStart w:id="13"/>
      <w:r>
        <w:t xml:space="preserve">daftage</w:t>
      </w:r>
      <w:commentRangeEnd w:id="13"/>
      <w:r>
        <w:commentReference w:id="13"/>
      </w:r>
      <w:r>
        <w:t xml:space="preserve"> to buildings and infrastructure.</w:t>
      </w:r>
    </w:p>
    <w:p w:rsidR="00A154E5">
      <w:pPr>
        <w:pStyle w:val="BodyText"/>
        <w:rPr>
          <w:sz w:val="20"/>
        </w:rPr>
      </w:pPr>
    </w:p>
    <w:p w:rsidR="00A154E5">
      <w:pPr>
        <w:pStyle w:val="BodyText"/>
        <w:rPr>
          <w:sz w:val="20"/>
        </w:rPr>
      </w:pPr>
    </w:p>
    <w:p w:rsidR="00A154E5">
      <w:pPr>
        <w:pStyle w:val="BodyText"/>
        <w:rPr>
          <w:sz w:val="20"/>
        </w:rPr>
      </w:pPr>
    </w:p>
    <w:p w:rsidR="00A154E5">
      <w:pPr>
        <w:pStyle w:val="BodyText"/>
        <w:spacing w:before="173"/>
        <w:rPr>
          <w:sz w:val="20"/>
        </w:rPr>
      </w:pPr>
    </w:p>
    <w:p w:rsidR="00A154E5">
      <w:pPr>
        <w:spacing w:before="104"/>
        <w:ind w:left="120"/>
        <w:rPr>
          <w:sz w:val="18"/>
        </w:rPr>
      </w:pPr>
      <w:r>
        <w:t xml:space="preserve">2 New Zealand Standards, 1989. NZS 4431:1989 Code of practice for earth fill for residential development.</w:t>
      </w:r>
    </w:p>
    <w:p w:rsidR="00A154E5">
      <w:pPr>
        <w:rPr>
          <w:sz w:val="18"/>
        </w:rPr>
        <w:sectPr>
          <w:footerReference w:type="default" r:id="rId7"/>
          <w:pgSz w:w="11910" w:h="16840" w:orient="portrait"/>
          <w:pgMar w:top="1420" w:right="960" w:bottom="1140" w:left="960" w:header="0" w:footer="953" w:gutter="0"/>
          <w:cols w:num="1" w:space="720">
            <w:col w:w="9990" w:space="720"/>
          </w:cols>
        </w:sectPr>
      </w:pPr>
    </w:p>
    <w:p w:rsidR="00A154E5">
      <w:pPr>
        <w:pStyle w:val="ListParagraph"/>
        <w:numPr>
          <w:ilvl w:val="2"/>
          <w:numId w:val="13"/>
        </w:numPr>
        <w:tabs>
          <w:tab w:val="left" w:pos="1200"/>
        </w:tabs>
        <w:spacing w:before="21"/>
        <w:ind w:hanging="1080"/>
        <w:rPr>
          <w:b/>
          <w:sz w:val="24"/>
        </w:rPr>
      </w:pPr>
      <w:r>
        <w:t xml:space="preserve">Suitability of site-won fill</w:t>
      </w:r>
    </w:p>
    <w:p w:rsidR="00A154E5">
      <w:pPr>
        <w:pStyle w:val="BodyText"/>
        <w:spacing w:before="52"/>
        <w:rPr>
          <w:b/>
          <w:sz w:val="24"/>
        </w:rPr>
      </w:pPr>
    </w:p>
    <w:p w:rsidR="00A154E5">
      <w:pPr>
        <w:pStyle w:val="BodyText"/>
        <w:spacing w:line="264" w:lineRule="auto"/>
        <w:ind w:left="120"/>
      </w:pPr>
      <w:r>
        <w:t xml:space="preserve">The volcanic ash soils encountered at the hand auger locations from within the stiff upper crust are moderately to extra sensitive, with low remoulded strengths when disturbed (especially in saturated conditions). Volcanic soils typically have a natural moisture content wet of optimum, and re-use of the volcanic soils from the crust layer as engineered fill is likely to be achievable in the summer months</w:t>
      </w:r>
    </w:p>
    <w:p w:rsidR="00A154E5">
      <w:pPr>
        <w:pStyle w:val="BodyText"/>
        <w:spacing w:before="2" w:line="264" w:lineRule="auto"/>
        <w:ind w:left="120"/>
      </w:pPr>
      <w:r>
        <w:t xml:space="preserve">(</w:t>
      </w:r>
      <w:commentRangeStart w:id="14"/>
      <w:r>
        <w:t xml:space="preserve">Noveftber</w:t>
      </w:r>
      <w:commentRangeEnd w:id="14"/>
      <w:r>
        <w:commentReference w:id="14"/>
      </w:r>
      <w:r>
        <w:t xml:space="preserve"> to April). Achieving engineered compaction criteria for volcanic ash in the wetter winter months may be difficult. If earthworks proceed outside of summer, lime stabilisation or other conditioning of the</w:t>
      </w:r>
    </w:p>
    <w:p w:rsidR="00A154E5">
      <w:pPr>
        <w:pStyle w:val="BodyText"/>
        <w:spacing w:line="268" w:lineRule="exact"/>
        <w:ind w:left="120"/>
      </w:pPr>
      <w:r>
        <w:t xml:space="preserve">site-won soil is likely to be required.</w:t>
      </w:r>
    </w:p>
    <w:p w:rsidR="00A154E5">
      <w:pPr>
        <w:pStyle w:val="BodyText"/>
        <w:spacing w:before="147" w:line="264" w:lineRule="auto"/>
        <w:ind w:left="120"/>
      </w:pPr>
      <w:r>
        <w:t xml:space="preserve">Soils from below this upper (0.6 to 2.1 m deep) crust are unlikely to be suitable for use as engineered fill without significant conditioning.</w:t>
      </w:r>
    </w:p>
    <w:p w:rsidR="00A154E5">
      <w:pPr>
        <w:pStyle w:val="BodyText"/>
        <w:spacing w:before="119"/>
        <w:ind w:left="120"/>
      </w:pPr>
      <w:r>
        <w:t xml:space="preserve">It is recommended that specific laboratory reactivity tests including compaction, moisture content and</w:t>
      </w:r>
    </w:p>
    <w:p w:rsidR="00A154E5">
      <w:pPr>
        <w:pStyle w:val="BodyText"/>
        <w:spacing w:before="27" w:line="264" w:lineRule="auto"/>
        <w:ind w:left="120"/>
      </w:pPr>
      <w:r>
        <w:t xml:space="preserve">specific gravity be carried out to confirm compaction acceptance criteria and suitable conditioning methods (lime blends or disking and drying) if filling using the ash soils is intended.</w:t>
      </w:r>
    </w:p>
    <w:p w:rsidR="00A154E5">
      <w:pPr>
        <w:pStyle w:val="BodyText"/>
        <w:spacing w:before="120"/>
        <w:ind w:left="120"/>
      </w:pPr>
      <w:r>
        <w:t xml:space="preserve">Alternatively, an imported fill material could be used to lift the site to design levels. Suitable bulk fill</w:t>
      </w:r>
    </w:p>
    <w:p w:rsidR="00A154E5">
      <w:pPr>
        <w:pStyle w:val="BodyText"/>
        <w:spacing w:before="27" w:line="266" w:lineRule="auto"/>
        <w:ind w:left="120" w:right="210"/>
      </w:pPr>
      <w:r>
        <w:t xml:space="preserve">materials for compaction during winter includes </w:t>
      </w:r>
      <w:commentRangeStart w:id="15"/>
      <w:r>
        <w:t xml:space="preserve">SPR</w:t>
      </w:r>
      <w:commentRangeEnd w:id="15"/>
      <w:r>
        <w:commentReference w:id="15"/>
      </w:r>
      <w:r>
        <w:t xml:space="preserve">, recycled crushed concrete (</w:t>
      </w:r>
      <w:commentRangeStart w:id="16"/>
      <w:r>
        <w:t xml:space="preserve">RCC</w:t>
      </w:r>
      <w:commentRangeEnd w:id="16"/>
      <w:r>
        <w:commentReference w:id="16"/>
      </w:r>
      <w:r>
        <w:t xml:space="preserve">) or quarry graded materials such as </w:t>
      </w:r>
      <w:commentRangeStart w:id="17"/>
      <w:r>
        <w:t xml:space="preserve">GAP40</w:t>
      </w:r>
      <w:commentRangeEnd w:id="17"/>
      <w:r>
        <w:commentReference w:id="17"/>
      </w:r>
      <w:r>
        <w:t xml:space="preserve"> or GAP65.</w:t>
      </w:r>
    </w:p>
    <w:p w:rsidR="00A154E5">
      <w:pPr>
        <w:pStyle w:val="BodyText"/>
        <w:spacing w:before="116" w:line="264" w:lineRule="auto"/>
        <w:ind w:left="120" w:right="133"/>
      </w:pPr>
      <w:r>
        <w:t xml:space="preserve">Topsoil is not suitable as a fill material and should be stripped/excavated prior to earthworks and stockpiled for reuse if applicable.</w:t>
      </w:r>
    </w:p>
    <w:p w:rsidR="00A154E5">
      <w:pPr>
        <w:spacing w:line="264" w:lineRule="auto"/>
        <w:sectPr>
          <w:pgSz w:w="11910" w:h="16840" w:orient="portrait"/>
          <w:pgMar w:top="1400" w:right="960" w:bottom="1140" w:left="960" w:header="0" w:footer="953" w:gutter="0"/>
          <w:cols w:num="1" w:space="720">
            <w:col w:w="9990" w:space="720"/>
          </w:cols>
        </w:sectPr>
      </w:pPr>
    </w:p>
    <w:p w:rsidR="00A154E5">
      <w:pPr>
        <w:pStyle w:val="ListParagraph"/>
        <w:numPr>
          <w:ilvl w:val="2"/>
          <w:numId w:val="13"/>
        </w:numPr>
        <w:tabs>
          <w:tab w:val="left" w:pos="1200"/>
        </w:tabs>
        <w:spacing w:before="21"/>
        <w:ind w:hanging="1080"/>
        <w:rPr>
          <w:b/>
          <w:sz w:val="24"/>
        </w:rPr>
      </w:pPr>
      <w:r>
        <w:t xml:space="preserve">Preliminary compaction specifications</w:t>
      </w:r>
    </w:p>
    <w:p w:rsidR="00A154E5">
      <w:pPr>
        <w:pStyle w:val="BodyText"/>
        <w:spacing w:before="52"/>
        <w:rPr>
          <w:b/>
          <w:sz w:val="24"/>
        </w:rPr>
      </w:pPr>
    </w:p>
    <w:p w:rsidR="00A154E5">
      <w:pPr>
        <w:pStyle w:val="BodyText"/>
        <w:spacing w:line="264" w:lineRule="auto"/>
        <w:ind w:left="120"/>
      </w:pPr>
      <w:r>
        <w:t xml:space="preserve">A preliminary compaction specification for bulk fill using </w:t>
      </w:r>
      <w:commentRangeStart w:id="18"/>
      <w:r>
        <w:t xml:space="preserve">site-won volcanic soils</w:t>
      </w:r>
      <w:commentRangeEnd w:id="18"/>
      <w:r>
        <w:commentReference w:id="18"/>
      </w:r>
      <w:r>
        <w:t xml:space="preserve">, imported cohesive fill or imported hardfill materials is provided below:</w:t>
      </w:r>
    </w:p>
    <w:p w:rsidR="00A154E5">
      <w:pPr>
        <w:pStyle w:val="Heading4"/>
        <w:spacing w:before="122"/>
      </w:pPr>
      <w:r>
        <w:t xml:space="preserve">Table 4: Preliminary earthworks specifications</w:t>
      </w:r>
    </w:p>
    <w:p w:rsidR="00A154E5">
      <w:pPr>
        <w:pStyle w:val="BodyText"/>
        <w:rPr>
          <w:b/>
          <w:sz w:val="17"/>
        </w:rPr>
      </w:pPr>
    </w:p>
    <w:tbl>
      <w:tblPr>
        <w:tblStyle w:val="NormalTable"/>
        <w:tblW w:w="0" w:type="auto"/>
        <w:tblInd w:w="216"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tblPr>
      <w:tblGrid>
        <w:gridCol w:w="4305"/>
        <w:gridCol w:w="5344"/>
      </w:tblGrid>
      <w:tr w14:paraId="2C5B5C0C" w14:textId="77777777">
        <w:tblPrEx>
          <w:tblW w:w="0" w:type="auto"/>
          <w:tblInd w:w="216"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tblPrEx>
        <w:trPr>
          <w:trHeight w:val="496"/>
        </w:trPr>
        <w:tc>
          <w:tcPr>
            <w:tcW w:w="4305" w:type="dxa"/>
            <w:tcBorders>
              <w:top w:val="nil"/>
              <w:left w:val="nil"/>
            </w:tcBorders>
            <w:shd w:val="clear" w:color="auto" w:fill="48B757"/>
          </w:tcPr>
          <w:p w:rsidR="00A154E5">
            <w:pPr>
              <w:pStyle w:val="TableParagraph"/>
              <w:spacing w:before="81"/>
              <w:ind w:left="1301"/>
              <w:rPr>
                <w:b/>
              </w:rPr>
            </w:pPr>
            <w:r>
              <w:rPr>
                <w:b/>
                <w:color w:val="FFFFFF"/>
              </w:rPr>
              <w:t xml:space="preserve">COHESIVE</w:t>
            </w:r>
            <w:r>
              <w:rPr>
                <w:b/>
                <w:color w:val="FFFFFF"/>
                <w:spacing w:val="-7"/>
              </w:rPr>
              <w:t xml:space="preserve"> </w:t>
            </w:r>
            <w:r>
              <w:rPr>
                <w:b/>
                <w:color w:val="FFFFFF"/>
                <w:spacing w:val="-2"/>
              </w:rPr>
              <w:t xml:space="preserve">SOILS</w:t>
            </w:r>
          </w:p>
        </w:tc>
        <w:tc>
          <w:tcPr>
            <w:tcW w:w="5344" w:type="dxa"/>
            <w:tcBorders>
              <w:top w:val="nil"/>
              <w:right w:val="nil"/>
            </w:tcBorders>
            <w:shd w:val="clear" w:color="auto" w:fill="48B757"/>
          </w:tcPr>
          <w:p w:rsidR="00A154E5">
            <w:pPr>
              <w:pStyle w:val="TableParagraph"/>
              <w:rPr>
                <w:rFonts w:ascii="Times New Roman"/>
              </w:rPr>
            </w:pPr>
          </w:p>
        </w:tc>
      </w:tr>
      <w:tr w14:paraId="05EB7D2F" w14:textId="77777777">
        <w:tblPrEx>
          <w:tblW w:w="0" w:type="auto"/>
          <w:tblInd w:w="216" w:type="dxa"/>
          <w:tblLayout w:type="fixed"/>
          <w:tblCellMar>
            <w:left w:w="0" w:type="dxa"/>
            <w:right w:w="0" w:type="dxa"/>
          </w:tblCellMar>
          <w:tblLook w:val="01E0"/>
        </w:tblPrEx>
        <w:trPr>
          <w:trHeight w:val="910"/>
        </w:trPr>
        <w:tc>
          <w:tcPr>
            <w:tcW w:w="4305" w:type="dxa"/>
            <w:tcBorders>
              <w:left w:val="nil"/>
            </w:tcBorders>
            <w:shd w:val="clear" w:color="auto" w:fill="F1F1F1"/>
          </w:tcPr>
          <w:p w:rsidR="00A154E5">
            <w:pPr>
              <w:pStyle w:val="TableParagraph"/>
              <w:spacing w:before="80"/>
              <w:ind w:left="64"/>
            </w:pPr>
            <w:r>
              <w:t xml:space="preserve">Undrained</w:t>
            </w:r>
            <w:r>
              <w:rPr>
                <w:spacing w:val="-6"/>
              </w:rPr>
              <w:t xml:space="preserve"> </w:t>
            </w:r>
            <w:r>
              <w:t xml:space="preserve">Shear</w:t>
            </w:r>
            <w:r>
              <w:rPr>
                <w:spacing w:val="-4"/>
              </w:rPr>
              <w:t xml:space="preserve"> </w:t>
            </w:r>
            <w:r>
              <w:rPr>
                <w:spacing w:val="-2"/>
              </w:rPr>
              <w:t xml:space="preserve">Strength</w:t>
            </w:r>
          </w:p>
        </w:tc>
        <w:tc>
          <w:tcPr>
            <w:tcW w:w="5344" w:type="dxa"/>
            <w:tcBorders>
              <w:right w:val="nil"/>
            </w:tcBorders>
            <w:shd w:val="clear" w:color="auto" w:fill="F1F1F1"/>
          </w:tcPr>
          <w:p w:rsidR="00A154E5">
            <w:pPr>
              <w:pStyle w:val="TableParagraph"/>
              <w:spacing w:before="80"/>
              <w:ind w:left="64"/>
            </w:pPr>
            <w:r>
              <w:t xml:space="preserve">Minimum</w:t>
            </w:r>
            <w:r>
              <w:rPr>
                <w:spacing w:val="-4"/>
              </w:rPr>
              <w:t xml:space="preserve"> </w:t>
            </w:r>
            <w:r>
              <w:t xml:space="preserve">single</w:t>
            </w:r>
            <w:r>
              <w:rPr>
                <w:spacing w:val="-3"/>
              </w:rPr>
              <w:t xml:space="preserve"> </w:t>
            </w:r>
            <w:r>
              <w:t xml:space="preserve">value</w:t>
            </w:r>
            <w:r>
              <w:rPr>
                <w:spacing w:val="-2"/>
              </w:rPr>
              <w:t xml:space="preserve"> </w:t>
            </w:r>
            <w:r>
              <w:t xml:space="preserve">≥</w:t>
            </w:r>
            <w:r>
              <w:rPr>
                <w:spacing w:val="-4"/>
              </w:rPr>
              <w:t xml:space="preserve"> </w:t>
            </w:r>
            <w:r>
              <w:t xml:space="preserve">120</w:t>
            </w:r>
            <w:r>
              <w:rPr>
                <w:spacing w:val="-4"/>
              </w:rPr>
              <w:t xml:space="preserve"> </w:t>
            </w:r>
            <w:r>
              <w:rPr>
                <w:spacing w:val="-5"/>
              </w:rPr>
              <w:t xml:space="preserve">kPa</w:t>
            </w:r>
          </w:p>
          <w:p w:rsidR="00A154E5">
            <w:pPr>
              <w:pStyle w:val="TableParagraph"/>
              <w:spacing w:before="147"/>
              <w:ind w:left="64"/>
            </w:pPr>
            <w:r>
              <w:t xml:space="preserve">Average</w:t>
            </w:r>
            <w:r>
              <w:rPr>
                <w:spacing w:val="-3"/>
              </w:rPr>
              <w:t xml:space="preserve"> </w:t>
            </w:r>
            <w:r>
              <w:t xml:space="preserve">(5</w:t>
            </w:r>
            <w:r>
              <w:rPr>
                <w:spacing w:val="-4"/>
              </w:rPr>
              <w:t xml:space="preserve"> </w:t>
            </w:r>
            <w:r>
              <w:t xml:space="preserve">consecutive</w:t>
            </w:r>
            <w:r>
              <w:rPr>
                <w:spacing w:val="-2"/>
              </w:rPr>
              <w:t xml:space="preserve"> </w:t>
            </w:r>
            <w:r>
              <w:t xml:space="preserve">tests) ≥</w:t>
            </w:r>
            <w:r>
              <w:rPr>
                <w:spacing w:val="-4"/>
              </w:rPr>
              <w:t xml:space="preserve"> </w:t>
            </w:r>
            <w:r>
              <w:t xml:space="preserve">130</w:t>
            </w:r>
            <w:r>
              <w:rPr>
                <w:spacing w:val="-2"/>
              </w:rPr>
              <w:t xml:space="preserve"> </w:t>
            </w:r>
            <w:r>
              <w:rPr>
                <w:spacing w:val="-5"/>
              </w:rPr>
              <w:t xml:space="preserve">kPa</w:t>
            </w:r>
          </w:p>
        </w:tc>
      </w:tr>
      <w:tr w14:paraId="42533B29" w14:textId="77777777">
        <w:tblPrEx>
          <w:tblW w:w="0" w:type="auto"/>
          <w:tblInd w:w="216" w:type="dxa"/>
          <w:tblLayout w:type="fixed"/>
          <w:tblCellMar>
            <w:left w:w="0" w:type="dxa"/>
            <w:right w:w="0" w:type="dxa"/>
          </w:tblCellMar>
          <w:tblLook w:val="01E0"/>
        </w:tblPrEx>
        <w:trPr>
          <w:trHeight w:val="911"/>
        </w:trPr>
        <w:tc>
          <w:tcPr>
            <w:tcW w:w="4305" w:type="dxa"/>
            <w:tcBorders>
              <w:left w:val="nil"/>
              <w:bottom w:val="nil"/>
            </w:tcBorders>
            <w:shd w:val="clear" w:color="auto" w:fill="F1F1F1"/>
          </w:tcPr>
          <w:p w:rsidR="00A154E5">
            <w:pPr>
              <w:pStyle w:val="TableParagraph"/>
              <w:spacing w:before="80"/>
              <w:ind w:left="64"/>
            </w:pPr>
            <w:r>
              <w:t xml:space="preserve">And</w:t>
            </w:r>
            <w:r>
              <w:rPr>
                <w:spacing w:val="-4"/>
              </w:rPr>
              <w:t xml:space="preserve"> </w:t>
            </w:r>
            <w:r>
              <w:t xml:space="preserve">Air</w:t>
            </w:r>
            <w:r>
              <w:rPr>
                <w:spacing w:val="-2"/>
              </w:rPr>
              <w:t xml:space="preserve"> Voids</w:t>
            </w:r>
          </w:p>
        </w:tc>
        <w:tc>
          <w:tcPr>
            <w:tcW w:w="5344" w:type="dxa"/>
            <w:tcBorders>
              <w:bottom w:val="nil"/>
              <w:right w:val="nil"/>
            </w:tcBorders>
            <w:shd w:val="clear" w:color="auto" w:fill="F1F1F1"/>
          </w:tcPr>
          <w:p w:rsidR="00A154E5">
            <w:pPr>
              <w:pStyle w:val="TableParagraph"/>
              <w:spacing w:before="80"/>
              <w:ind w:left="64"/>
            </w:pPr>
            <w:r>
              <w:t xml:space="preserve">Maximum</w:t>
            </w:r>
            <w:r>
              <w:rPr>
                <w:spacing w:val="-4"/>
              </w:rPr>
              <w:t xml:space="preserve"> </w:t>
            </w:r>
            <w:r>
              <w:t xml:space="preserve">single</w:t>
            </w:r>
            <w:r>
              <w:rPr>
                <w:spacing w:val="-3"/>
              </w:rPr>
              <w:t xml:space="preserve"> </w:t>
            </w:r>
            <w:r>
              <w:t xml:space="preserve">value</w:t>
            </w:r>
            <w:r>
              <w:rPr>
                <w:spacing w:val="-3"/>
              </w:rPr>
              <w:t xml:space="preserve"> </w:t>
            </w:r>
            <w:r>
              <w:t xml:space="preserve">≤</w:t>
            </w:r>
            <w:r>
              <w:rPr>
                <w:spacing w:val="-4"/>
              </w:rPr>
              <w:t xml:space="preserve"> </w:t>
            </w:r>
            <w:r>
              <w:t xml:space="preserve">10</w:t>
            </w:r>
            <w:r>
              <w:rPr>
                <w:spacing w:val="-3"/>
              </w:rPr>
              <w:t xml:space="preserve"> </w:t>
            </w:r>
            <w:r>
              <w:rPr>
                <w:spacing w:val="-10"/>
              </w:rPr>
              <w:t xml:space="preserve">%</w:t>
            </w:r>
          </w:p>
          <w:p w:rsidR="00A154E5">
            <w:pPr>
              <w:pStyle w:val="TableParagraph"/>
              <w:spacing w:before="147"/>
              <w:ind w:left="64"/>
            </w:pPr>
            <w:r>
              <w:t xml:space="preserve">Average</w:t>
            </w:r>
            <w:r>
              <w:rPr>
                <w:spacing w:val="-3"/>
              </w:rPr>
              <w:t xml:space="preserve"> </w:t>
            </w:r>
            <w:r>
              <w:t xml:space="preserve">(5</w:t>
            </w:r>
            <w:r>
              <w:rPr>
                <w:spacing w:val="-5"/>
              </w:rPr>
              <w:t xml:space="preserve"> </w:t>
            </w:r>
            <w:r>
              <w:t xml:space="preserve">consecutive</w:t>
            </w:r>
            <w:r>
              <w:rPr>
                <w:spacing w:val="-3"/>
              </w:rPr>
              <w:t xml:space="preserve"> </w:t>
            </w:r>
            <w:r>
              <w:t xml:space="preserve">tests)</w:t>
            </w:r>
            <w:r>
              <w:rPr>
                <w:spacing w:val="-3"/>
              </w:rPr>
              <w:t xml:space="preserve"> </w:t>
            </w:r>
            <w:r>
              <w:t xml:space="preserve">≤</w:t>
            </w:r>
            <w:r>
              <w:rPr>
                <w:spacing w:val="-5"/>
              </w:rPr>
              <w:t xml:space="preserve"> </w:t>
            </w:r>
            <w:r>
              <w:t xml:space="preserve">8</w:t>
            </w:r>
            <w:r>
              <w:rPr>
                <w:spacing w:val="-4"/>
              </w:rPr>
              <w:t xml:space="preserve"> </w:t>
            </w:r>
            <w:r>
              <w:rPr>
                <w:spacing w:val="-10"/>
              </w:rPr>
              <w:t xml:space="preserve">%</w:t>
            </w:r>
          </w:p>
        </w:tc>
      </w:tr>
      <w:tr w14:paraId="370BEA34" w14:textId="77777777">
        <w:tblPrEx>
          <w:tblW w:w="0" w:type="auto"/>
          <w:tblInd w:w="216" w:type="dxa"/>
          <w:tblLayout w:type="fixed"/>
          <w:tblCellMar>
            <w:left w:w="0" w:type="dxa"/>
            <w:right w:w="0" w:type="dxa"/>
          </w:tblCellMar>
          <w:tblLook w:val="01E0"/>
        </w:tblPrEx>
        <w:trPr>
          <w:trHeight w:val="674"/>
        </w:trPr>
        <w:tc>
          <w:tcPr>
            <w:tcW w:w="4305" w:type="dxa"/>
            <w:tcBorders>
              <w:top w:val="nil"/>
              <w:left w:val="nil"/>
              <w:bottom w:val="nil"/>
            </w:tcBorders>
          </w:tcPr>
          <w:p w:rsidR="00A154E5">
            <w:pPr>
              <w:pStyle w:val="TableParagraph"/>
              <w:rPr>
                <w:rFonts w:ascii="Times New Roman"/>
              </w:rPr>
            </w:pPr>
          </w:p>
        </w:tc>
        <w:tc>
          <w:tcPr>
            <w:tcW w:w="5344" w:type="dxa"/>
            <w:tcBorders>
              <w:top w:val="nil"/>
              <w:bottom w:val="nil"/>
              <w:right w:val="nil"/>
            </w:tcBorders>
          </w:tcPr>
          <w:p w:rsidR="00A154E5">
            <w:pPr>
              <w:pStyle w:val="TableParagraph"/>
              <w:rPr>
                <w:rFonts w:ascii="Times New Roman"/>
              </w:rPr>
            </w:pPr>
          </w:p>
        </w:tc>
      </w:tr>
      <w:tr w14:paraId="7DD8733E" w14:textId="77777777">
        <w:tblPrEx>
          <w:tblW w:w="0" w:type="auto"/>
          <w:tblInd w:w="216" w:type="dxa"/>
          <w:tblLayout w:type="fixed"/>
          <w:tblCellMar>
            <w:left w:w="0" w:type="dxa"/>
            <w:right w:w="0" w:type="dxa"/>
          </w:tblCellMar>
          <w:tblLook w:val="01E0"/>
        </w:tblPrEx>
        <w:trPr>
          <w:trHeight w:val="496"/>
        </w:trPr>
        <w:tc>
          <w:tcPr>
            <w:tcW w:w="4305" w:type="dxa"/>
            <w:tcBorders>
              <w:top w:val="nil"/>
              <w:left w:val="nil"/>
            </w:tcBorders>
            <w:shd w:val="clear" w:color="auto" w:fill="48B757"/>
          </w:tcPr>
          <w:p w:rsidR="00A154E5">
            <w:pPr>
              <w:pStyle w:val="TableParagraph"/>
              <w:spacing w:before="81"/>
              <w:ind w:left="226"/>
              <w:rPr>
                <w:b/>
              </w:rPr>
            </w:pPr>
            <w:r>
              <w:rPr>
                <w:b/>
                <w:color w:val="FFFFFF"/>
              </w:rPr>
              <w:t xml:space="preserve">MATERIAL</w:t>
            </w:r>
            <w:r>
              <w:rPr>
                <w:b/>
                <w:color w:val="FFFFFF"/>
                <w:spacing w:val="-8"/>
              </w:rPr>
              <w:t xml:space="preserve"> </w:t>
            </w:r>
            <w:r>
              <w:rPr>
                <w:b/>
                <w:color w:val="FFFFFF"/>
              </w:rPr>
              <w:t xml:space="preserve">FROM</w:t>
            </w:r>
            <w:r>
              <w:rPr>
                <w:b/>
                <w:color w:val="FFFFFF"/>
                <w:spacing w:val="-6"/>
              </w:rPr>
              <w:t xml:space="preserve"> </w:t>
            </w:r>
            <w:r>
              <w:rPr>
                <w:b/>
                <w:color w:val="FFFFFF"/>
              </w:rPr>
              <w:t xml:space="preserve">EXTERNAL</w:t>
            </w:r>
            <w:r>
              <w:rPr>
                <w:b/>
                <w:color w:val="FFFFFF"/>
                <w:spacing w:val="-7"/>
              </w:rPr>
              <w:t xml:space="preserve"> </w:t>
            </w:r>
            <w:r>
              <w:rPr>
                <w:b/>
                <w:color w:val="FFFFFF"/>
                <w:spacing w:val="-2"/>
              </w:rPr>
              <w:t xml:space="preserve">SOURCES</w:t>
            </w:r>
          </w:p>
        </w:tc>
        <w:tc>
          <w:tcPr>
            <w:tcW w:w="5344" w:type="dxa"/>
            <w:tcBorders>
              <w:top w:val="nil"/>
              <w:right w:val="nil"/>
            </w:tcBorders>
            <w:shd w:val="clear" w:color="auto" w:fill="48B757"/>
          </w:tcPr>
          <w:p w:rsidR="00A154E5">
            <w:pPr>
              <w:pStyle w:val="TableParagraph"/>
              <w:rPr>
                <w:rFonts w:ascii="Times New Roman"/>
              </w:rPr>
            </w:pPr>
          </w:p>
        </w:tc>
      </w:tr>
      <w:tr w14:paraId="40D9358A" w14:textId="77777777">
        <w:tblPrEx>
          <w:tblW w:w="0" w:type="auto"/>
          <w:tblInd w:w="216" w:type="dxa"/>
          <w:tblLayout w:type="fixed"/>
          <w:tblCellMar>
            <w:left w:w="0" w:type="dxa"/>
            <w:right w:w="0" w:type="dxa"/>
          </w:tblCellMar>
          <w:tblLook w:val="01E0"/>
        </w:tblPrEx>
        <w:trPr>
          <w:trHeight w:val="495"/>
        </w:trPr>
        <w:tc>
          <w:tcPr>
            <w:tcW w:w="4305" w:type="dxa"/>
            <w:tcBorders>
              <w:left w:val="nil"/>
            </w:tcBorders>
            <w:shd w:val="clear" w:color="auto" w:fill="F1F1F1"/>
          </w:tcPr>
          <w:p w:rsidR="00A154E5">
            <w:pPr>
              <w:pStyle w:val="TableParagraph"/>
              <w:spacing w:before="80"/>
              <w:ind w:left="64"/>
            </w:pPr>
            <w:r>
              <w:t xml:space="preserve">Density</w:t>
            </w:r>
            <w:r>
              <w:rPr>
                <w:spacing w:val="-4"/>
              </w:rPr>
              <w:t xml:space="preserve"> </w:t>
            </w:r>
            <w:r>
              <w:t xml:space="preserve">(nuclear</w:t>
            </w:r>
            <w:r>
              <w:rPr>
                <w:spacing w:val="-4"/>
              </w:rPr>
              <w:t xml:space="preserve"> </w:t>
            </w:r>
            <w:r>
              <w:rPr>
                <w:spacing w:val="-2"/>
              </w:rPr>
              <w:t xml:space="preserve">densometer)</w:t>
            </w:r>
          </w:p>
        </w:tc>
        <w:tc>
          <w:tcPr>
            <w:tcW w:w="5344" w:type="dxa"/>
            <w:tcBorders>
              <w:right w:val="nil"/>
            </w:tcBorders>
            <w:shd w:val="clear" w:color="auto" w:fill="F1F1F1"/>
          </w:tcPr>
          <w:p w:rsidR="00A154E5">
            <w:pPr>
              <w:pStyle w:val="TableParagraph"/>
              <w:spacing w:before="80"/>
              <w:ind w:left="64"/>
            </w:pPr>
            <w:r>
              <w:t xml:space="preserve">≥</w:t>
            </w:r>
            <w:r>
              <w:rPr>
                <w:spacing w:val="-4"/>
              </w:rPr>
              <w:t xml:space="preserve"> </w:t>
            </w:r>
            <w:r>
              <w:t xml:space="preserve">95%</w:t>
            </w:r>
            <w:r>
              <w:rPr>
                <w:spacing w:val="-3"/>
              </w:rPr>
              <w:t xml:space="preserve"> </w:t>
            </w:r>
            <w:r>
              <w:t xml:space="preserve">of</w:t>
            </w:r>
            <w:r>
              <w:rPr>
                <w:spacing w:val="-3"/>
              </w:rPr>
              <w:t xml:space="preserve"> </w:t>
            </w:r>
            <w:r>
              <w:t xml:space="preserve">Maximum</w:t>
            </w:r>
            <w:r>
              <w:rPr>
                <w:spacing w:val="-4"/>
              </w:rPr>
              <w:t xml:space="preserve"> </w:t>
            </w:r>
            <w:r>
              <w:t xml:space="preserve">Dry</w:t>
            </w:r>
            <w:r>
              <w:rPr>
                <w:spacing w:val="-3"/>
              </w:rPr>
              <w:t xml:space="preserve"> </w:t>
            </w:r>
            <w:r>
              <w:t xml:space="preserve">Density</w:t>
            </w:r>
            <w:r>
              <w:rPr>
                <w:spacing w:val="-2"/>
              </w:rPr>
              <w:t xml:space="preserve"> </w:t>
            </w:r>
            <w:r>
              <w:t xml:space="preserve">(Standard</w:t>
            </w:r>
            <w:r>
              <w:rPr>
                <w:spacing w:val="-3"/>
              </w:rPr>
              <w:t xml:space="preserve"> </w:t>
            </w:r>
            <w:r>
              <w:rPr>
                <w:spacing w:val="-2"/>
              </w:rPr>
              <w:t xml:space="preserve">Compaction)</w:t>
            </w:r>
          </w:p>
        </w:tc>
      </w:tr>
      <w:tr w14:paraId="5B07E1E2" w14:textId="77777777">
        <w:tblPrEx>
          <w:tblW w:w="0" w:type="auto"/>
          <w:tblInd w:w="216" w:type="dxa"/>
          <w:tblLayout w:type="fixed"/>
          <w:tblCellMar>
            <w:left w:w="0" w:type="dxa"/>
            <w:right w:w="0" w:type="dxa"/>
          </w:tblCellMar>
          <w:tblLook w:val="01E0"/>
        </w:tblPrEx>
        <w:trPr>
          <w:trHeight w:val="911"/>
        </w:trPr>
        <w:tc>
          <w:tcPr>
            <w:tcW w:w="4305" w:type="dxa"/>
            <w:tcBorders>
              <w:left w:val="nil"/>
              <w:bottom w:val="nil"/>
            </w:tcBorders>
            <w:shd w:val="clear" w:color="auto" w:fill="F1F1F1"/>
          </w:tcPr>
          <w:p w:rsidR="00A154E5">
            <w:pPr>
              <w:pStyle w:val="TableParagraph"/>
              <w:spacing w:before="80"/>
              <w:ind w:left="64"/>
            </w:pPr>
            <w:r>
              <w:t xml:space="preserve">Supplemented</w:t>
            </w:r>
            <w:r>
              <w:rPr>
                <w:spacing w:val="-4"/>
              </w:rPr>
              <w:t xml:space="preserve"> </w:t>
            </w:r>
            <w:r>
              <w:t xml:space="preserve">by</w:t>
            </w:r>
            <w:r>
              <w:rPr>
                <w:spacing w:val="-5"/>
              </w:rPr>
              <w:t xml:space="preserve"> </w:t>
            </w:r>
            <w:r>
              <w:t xml:space="preserve">Clegg</w:t>
            </w:r>
            <w:r>
              <w:rPr>
                <w:spacing w:val="-3"/>
              </w:rPr>
              <w:t xml:space="preserve"> </w:t>
            </w:r>
            <w:r>
              <w:t xml:space="preserve">hammer</w:t>
            </w:r>
            <w:r>
              <w:rPr>
                <w:spacing w:val="-4"/>
              </w:rPr>
              <w:t xml:space="preserve"> test</w:t>
            </w:r>
          </w:p>
        </w:tc>
        <w:tc>
          <w:tcPr>
            <w:tcW w:w="5344" w:type="dxa"/>
            <w:tcBorders>
              <w:bottom w:val="nil"/>
              <w:right w:val="nil"/>
            </w:tcBorders>
            <w:shd w:val="clear" w:color="auto" w:fill="F1F1F1"/>
          </w:tcPr>
          <w:p w:rsidR="00A154E5">
            <w:pPr>
              <w:pStyle w:val="TableParagraph"/>
              <w:spacing w:before="80"/>
              <w:ind w:left="64"/>
            </w:pPr>
            <w:r>
              <w:t xml:space="preserve">Minimum</w:t>
            </w:r>
            <w:r>
              <w:rPr>
                <w:spacing w:val="-6"/>
              </w:rPr>
              <w:t xml:space="preserve"> </w:t>
            </w:r>
            <w:r>
              <w:t xml:space="preserve">Clegg</w:t>
            </w:r>
            <w:r>
              <w:rPr>
                <w:spacing w:val="-4"/>
              </w:rPr>
              <w:t xml:space="preserve"> </w:t>
            </w:r>
            <w:r>
              <w:t xml:space="preserve">Impact</w:t>
            </w:r>
            <w:r>
              <w:rPr>
                <w:spacing w:val="-4"/>
              </w:rPr>
              <w:t xml:space="preserve"> </w:t>
            </w:r>
            <w:r>
              <w:t xml:space="preserve">Value</w:t>
            </w:r>
            <w:r>
              <w:rPr>
                <w:spacing w:val="-2"/>
              </w:rPr>
              <w:t xml:space="preserve"> </w:t>
            </w:r>
            <w:r>
              <w:t xml:space="preserve">≥</w:t>
            </w:r>
            <w:r>
              <w:rPr>
                <w:spacing w:val="-5"/>
              </w:rPr>
              <w:t xml:space="preserve"> 20</w:t>
            </w:r>
          </w:p>
          <w:p w:rsidR="00A154E5">
            <w:pPr>
              <w:pStyle w:val="TableParagraph"/>
              <w:spacing w:before="147"/>
              <w:ind w:left="64"/>
            </w:pPr>
            <w:r>
              <w:t xml:space="preserve">Average</w:t>
            </w:r>
            <w:r>
              <w:rPr>
                <w:spacing w:val="-4"/>
              </w:rPr>
              <w:t xml:space="preserve"> </w:t>
            </w:r>
            <w:r>
              <w:t xml:space="preserve">Clegg</w:t>
            </w:r>
            <w:r>
              <w:rPr>
                <w:spacing w:val="-4"/>
              </w:rPr>
              <w:t xml:space="preserve"> </w:t>
            </w:r>
            <w:r>
              <w:t xml:space="preserve">Impact</w:t>
            </w:r>
            <w:r>
              <w:rPr>
                <w:spacing w:val="-4"/>
              </w:rPr>
              <w:t xml:space="preserve"> </w:t>
            </w:r>
            <w:r>
              <w:t xml:space="preserve">Value</w:t>
            </w:r>
            <w:r>
              <w:rPr>
                <w:spacing w:val="-3"/>
              </w:rPr>
              <w:t xml:space="preserve"> </w:t>
            </w:r>
            <w:r>
              <w:t xml:space="preserve">(5</w:t>
            </w:r>
            <w:r>
              <w:rPr>
                <w:spacing w:val="-5"/>
              </w:rPr>
              <w:t xml:space="preserve"> </w:t>
            </w:r>
            <w:r>
              <w:t xml:space="preserve">consecutive</w:t>
            </w:r>
            <w:r>
              <w:rPr>
                <w:spacing w:val="-3"/>
              </w:rPr>
              <w:t xml:space="preserve"> </w:t>
            </w:r>
            <w:r>
              <w:t xml:space="preserve">tests)</w:t>
            </w:r>
            <w:r>
              <w:rPr>
                <w:spacing w:val="-2"/>
              </w:rPr>
              <w:t xml:space="preserve"> </w:t>
            </w:r>
            <w:r>
              <w:t xml:space="preserve">≥</w:t>
            </w:r>
            <w:r>
              <w:rPr>
                <w:spacing w:val="-5"/>
              </w:rPr>
              <w:t xml:space="preserve"> 23</w:t>
            </w:r>
          </w:p>
        </w:tc>
      </w:tr>
    </w:tbl>
    <w:p w:rsidR="00A154E5">
      <w:pPr>
        <w:pStyle w:val="BodyText"/>
        <w:spacing w:before="186"/>
        <w:rPr>
          <w:b/>
        </w:rPr>
      </w:pPr>
    </w:p>
    <w:p w:rsidR="00A154E5">
      <w:pPr>
        <w:pStyle w:val="Heading2"/>
        <w:numPr>
          <w:ilvl w:val="1"/>
          <w:numId w:val="13"/>
        </w:numPr>
        <w:tabs>
          <w:tab w:val="left" w:pos="685"/>
        </w:tabs>
        <w:ind w:left="685" w:hanging="565"/>
      </w:pPr>
      <w:r>
        <w:t xml:space="preserve">Preliminary foundations advice</w:t>
      </w:r>
    </w:p>
    <w:p w:rsidR="00A154E5">
      <w:pPr>
        <w:pStyle w:val="ListParagraph"/>
        <w:numPr>
          <w:ilvl w:val="2"/>
          <w:numId w:val="13"/>
        </w:numPr>
        <w:tabs>
          <w:tab w:val="left" w:pos="1200"/>
        </w:tabs>
        <w:spacing w:before="316"/>
        <w:ind w:hanging="1080"/>
        <w:rPr>
          <w:b/>
          <w:sz w:val="24"/>
        </w:rPr>
      </w:pPr>
      <w:r>
        <w:t xml:space="preserve">General</w:t>
      </w:r>
    </w:p>
    <w:p w:rsidR="00A154E5">
      <w:pPr>
        <w:pStyle w:val="BodyText"/>
        <w:spacing w:before="52"/>
        <w:rPr>
          <w:b/>
          <w:sz w:val="24"/>
        </w:rPr>
      </w:pPr>
    </w:p>
    <w:p w:rsidR="00A154E5">
      <w:pPr>
        <w:pStyle w:val="BodyText"/>
        <w:spacing w:before="1"/>
        <w:ind w:left="120"/>
      </w:pPr>
      <w:r>
        <w:t xml:space="preserve">Considering the soil conditions, it is anticipated that the primary design concerns for foundations will be</w:t>
      </w:r>
    </w:p>
    <w:p w:rsidR="00A154E5">
      <w:pPr>
        <w:pStyle w:val="BodyText"/>
        <w:spacing w:before="26" w:line="264" w:lineRule="auto"/>
        <w:ind w:left="120"/>
      </w:pPr>
      <w:r>
        <w:t xml:space="preserve">shrink-swell of expansive soils. If earthworks are proposed, these may also affect foundation performance. The designer of the building foundations should specifically address these issues in their design.</w:t>
      </w:r>
    </w:p>
    <w:p w:rsidR="00A154E5">
      <w:pPr>
        <w:pStyle w:val="BodyText"/>
        <w:spacing w:before="120"/>
        <w:ind w:left="120"/>
      </w:pPr>
      <w:r>
        <w:t xml:space="preserve">On the basis of the available </w:t>
      </w:r>
      <w:commentRangeStart w:id="19"/>
      <w:r>
        <w:t xml:space="preserve">inforftation</w:t>
      </w:r>
      <w:commentRangeEnd w:id="19"/>
      <w:r>
        <w:commentReference w:id="19"/>
      </w:r>
      <w:r>
        <w:t xml:space="preserve">, shallow or piled foundation are likely to be suitable options to</w:t>
      </w:r>
    </w:p>
    <w:p w:rsidR="00A154E5">
      <w:pPr>
        <w:pStyle w:val="BodyText"/>
        <w:spacing w:before="29"/>
        <w:ind w:left="120"/>
      </w:pPr>
      <w:r>
        <w:t xml:space="preserve">support the structures, subject to the specific building loads and the preliminary design recommendations</w:t>
      </w:r>
    </w:p>
    <w:p w:rsidR="00A154E5">
      <w:pPr>
        <w:pStyle w:val="BodyText"/>
        <w:spacing w:before="27" w:line="264" w:lineRule="auto"/>
        <w:ind w:left="120" w:right="144"/>
      </w:pPr>
      <w:r>
        <w:t xml:space="preserve">presented in this Section. Where shallow foundations are used the footings should be robustly tied together and isolated footings should not be used. Due to the relatively thin and variable ground crust at this site and the weakness/compressibility of the underlying soils, it is important that building foundations are designed by a Chartered Professional Geotechnical Engineer.</w:t>
      </w:r>
    </w:p>
    <w:p w:rsidR="00A154E5">
      <w:pPr>
        <w:pStyle w:val="BodyText"/>
        <w:spacing w:before="48"/>
      </w:pPr>
    </w:p>
    <w:p w:rsidR="00A154E5">
      <w:pPr>
        <w:pStyle w:val="ListParagraph"/>
        <w:numPr>
          <w:ilvl w:val="3"/>
          <w:numId w:val="13"/>
        </w:numPr>
        <w:tabs>
          <w:tab w:val="left" w:pos="1197"/>
        </w:tabs>
        <w:ind w:left="1197" w:hanging="1077"/>
        <w:rPr>
          <w:b/>
          <w:sz w:val="24"/>
        </w:rPr>
      </w:pPr>
      <w:r>
        <w:t xml:space="preserve">Bearing capacity</w:t>
      </w:r>
    </w:p>
    <w:p w:rsidR="00A154E5">
      <w:pPr>
        <w:pStyle w:val="BodyText"/>
        <w:spacing w:before="52"/>
        <w:rPr>
          <w:b/>
          <w:sz w:val="24"/>
        </w:rPr>
      </w:pPr>
    </w:p>
    <w:p w:rsidR="00A154E5">
      <w:pPr>
        <w:pStyle w:val="BodyText"/>
        <w:spacing w:line="266" w:lineRule="auto"/>
        <w:ind w:left="120" w:right="144"/>
      </w:pPr>
      <w:r>
        <w:t xml:space="preserve">The site is underlain by topsoil, volcanic ash and Puketoka formation soils. Unsuitable material beneath the proposed buildings such as topsoil or any other unsuitable soil should be excavated and replaced with</w:t>
      </w:r>
    </w:p>
    <w:p w:rsidR="00A154E5">
      <w:pPr>
        <w:pStyle w:val="BodyText"/>
        <w:spacing w:line="265" w:lineRule="exact"/>
        <w:ind w:left="120"/>
      </w:pPr>
      <w:r>
        <w:t xml:space="preserve">engineered fill compacted to the specification in Section 6.4.</w:t>
      </w:r>
    </w:p>
    <w:p w:rsidR="00A154E5">
      <w:pPr>
        <w:spacing w:line="265" w:lineRule="exact"/>
        <w:sectPr>
          <w:pgSz w:w="11910" w:h="16840" w:orient="portrait"/>
          <w:pgMar w:top="1400" w:right="960" w:bottom="1140" w:left="960" w:header="0" w:footer="953" w:gutter="0"/>
          <w:cols w:num="1" w:space="720">
            <w:col w:w="9990" w:space="720"/>
          </w:cols>
        </w:sectPr>
      </w:pPr>
    </w:p>
    <w:p w:rsidR="00A154E5">
      <w:pPr>
        <w:pStyle w:val="BodyText"/>
        <w:spacing w:before="41" w:line="264" w:lineRule="auto"/>
        <w:ind w:left="120"/>
      </w:pPr>
      <w:r>
        <w:t xml:space="preserve">Based on the investigation results, the depth and extent of topsoil is expected to be between 0.2m to 0.6m deep. Topsoil should be removed and future building foundations should be formed on natural soils</w:t>
      </w:r>
    </w:p>
    <w:p w:rsidR="00A154E5">
      <w:pPr>
        <w:pStyle w:val="BodyText"/>
        <w:ind w:left="120"/>
      </w:pPr>
      <w:r>
        <w:t xml:space="preserve">beneath.</w:t>
      </w:r>
    </w:p>
    <w:p w:rsidR="00A154E5">
      <w:pPr>
        <w:pStyle w:val="BodyText"/>
        <w:spacing w:before="146" w:line="264" w:lineRule="auto"/>
        <w:ind w:left="120" w:right="5"/>
      </w:pPr>
      <w:r>
        <w:t xml:space="preserve">Due to the variable crust at this site, shallow foundations should be robustly tied together with grade beams or foundation walls. A stiffened raft may be a suitable foundation option. The crust thickness below the</w:t>
      </w:r>
    </w:p>
    <w:p w:rsidR="00A154E5">
      <w:pPr>
        <w:pStyle w:val="BodyText"/>
        <w:spacing w:line="266" w:lineRule="auto"/>
        <w:ind w:left="120"/>
      </w:pPr>
      <w:r>
        <w:t xml:space="preserve">base of any proposed shallow footings should be considered during site specific design calculations. For this reason, it may be preferable to minimise the embedment of the foundations; however expansivity of the</w:t>
      </w:r>
    </w:p>
    <w:p w:rsidR="00A154E5">
      <w:pPr>
        <w:pStyle w:val="BodyText"/>
        <w:spacing w:line="265" w:lineRule="exact"/>
        <w:ind w:left="120"/>
      </w:pPr>
      <w:r>
        <w:t xml:space="preserve">soils will also need to be considered (discussed further in section  ).</w:t>
      </w:r>
    </w:p>
    <w:p w:rsidR="00A154E5">
      <w:pPr>
        <w:pStyle w:val="BodyText"/>
        <w:spacing w:before="146" w:line="264" w:lineRule="auto"/>
        <w:ind w:left="120" w:right="144"/>
      </w:pPr>
      <w:r>
        <w:t xml:space="preserve">Due to the variable crust thickness and soft underlying soils, wide footings may not be appropriate, particularly in the south-eastern part of the site. For the north-western part of the site, pad footings should generally be no larger than 1.5m x 1.5m and strip footings no wider than 1.0m. The design of raft</w:t>
      </w:r>
    </w:p>
    <w:p w:rsidR="00A154E5">
      <w:pPr>
        <w:pStyle w:val="BodyText"/>
        <w:spacing w:line="268" w:lineRule="exact"/>
        <w:ind w:left="120"/>
      </w:pPr>
      <w:r>
        <w:t xml:space="preserve">foundations are likely to be governed by settlement considerations (discussed in section  ).</w:t>
      </w:r>
    </w:p>
    <w:p w:rsidR="00A154E5">
      <w:pPr>
        <w:pStyle w:val="BodyText"/>
        <w:spacing w:before="147" w:line="264" w:lineRule="auto"/>
        <w:ind w:left="120"/>
      </w:pPr>
      <w:r>
        <w:t xml:space="preserve">Where the crust is thin (i.e. the south-eastern part of the site), undercutting and backfill with engineered fill placed in accordance with Section 6.4 of this report could be used to construct this layer, subject to</w:t>
      </w:r>
    </w:p>
    <w:p w:rsidR="00A154E5">
      <w:pPr>
        <w:pStyle w:val="BodyText"/>
        <w:spacing w:line="264" w:lineRule="auto"/>
        <w:ind w:left="120"/>
      </w:pPr>
      <w:r>
        <w:t xml:space="preserve">consideration of settlement effects. Alternatively, piled foundations extending to the medium dense soils could be more practical (discussed in section , ).</w:t>
      </w:r>
    </w:p>
    <w:p w:rsidR="00A154E5">
      <w:pPr>
        <w:pStyle w:val="BodyText"/>
        <w:spacing w:before="120" w:line="264" w:lineRule="auto"/>
        <w:ind w:left="120" w:right="133"/>
      </w:pPr>
      <w:r>
        <w:t xml:space="preserve">It should be noted that the crust thickness is variable and will be critical to the design of shallow foundations at this site. If the building foundation design relies upon the crust, its thickness and strength should be</w:t>
      </w:r>
    </w:p>
    <w:p w:rsidR="00A154E5">
      <w:pPr>
        <w:pStyle w:val="BodyText"/>
        <w:spacing w:before="2" w:line="264" w:lineRule="auto"/>
        <w:ind w:left="120"/>
      </w:pPr>
      <w:r>
        <w:t xml:space="preserve">tested at regular intervals along the foundation alignment (e.g. using hand auger and Scala penetrometer tests).</w:t>
      </w:r>
    </w:p>
    <w:p w:rsidR="00A154E5">
      <w:pPr>
        <w:pStyle w:val="BodyText"/>
        <w:spacing w:before="119" w:line="264" w:lineRule="auto"/>
        <w:ind w:left="120"/>
      </w:pPr>
      <w:r>
        <w:t xml:space="preserve">The parameters in Table 5 can be assumed for preliminary foundation design for buildings on shallow pads and strip footings. This should be reduced by a geotechnical reduction factor, φ = 0.5 when comparing with factored ultimate limit state (</w:t>
      </w:r>
      <w:commentRangeStart w:id="20"/>
      <w:r>
        <w:t xml:space="preserve">ULS</w:t>
      </w:r>
      <w:commentRangeEnd w:id="20"/>
      <w:r>
        <w:commentReference w:id="20"/>
      </w:r>
      <w:r>
        <w:t xml:space="preserve">) structural loads.</w:t>
      </w:r>
    </w:p>
    <w:p w:rsidR="00A154E5">
      <w:pPr>
        <w:pStyle w:val="Heading4"/>
      </w:pPr>
      <w:r>
        <w:t xml:space="preserve">Table 5: Bearing capacity – shallow foundations</w:t>
      </w:r>
    </w:p>
    <w:p w:rsidR="00A154E5">
      <w:pPr>
        <w:pStyle w:val="BodyText"/>
        <w:spacing w:before="2"/>
        <w:rPr>
          <w:b/>
          <w:sz w:val="17"/>
        </w:rPr>
      </w:pPr>
    </w:p>
    <w:tbl>
      <w:tblPr>
        <w:tblStyle w:val="NormalTable"/>
        <w:tblW w:w="0" w:type="auto"/>
        <w:tblCellSpacing w:w="43" w:type="dxa"/>
        <w:tblInd w:w="259" w:type="dxa"/>
        <w:tblLayout w:type="fixed"/>
        <w:tblCellMar>
          <w:left w:w="0" w:type="dxa"/>
          <w:right w:w="0" w:type="dxa"/>
        </w:tblCellMar>
        <w:tblLook w:val="01E0"/>
      </w:tblPr>
      <w:tblGrid>
        <w:gridCol w:w="4403"/>
        <w:gridCol w:w="2466"/>
        <w:gridCol w:w="2462"/>
      </w:tblGrid>
      <w:tr w14:paraId="130D6918" w14:textId="77777777">
        <w:tblPrEx>
          <w:tblW w:w="0" w:type="auto"/>
          <w:tblCellSpacing w:w="43" w:type="dxa"/>
          <w:tblInd w:w="259" w:type="dxa"/>
          <w:tblLayout w:type="fixed"/>
          <w:tblCellMar>
            <w:left w:w="0" w:type="dxa"/>
            <w:right w:w="0" w:type="dxa"/>
          </w:tblCellMar>
          <w:tblLook w:val="01E0"/>
        </w:tblPrEx>
        <w:trPr>
          <w:trHeight w:val="496"/>
          <w:tblCellSpacing w:w="43" w:type="dxa"/>
        </w:trPr>
        <w:tc>
          <w:tcPr>
            <w:tcW w:w="4403" w:type="dxa"/>
            <w:tcBorders>
              <w:top w:val="nil"/>
              <w:left w:val="nil"/>
            </w:tcBorders>
            <w:shd w:val="clear" w:color="auto" w:fill="48B757"/>
          </w:tcPr>
          <w:p w:rsidR="00A154E5">
            <w:pPr>
              <w:pStyle w:val="TableParagraph"/>
              <w:spacing w:before="78"/>
              <w:ind w:left="1166"/>
              <w:rPr>
                <w:b/>
              </w:rPr>
            </w:pPr>
            <w:r>
              <w:rPr>
                <w:b/>
                <w:color w:val="FFFFFF"/>
              </w:rPr>
              <w:t xml:space="preserve">DESIGN</w:t>
            </w:r>
            <w:r>
              <w:rPr>
                <w:b/>
                <w:color w:val="FFFFFF"/>
                <w:spacing w:val="-4"/>
              </w:rPr>
              <w:t xml:space="preserve"> </w:t>
            </w:r>
            <w:r>
              <w:rPr>
                <w:b/>
                <w:color w:val="FFFFFF"/>
                <w:spacing w:val="-2"/>
              </w:rPr>
              <w:t xml:space="preserve">PARAMETER</w:t>
            </w:r>
          </w:p>
        </w:tc>
        <w:tc>
          <w:tcPr>
            <w:tcW w:w="2466" w:type="dxa"/>
            <w:tcBorders>
              <w:top w:val="nil"/>
            </w:tcBorders>
            <w:shd w:val="clear" w:color="auto" w:fill="48B757"/>
          </w:tcPr>
          <w:p w:rsidR="00A154E5">
            <w:pPr>
              <w:pStyle w:val="TableParagraph"/>
              <w:spacing w:before="78"/>
              <w:ind w:left="3" w:right="1"/>
              <w:jc w:val="center"/>
              <w:rPr>
                <w:b/>
              </w:rPr>
            </w:pPr>
            <w:r>
              <w:rPr>
                <w:b/>
                <w:color w:val="FFFFFF"/>
              </w:rPr>
              <w:t xml:space="preserve">With</w:t>
            </w:r>
            <w:r>
              <w:rPr>
                <w:b/>
                <w:color w:val="FFFFFF"/>
                <w:spacing w:val="-4"/>
              </w:rPr>
              <w:t xml:space="preserve"> </w:t>
            </w:r>
            <w:r>
              <w:rPr>
                <w:b/>
                <w:color w:val="FFFFFF"/>
              </w:rPr>
              <w:t xml:space="preserve">Stiff</w:t>
            </w:r>
            <w:r>
              <w:rPr>
                <w:b/>
                <w:color w:val="FFFFFF"/>
                <w:spacing w:val="-4"/>
              </w:rPr>
              <w:t xml:space="preserve"> </w:t>
            </w:r>
            <w:r>
              <w:rPr>
                <w:b/>
                <w:color w:val="FFFFFF"/>
                <w:spacing w:val="-2"/>
              </w:rPr>
              <w:t xml:space="preserve">Crust</w:t>
            </w:r>
            <w:r>
              <w:rPr>
                <w:b/>
                <w:color w:val="FFFFFF"/>
                <w:spacing w:val="-2"/>
                <w:vertAlign w:val="superscript"/>
              </w:rPr>
              <w:t xml:space="preserve">1</w:t>
            </w:r>
          </w:p>
        </w:tc>
        <w:tc>
          <w:tcPr>
            <w:tcW w:w="2462" w:type="dxa"/>
            <w:tcBorders>
              <w:top w:val="nil"/>
              <w:right w:val="nil"/>
            </w:tcBorders>
            <w:shd w:val="clear" w:color="auto" w:fill="48B757"/>
          </w:tcPr>
          <w:p w:rsidR="00A154E5">
            <w:pPr>
              <w:pStyle w:val="TableParagraph"/>
              <w:spacing w:before="78"/>
              <w:ind w:left="2" w:right="2"/>
              <w:jc w:val="center"/>
              <w:rPr>
                <w:b/>
              </w:rPr>
            </w:pPr>
            <w:r>
              <w:rPr>
                <w:b/>
                <w:color w:val="FFFFFF"/>
              </w:rPr>
              <w:t xml:space="preserve">Without</w:t>
            </w:r>
            <w:r>
              <w:rPr>
                <w:b/>
                <w:color w:val="FFFFFF"/>
                <w:spacing w:val="-5"/>
              </w:rPr>
              <w:t xml:space="preserve"> </w:t>
            </w:r>
            <w:r>
              <w:rPr>
                <w:b/>
                <w:color w:val="FFFFFF"/>
              </w:rPr>
              <w:t xml:space="preserve">Stiff</w:t>
            </w:r>
            <w:r>
              <w:rPr>
                <w:b/>
                <w:color w:val="FFFFFF"/>
                <w:spacing w:val="-4"/>
              </w:rPr>
              <w:t xml:space="preserve"> </w:t>
            </w:r>
            <w:r>
              <w:rPr>
                <w:b/>
                <w:color w:val="FFFFFF"/>
                <w:spacing w:val="-2"/>
              </w:rPr>
              <w:t xml:space="preserve">Crust</w:t>
            </w:r>
            <w:r>
              <w:rPr>
                <w:b/>
                <w:color w:val="FFFFFF"/>
                <w:spacing w:val="-2"/>
                <w:vertAlign w:val="superscript"/>
              </w:rPr>
              <w:t xml:space="preserve">2</w:t>
            </w:r>
          </w:p>
        </w:tc>
      </w:tr>
      <w:tr w14:paraId="520DB97C" w14:textId="77777777">
        <w:tblPrEx>
          <w:tblW w:w="0" w:type="auto"/>
          <w:tblCellSpacing w:w="43" w:type="dxa"/>
          <w:tblInd w:w="259" w:type="dxa"/>
          <w:tblLayout w:type="fixed"/>
          <w:tblCellMar>
            <w:left w:w="0" w:type="dxa"/>
            <w:right w:w="0" w:type="dxa"/>
          </w:tblCellMar>
          <w:tblLook w:val="01E0"/>
        </w:tblPrEx>
        <w:trPr>
          <w:trHeight w:val="495"/>
          <w:tblCellSpacing w:w="43" w:type="dxa"/>
        </w:trPr>
        <w:tc>
          <w:tcPr>
            <w:tcW w:w="4403" w:type="dxa"/>
            <w:tcBorders>
              <w:left w:val="nil"/>
            </w:tcBorders>
            <w:shd w:val="clear" w:color="auto" w:fill="F1F1F1"/>
          </w:tcPr>
          <w:p w:rsidR="00A154E5">
            <w:pPr>
              <w:pStyle w:val="TableParagraph"/>
              <w:spacing w:before="78"/>
              <w:ind w:left="64"/>
            </w:pPr>
            <w:r>
              <w:t xml:space="preserve">Geotechnical</w:t>
            </w:r>
            <w:r>
              <w:rPr>
                <w:spacing w:val="-7"/>
              </w:rPr>
              <w:t xml:space="preserve"> </w:t>
            </w:r>
            <w:r>
              <w:t xml:space="preserve">ultimate</w:t>
            </w:r>
            <w:r>
              <w:rPr>
                <w:spacing w:val="-5"/>
              </w:rPr>
              <w:t xml:space="preserve"> </w:t>
            </w:r>
            <w:r>
              <w:t xml:space="preserve">bearing</w:t>
            </w:r>
            <w:r>
              <w:rPr>
                <w:spacing w:val="-5"/>
              </w:rPr>
              <w:t xml:space="preserve"> </w:t>
            </w:r>
            <w:r>
              <w:rPr>
                <w:spacing w:val="-2"/>
              </w:rPr>
              <w:t xml:space="preserve">capacity</w:t>
            </w:r>
          </w:p>
        </w:tc>
        <w:tc>
          <w:tcPr>
            <w:tcW w:w="2466" w:type="dxa"/>
            <w:shd w:val="clear" w:color="auto" w:fill="F1F1F1"/>
          </w:tcPr>
          <w:p w:rsidR="00A154E5">
            <w:pPr>
              <w:pStyle w:val="TableParagraph"/>
              <w:spacing w:before="78"/>
              <w:ind w:left="3" w:right="4"/>
              <w:jc w:val="center"/>
            </w:pPr>
            <w:r>
              <w:t xml:space="preserve">300</w:t>
            </w:r>
            <w:r>
              <w:rPr>
                <w:spacing w:val="2"/>
              </w:rPr>
              <w:t xml:space="preserve"> </w:t>
            </w:r>
            <w:r>
              <w:rPr>
                <w:spacing w:val="-5"/>
              </w:rPr>
              <w:t xml:space="preserve">kPa</w:t>
            </w:r>
          </w:p>
        </w:tc>
        <w:tc>
          <w:tcPr>
            <w:tcW w:w="2462" w:type="dxa"/>
            <w:tcBorders>
              <w:right w:val="nil"/>
            </w:tcBorders>
            <w:shd w:val="clear" w:color="auto" w:fill="F1F1F1"/>
          </w:tcPr>
          <w:p w:rsidR="00A154E5">
            <w:pPr>
              <w:pStyle w:val="TableParagraph"/>
              <w:spacing w:before="78"/>
              <w:ind w:left="2" w:right="2"/>
              <w:jc w:val="center"/>
            </w:pPr>
            <w:r>
              <w:t xml:space="preserve">160</w:t>
            </w:r>
            <w:r>
              <w:rPr>
                <w:spacing w:val="4"/>
              </w:rPr>
              <w:t xml:space="preserve"> </w:t>
            </w:r>
            <w:r>
              <w:rPr>
                <w:spacing w:val="-5"/>
              </w:rPr>
              <w:t xml:space="preserve">kPa</w:t>
            </w:r>
          </w:p>
        </w:tc>
      </w:tr>
      <w:tr w14:paraId="71371C60" w14:textId="77777777">
        <w:tblPrEx>
          <w:tblW w:w="0" w:type="auto"/>
          <w:tblCellSpacing w:w="43" w:type="dxa"/>
          <w:tblInd w:w="259" w:type="dxa"/>
          <w:tblLayout w:type="fixed"/>
          <w:tblCellMar>
            <w:left w:w="0" w:type="dxa"/>
            <w:right w:w="0" w:type="dxa"/>
          </w:tblCellMar>
          <w:tblLook w:val="01E0"/>
        </w:tblPrEx>
        <w:trPr>
          <w:trHeight w:val="495"/>
          <w:tblCellSpacing w:w="43" w:type="dxa"/>
        </w:trPr>
        <w:tc>
          <w:tcPr>
            <w:tcW w:w="4403" w:type="dxa"/>
            <w:tcBorders>
              <w:left w:val="nil"/>
            </w:tcBorders>
            <w:shd w:val="clear" w:color="auto" w:fill="F1F1F1"/>
          </w:tcPr>
          <w:p w:rsidR="00A154E5">
            <w:pPr>
              <w:pStyle w:val="TableParagraph"/>
              <w:spacing w:before="78"/>
              <w:ind w:left="64"/>
            </w:pPr>
            <w:r>
              <w:t xml:space="preserve">ULS</w:t>
            </w:r>
            <w:r>
              <w:rPr>
                <w:spacing w:val="-5"/>
              </w:rPr>
              <w:t xml:space="preserve"> </w:t>
            </w:r>
            <w:r>
              <w:t xml:space="preserve">design</w:t>
            </w:r>
            <w:r>
              <w:rPr>
                <w:spacing w:val="-3"/>
              </w:rPr>
              <w:t xml:space="preserve"> </w:t>
            </w:r>
            <w:r>
              <w:t xml:space="preserve">bearing</w:t>
            </w:r>
            <w:r>
              <w:rPr>
                <w:spacing w:val="-2"/>
              </w:rPr>
              <w:t xml:space="preserve"> </w:t>
            </w:r>
            <w:r>
              <w:t xml:space="preserve">capacity</w:t>
            </w:r>
            <w:r>
              <w:rPr>
                <w:spacing w:val="-4"/>
              </w:rPr>
              <w:t xml:space="preserve"> </w:t>
            </w:r>
            <w:r>
              <w:t xml:space="preserve">(</w:t>
            </w:r>
            <w:r>
              <w:t xml:space="preserve">Φg</w:t>
            </w:r>
            <w:r>
              <w:rPr>
                <w:spacing w:val="-2"/>
              </w:rPr>
              <w:t xml:space="preserve"> </w:t>
            </w:r>
            <w:r>
              <w:t xml:space="preserve">=</w:t>
            </w:r>
            <w:r>
              <w:rPr>
                <w:spacing w:val="-4"/>
              </w:rPr>
              <w:t xml:space="preserve"> 0.5)</w:t>
            </w:r>
          </w:p>
        </w:tc>
        <w:tc>
          <w:tcPr>
            <w:tcW w:w="2466" w:type="dxa"/>
            <w:shd w:val="clear" w:color="auto" w:fill="F1F1F1"/>
          </w:tcPr>
          <w:p w:rsidR="00A154E5">
            <w:pPr>
              <w:pStyle w:val="TableParagraph"/>
              <w:spacing w:before="78"/>
              <w:ind w:left="3" w:right="4"/>
              <w:jc w:val="center"/>
            </w:pPr>
            <w:r>
              <w:t xml:space="preserve">150</w:t>
            </w:r>
            <w:r>
              <w:rPr>
                <w:spacing w:val="6"/>
              </w:rPr>
              <w:t xml:space="preserve"> </w:t>
            </w:r>
            <w:r>
              <w:rPr>
                <w:spacing w:val="-5"/>
              </w:rPr>
              <w:t xml:space="preserve">kPa</w:t>
            </w:r>
          </w:p>
        </w:tc>
        <w:tc>
          <w:tcPr>
            <w:tcW w:w="2462" w:type="dxa"/>
            <w:tcBorders>
              <w:right w:val="nil"/>
            </w:tcBorders>
            <w:shd w:val="clear" w:color="auto" w:fill="F1F1F1"/>
          </w:tcPr>
          <w:p w:rsidR="00A154E5">
            <w:pPr>
              <w:pStyle w:val="TableParagraph"/>
              <w:spacing w:before="78"/>
              <w:ind w:left="2"/>
              <w:jc w:val="center"/>
            </w:pPr>
            <w:r>
              <w:t xml:space="preserve">80 </w:t>
            </w:r>
            <w:r>
              <w:rPr>
                <w:spacing w:val="-5"/>
              </w:rPr>
              <w:t xml:space="preserve">kPa</w:t>
            </w:r>
          </w:p>
        </w:tc>
      </w:tr>
      <w:tr w14:paraId="344995E6" w14:textId="77777777">
        <w:tblPrEx>
          <w:tblW w:w="0" w:type="auto"/>
          <w:tblCellSpacing w:w="43" w:type="dxa"/>
          <w:tblInd w:w="259" w:type="dxa"/>
          <w:tblLayout w:type="fixed"/>
          <w:tblCellMar>
            <w:left w:w="0" w:type="dxa"/>
            <w:right w:w="0" w:type="dxa"/>
          </w:tblCellMar>
          <w:tblLook w:val="01E0"/>
        </w:tblPrEx>
        <w:trPr>
          <w:trHeight w:val="496"/>
          <w:tblCellSpacing w:w="43" w:type="dxa"/>
        </w:trPr>
        <w:tc>
          <w:tcPr>
            <w:tcW w:w="4403" w:type="dxa"/>
            <w:tcBorders>
              <w:left w:val="nil"/>
              <w:bottom w:val="nil"/>
            </w:tcBorders>
            <w:shd w:val="clear" w:color="auto" w:fill="F1F1F1"/>
          </w:tcPr>
          <w:p w:rsidR="00A154E5">
            <w:pPr>
              <w:pStyle w:val="TableParagraph"/>
              <w:spacing w:before="78"/>
              <w:ind w:left="64"/>
            </w:pPr>
            <w:r>
              <w:t xml:space="preserve">Design</w:t>
            </w:r>
            <w:r>
              <w:rPr>
                <w:spacing w:val="-3"/>
              </w:rPr>
              <w:t xml:space="preserve"> </w:t>
            </w:r>
            <w:r>
              <w:t xml:space="preserve">working</w:t>
            </w:r>
            <w:r>
              <w:rPr>
                <w:spacing w:val="-3"/>
              </w:rPr>
              <w:t xml:space="preserve"> </w:t>
            </w:r>
            <w:r>
              <w:t xml:space="preserve">bearing</w:t>
            </w:r>
            <w:r>
              <w:rPr>
                <w:spacing w:val="-3"/>
              </w:rPr>
              <w:t xml:space="preserve"> </w:t>
            </w:r>
            <w:r>
              <w:t xml:space="preserve">pressure</w:t>
            </w:r>
            <w:r>
              <w:rPr>
                <w:spacing w:val="-6"/>
              </w:rPr>
              <w:t xml:space="preserve"> </w:t>
            </w:r>
            <w:r>
              <w:t xml:space="preserve">(FOS</w:t>
            </w:r>
            <w:r>
              <w:rPr>
                <w:spacing w:val="-4"/>
              </w:rPr>
              <w:t xml:space="preserve"> </w:t>
            </w:r>
            <w:r>
              <w:t xml:space="preserve">=</w:t>
            </w:r>
            <w:r>
              <w:rPr>
                <w:spacing w:val="-4"/>
              </w:rPr>
              <w:t xml:space="preserve"> 3.0)</w:t>
            </w:r>
          </w:p>
        </w:tc>
        <w:tc>
          <w:tcPr>
            <w:tcW w:w="2466" w:type="dxa"/>
            <w:tcBorders>
              <w:bottom w:val="nil"/>
            </w:tcBorders>
            <w:shd w:val="clear" w:color="auto" w:fill="F1F1F1"/>
          </w:tcPr>
          <w:p w:rsidR="00A154E5">
            <w:pPr>
              <w:pStyle w:val="TableParagraph"/>
              <w:spacing w:before="78"/>
              <w:ind w:left="4" w:right="1"/>
              <w:jc w:val="center"/>
            </w:pPr>
            <w:r>
              <w:t xml:space="preserve">100</w:t>
            </w:r>
            <w:r>
              <w:rPr>
                <w:spacing w:val="9"/>
              </w:rPr>
              <w:t xml:space="preserve"> </w:t>
            </w:r>
            <w:r>
              <w:rPr>
                <w:spacing w:val="-5"/>
              </w:rPr>
              <w:t xml:space="preserve">kPa</w:t>
            </w:r>
          </w:p>
        </w:tc>
        <w:tc>
          <w:tcPr>
            <w:tcW w:w="2462" w:type="dxa"/>
            <w:tcBorders>
              <w:bottom w:val="nil"/>
              <w:right w:val="nil"/>
            </w:tcBorders>
            <w:shd w:val="clear" w:color="auto" w:fill="F1F1F1"/>
          </w:tcPr>
          <w:p w:rsidR="00A154E5">
            <w:pPr>
              <w:pStyle w:val="TableParagraph"/>
              <w:spacing w:before="78"/>
              <w:ind w:left="2"/>
              <w:jc w:val="center"/>
            </w:pPr>
            <w:r>
              <w:t xml:space="preserve">53</w:t>
            </w:r>
            <w:r>
              <w:rPr>
                <w:spacing w:val="1"/>
              </w:rPr>
              <w:t xml:space="preserve"> </w:t>
            </w:r>
            <w:r>
              <w:rPr>
                <w:spacing w:val="-5"/>
              </w:rPr>
              <w:t xml:space="preserve">kPa</w:t>
            </w:r>
          </w:p>
        </w:tc>
      </w:tr>
    </w:tbl>
    <w:p w:rsidR="00A154E5">
      <w:pPr>
        <w:spacing w:before="171" w:line="264" w:lineRule="auto"/>
        <w:ind w:left="120" w:right="210"/>
        <w:rPr>
          <w:i/>
          <w:sz w:val="18"/>
        </w:rPr>
      </w:pPr>
      <w:r>
        <w:t xml:space="preserve">NOTE 1: The foundation subgrade should have an undrained shear strength of not less than </w:t>
      </w:r>
      <w:commentRangeStart w:id="21"/>
      <w:r>
        <w:t xml:space="preserve">80 psi</w:t>
      </w:r>
      <w:commentRangeEnd w:id="21"/>
      <w:r>
        <w:commentReference w:id="21"/>
      </w:r>
      <w:r>
        <w:t xml:space="preserve"> to at least 1 ft beneath the base of the footing (based on a review of the nearest boreholes by a Chartered Professional Geotechnical Engineer). This can comprise the natural crust or engineered fill.</w:t>
      </w:r>
    </w:p>
    <w:p w:rsidR="00A154E5">
      <w:pPr>
        <w:spacing w:before="122" w:line="261" w:lineRule="auto"/>
        <w:ind w:left="120"/>
        <w:rPr>
          <w:i/>
          <w:sz w:val="18"/>
        </w:rPr>
      </w:pPr>
      <w:r>
        <w:t xml:space="preserve">NOTE 2: Where the soil within 1 m of the underside of the foundations has an undrained shear strength of less than </w:t>
      </w:r>
      <w:commentRangeStart w:id="22"/>
      <w:r>
        <w:t xml:space="preserve">80 psi</w:t>
      </w:r>
      <w:commentRangeEnd w:id="22"/>
      <w:r>
        <w:commentReference w:id="22"/>
      </w:r>
      <w:r>
        <w:t xml:space="preserve"> (based on a review of the nearest boreholes).</w:t>
      </w:r>
    </w:p>
    <w:p w:rsidR="00A154E5">
      <w:pPr>
        <w:pStyle w:val="BodyText"/>
        <w:spacing w:before="99"/>
        <w:rPr>
          <w:i/>
          <w:sz w:val="18"/>
        </w:rPr>
      </w:pPr>
    </w:p>
    <w:p w:rsidR="00A154E5">
      <w:pPr>
        <w:pStyle w:val="ListParagraph"/>
        <w:numPr>
          <w:ilvl w:val="3"/>
          <w:numId w:val="13"/>
        </w:numPr>
        <w:tabs>
          <w:tab w:val="left" w:pos="1197"/>
        </w:tabs>
        <w:ind w:left="1197" w:hanging="1077"/>
        <w:rPr>
          <w:b/>
          <w:sz w:val="24"/>
        </w:rPr>
      </w:pPr>
      <w:r>
        <w:t xml:space="preserve">Settlement</w:t>
      </w:r>
    </w:p>
    <w:p w:rsidR="00A154E5">
      <w:pPr>
        <w:pStyle w:val="BodyText"/>
        <w:spacing w:before="52"/>
        <w:rPr>
          <w:b/>
          <w:sz w:val="24"/>
        </w:rPr>
      </w:pPr>
    </w:p>
    <w:p w:rsidR="00A154E5">
      <w:pPr>
        <w:pStyle w:val="BodyText"/>
        <w:ind w:left="120"/>
      </w:pPr>
      <w:r>
        <w:t xml:space="preserve">The building designer should carry out a specific analysis of foundation settlement at this site.</w:t>
      </w:r>
    </w:p>
    <w:p w:rsidR="00A154E5">
      <w:pPr>
        <w:pStyle w:val="BodyText"/>
        <w:spacing w:before="149"/>
        <w:ind w:left="120"/>
      </w:pPr>
      <w:r>
        <w:t xml:space="preserve">A preliminary assessment of settlement has been carried out for an estimated applied building bearing</w:t>
      </w:r>
    </w:p>
    <w:p w:rsidR="00A154E5">
      <w:pPr>
        <w:pStyle w:val="BodyText"/>
        <w:spacing w:before="27"/>
        <w:ind w:left="120"/>
      </w:pPr>
      <w:r>
        <w:t xml:space="preserve">pressures of 10-30 psi, to simulate the weight of light weight 1-3 storey buildings. The assessment has been</w:t>
      </w:r>
    </w:p>
    <w:p w:rsidR="00A154E5">
      <w:pPr>
        <w:sectPr>
          <w:pgSz w:w="11910" w:h="16840" w:orient="portrait"/>
          <w:pgMar w:top="1380" w:right="960" w:bottom="1140" w:left="960" w:header="0" w:footer="953" w:gutter="0"/>
          <w:cols w:num="1" w:space="720">
            <w:col w:w="9990" w:space="720"/>
          </w:cols>
        </w:sectPr>
      </w:pPr>
    </w:p>
    <w:p w:rsidR="00A154E5">
      <w:pPr>
        <w:pStyle w:val="BodyText"/>
        <w:spacing w:before="41" w:line="264" w:lineRule="auto"/>
        <w:ind w:left="120" w:right="133"/>
      </w:pPr>
      <w:r>
        <w:t xml:space="preserve">carried out on the basis of the soil moduli presented in the chart of constrained modulus vs depth presented in Appendix D. The plots of soil modulus have been calculated as shown in Table 6.</w:t>
      </w:r>
    </w:p>
    <w:p w:rsidR="00A154E5">
      <w:pPr>
        <w:pStyle w:val="Heading4"/>
      </w:pPr>
      <w:r>
        <w:t xml:space="preserve">Table 6: Calculation of soil constrained moduli</w:t>
      </w:r>
    </w:p>
    <w:p w:rsidR="00A154E5">
      <w:pPr>
        <w:pStyle w:val="BodyText"/>
        <w:spacing w:before="2"/>
        <w:rPr>
          <w:b/>
          <w:sz w:val="17"/>
        </w:rPr>
      </w:pPr>
    </w:p>
    <w:tbl>
      <w:tblPr>
        <w:tblStyle w:val="NormalTable"/>
        <w:tblW w:w="0" w:type="auto"/>
        <w:tblCellSpacing w:w="44" w:type="dxa"/>
        <w:tblInd w:w="260" w:type="dxa"/>
        <w:tblLayout w:type="fixed"/>
        <w:tblCellMar>
          <w:left w:w="0" w:type="dxa"/>
          <w:right w:w="0" w:type="dxa"/>
        </w:tblCellMar>
        <w:tblLook w:val="01E0"/>
      </w:tblPr>
      <w:tblGrid>
        <w:gridCol w:w="3412"/>
        <w:gridCol w:w="4306"/>
        <w:gridCol w:w="1676"/>
      </w:tblGrid>
      <w:tr w14:paraId="33B981E6" w14:textId="77777777">
        <w:tblPrEx>
          <w:tblW w:w="0" w:type="auto"/>
          <w:tblCellSpacing w:w="44" w:type="dxa"/>
          <w:tblInd w:w="260" w:type="dxa"/>
          <w:tblLayout w:type="fixed"/>
          <w:tblCellMar>
            <w:left w:w="0" w:type="dxa"/>
            <w:right w:w="0" w:type="dxa"/>
          </w:tblCellMar>
          <w:tblLook w:val="01E0"/>
        </w:tblPrEx>
        <w:trPr>
          <w:trHeight w:val="496"/>
          <w:tblCellSpacing w:w="44" w:type="dxa"/>
        </w:trPr>
        <w:tc>
          <w:tcPr>
            <w:tcW w:w="3412" w:type="dxa"/>
            <w:tcBorders>
              <w:top w:val="nil"/>
              <w:left w:val="nil"/>
            </w:tcBorders>
            <w:shd w:val="clear" w:color="auto" w:fill="48B757"/>
          </w:tcPr>
          <w:p w:rsidR="00A154E5">
            <w:pPr>
              <w:pStyle w:val="TableParagraph"/>
              <w:spacing w:before="81"/>
              <w:ind w:left="4"/>
              <w:jc w:val="center"/>
              <w:rPr>
                <w:b/>
              </w:rPr>
            </w:pPr>
            <w:r>
              <w:rPr>
                <w:b/>
                <w:color w:val="FFFFFF"/>
              </w:rPr>
              <w:t xml:space="preserve">SOURCE</w:t>
            </w:r>
            <w:r>
              <w:rPr>
                <w:b/>
                <w:color w:val="FFFFFF"/>
                <w:spacing w:val="-3"/>
              </w:rPr>
              <w:t xml:space="preserve"> </w:t>
            </w:r>
            <w:r>
              <w:rPr>
                <w:b/>
                <w:color w:val="FFFFFF"/>
                <w:spacing w:val="-4"/>
              </w:rPr>
              <w:t xml:space="preserve">DATA</w:t>
            </w:r>
          </w:p>
        </w:tc>
        <w:tc>
          <w:tcPr>
            <w:tcW w:w="4306" w:type="dxa"/>
            <w:tcBorders>
              <w:top w:val="nil"/>
            </w:tcBorders>
            <w:shd w:val="clear" w:color="auto" w:fill="48B757"/>
          </w:tcPr>
          <w:p w:rsidR="00A154E5">
            <w:pPr>
              <w:pStyle w:val="TableParagraph"/>
              <w:spacing w:before="81"/>
              <w:jc w:val="center"/>
              <w:rPr>
                <w:b/>
              </w:rPr>
            </w:pPr>
            <w:r>
              <w:rPr>
                <w:b/>
                <w:color w:val="FFFFFF"/>
              </w:rPr>
              <w:t xml:space="preserve">CONSTRAINED</w:t>
            </w:r>
            <w:r>
              <w:rPr>
                <w:b/>
                <w:color w:val="FFFFFF"/>
                <w:spacing w:val="-9"/>
              </w:rPr>
              <w:t xml:space="preserve"> </w:t>
            </w:r>
            <w:r>
              <w:rPr>
                <w:b/>
                <w:color w:val="FFFFFF"/>
              </w:rPr>
              <w:t xml:space="preserve">MODULUS,</w:t>
            </w:r>
            <w:r>
              <w:rPr>
                <w:b/>
                <w:color w:val="FFFFFF"/>
                <w:spacing w:val="-6"/>
              </w:rPr>
              <w:t xml:space="preserve"> </w:t>
            </w:r>
            <w:r>
              <w:rPr>
                <w:b/>
                <w:color w:val="FFFFFF"/>
                <w:spacing w:val="-10"/>
              </w:rPr>
              <w:t xml:space="preserve">M</w:t>
            </w:r>
          </w:p>
        </w:tc>
        <w:tc>
          <w:tcPr>
            <w:tcW w:w="1676" w:type="dxa"/>
            <w:tcBorders>
              <w:top w:val="nil"/>
              <w:right w:val="nil"/>
            </w:tcBorders>
            <w:shd w:val="clear" w:color="auto" w:fill="48B757"/>
          </w:tcPr>
          <w:p w:rsidR="00A154E5">
            <w:pPr>
              <w:pStyle w:val="TableParagraph"/>
              <w:spacing w:before="81"/>
              <w:ind w:right="5"/>
              <w:jc w:val="center"/>
              <w:rPr>
                <w:b/>
              </w:rPr>
            </w:pPr>
            <w:r>
              <w:rPr>
                <w:b/>
                <w:color w:val="FFFFFF"/>
                <w:spacing w:val="-2"/>
              </w:rPr>
              <w:t xml:space="preserve">RELIABILITY</w:t>
            </w:r>
          </w:p>
        </w:tc>
      </w:tr>
      <w:tr w14:paraId="60D7A7A0" w14:textId="77777777">
        <w:tblPrEx>
          <w:tblW w:w="0" w:type="auto"/>
          <w:tblCellSpacing w:w="44" w:type="dxa"/>
          <w:tblInd w:w="260" w:type="dxa"/>
          <w:tblLayout w:type="fixed"/>
          <w:tblCellMar>
            <w:left w:w="0" w:type="dxa"/>
            <w:right w:w="0" w:type="dxa"/>
          </w:tblCellMar>
          <w:tblLook w:val="01E0"/>
        </w:tblPrEx>
        <w:trPr>
          <w:trHeight w:val="495"/>
          <w:tblCellSpacing w:w="44" w:type="dxa"/>
        </w:trPr>
        <w:tc>
          <w:tcPr>
            <w:tcW w:w="3412" w:type="dxa"/>
            <w:tcBorders>
              <w:left w:val="nil"/>
            </w:tcBorders>
            <w:shd w:val="clear" w:color="auto" w:fill="F1F1F1"/>
          </w:tcPr>
          <w:p w:rsidR="00A154E5">
            <w:pPr>
              <w:pStyle w:val="TableParagraph"/>
              <w:spacing w:before="78"/>
              <w:ind w:left="4" w:right="4"/>
              <w:jc w:val="center"/>
            </w:pPr>
            <w:r>
              <w:t xml:space="preserve">One-dimensional</w:t>
            </w:r>
            <w:r>
              <w:rPr>
                <w:spacing w:val="-12"/>
              </w:rPr>
              <w:t xml:space="preserve"> </w:t>
            </w:r>
            <w:r>
              <w:t xml:space="preserve">consolidation</w:t>
            </w:r>
            <w:r>
              <w:rPr>
                <w:spacing w:val="-9"/>
              </w:rPr>
              <w:t xml:space="preserve"> </w:t>
            </w:r>
            <w:r>
              <w:rPr>
                <w:spacing w:val="-4"/>
              </w:rPr>
              <w:t xml:space="preserve">test</w:t>
            </w:r>
          </w:p>
        </w:tc>
        <w:tc>
          <w:tcPr>
            <w:tcW w:w="4306" w:type="dxa"/>
            <w:shd w:val="clear" w:color="auto" w:fill="F1F1F1"/>
          </w:tcPr>
          <w:p w:rsidR="00A154E5">
            <w:pPr>
              <w:pStyle w:val="TableParagraph"/>
              <w:spacing w:before="77"/>
              <w:jc w:val="center"/>
              <w:rPr>
                <w:sz w:val="14"/>
              </w:rPr>
            </w:pPr>
            <w:r>
              <w:rPr>
                <w:position w:val="2"/>
              </w:rPr>
              <w:t xml:space="preserve">M</w:t>
            </w:r>
            <w:r>
              <w:rPr>
                <w:spacing w:val="-1"/>
                <w:position w:val="2"/>
              </w:rPr>
              <w:t xml:space="preserve"> </w:t>
            </w:r>
            <w:r>
              <w:rPr>
                <w:position w:val="2"/>
              </w:rPr>
              <w:t xml:space="preserve">=</w:t>
            </w:r>
            <w:r>
              <w:rPr>
                <w:spacing w:val="-2"/>
                <w:position w:val="2"/>
              </w:rPr>
              <w:t xml:space="preserve"> </w:t>
            </w:r>
            <w:r>
              <w:rPr>
                <w:spacing w:val="-4"/>
                <w:position w:val="2"/>
              </w:rPr>
              <w:t xml:space="preserve">1/m</w:t>
            </w:r>
            <w:r>
              <w:rPr>
                <w:spacing w:val="-4"/>
                <w:sz w:val="14"/>
              </w:rPr>
              <w:t xml:space="preserve">V</w:t>
            </w:r>
          </w:p>
        </w:tc>
        <w:tc>
          <w:tcPr>
            <w:tcW w:w="1676" w:type="dxa"/>
            <w:tcBorders>
              <w:right w:val="nil"/>
            </w:tcBorders>
            <w:shd w:val="clear" w:color="auto" w:fill="F1F1F1"/>
          </w:tcPr>
          <w:p w:rsidR="00A154E5">
            <w:pPr>
              <w:pStyle w:val="TableParagraph"/>
              <w:spacing w:before="78"/>
              <w:ind w:left="3" w:right="5"/>
              <w:jc w:val="center"/>
            </w:pPr>
            <w:r>
              <w:t xml:space="preserve">More</w:t>
            </w:r>
            <w:r>
              <w:rPr>
                <w:spacing w:val="-2"/>
              </w:rPr>
              <w:t xml:space="preserve"> reliable</w:t>
            </w:r>
          </w:p>
        </w:tc>
      </w:tr>
      <w:tr w14:paraId="69F7CA09" w14:textId="77777777">
        <w:tblPrEx>
          <w:tblW w:w="0" w:type="auto"/>
          <w:tblCellSpacing w:w="44" w:type="dxa"/>
          <w:tblInd w:w="260" w:type="dxa"/>
          <w:tblLayout w:type="fixed"/>
          <w:tblCellMar>
            <w:left w:w="0" w:type="dxa"/>
            <w:right w:w="0" w:type="dxa"/>
          </w:tblCellMar>
          <w:tblLook w:val="01E0"/>
        </w:tblPrEx>
        <w:trPr>
          <w:trHeight w:val="495"/>
          <w:tblCellSpacing w:w="44" w:type="dxa"/>
        </w:trPr>
        <w:tc>
          <w:tcPr>
            <w:tcW w:w="3412" w:type="dxa"/>
            <w:tcBorders>
              <w:left w:val="nil"/>
            </w:tcBorders>
            <w:shd w:val="clear" w:color="auto" w:fill="F1F1F1"/>
          </w:tcPr>
          <w:p w:rsidR="00A154E5">
            <w:pPr>
              <w:pStyle w:val="TableParagraph"/>
              <w:spacing w:before="78"/>
              <w:ind w:left="4" w:right="4"/>
              <w:jc w:val="center"/>
            </w:pPr>
            <w:r>
              <w:rPr>
                <w:spacing w:val="-5"/>
              </w:rPr>
              <w:t xml:space="preserve">CPT</w:t>
            </w:r>
          </w:p>
        </w:tc>
        <w:tc>
          <w:tcPr>
            <w:tcW w:w="4306" w:type="dxa"/>
            <w:shd w:val="clear" w:color="auto" w:fill="F1F1F1"/>
          </w:tcPr>
          <w:p w:rsidR="00A154E5">
            <w:pPr>
              <w:pStyle w:val="TableParagraph"/>
              <w:tabs>
                <w:tab w:val="left" w:pos="1485"/>
              </w:tabs>
              <w:spacing w:before="77"/>
              <w:ind w:right="1"/>
              <w:jc w:val="center"/>
            </w:pPr>
            <w:r>
              <w:rPr>
                <w:position w:val="2"/>
              </w:rPr>
              <w:t xml:space="preserve">M</w:t>
            </w:r>
            <w:r>
              <w:rPr>
                <w:spacing w:val="-4"/>
                <w:position w:val="2"/>
              </w:rPr>
              <w:t xml:space="preserve"> </w:t>
            </w:r>
            <w:r>
              <w:rPr>
                <w:position w:val="2"/>
              </w:rPr>
              <w:t xml:space="preserve">=</w:t>
            </w:r>
            <w:r>
              <w:rPr>
                <w:spacing w:val="-5"/>
                <w:position w:val="2"/>
              </w:rPr>
              <w:t xml:space="preserve"> </w:t>
            </w:r>
            <w:r>
              <w:rPr>
                <w:position w:val="2"/>
              </w:rPr>
              <w:t xml:space="preserve">α</w:t>
            </w:r>
            <w:r>
              <w:rPr>
                <w:sz w:val="14"/>
              </w:rPr>
              <w:t xml:space="preserve">M</w:t>
            </w:r>
            <w:r>
              <w:rPr>
                <w:position w:val="2"/>
              </w:rPr>
              <w:t xml:space="preserve">(q</w:t>
            </w:r>
            <w:r>
              <w:rPr>
                <w:sz w:val="14"/>
              </w:rPr>
              <w:t xml:space="preserve">t</w:t>
            </w:r>
            <w:r>
              <w:rPr>
                <w:position w:val="2"/>
              </w:rPr>
              <w:t xml:space="preserve">-</w:t>
            </w:r>
            <w:r>
              <w:rPr>
                <w:spacing w:val="-4"/>
                <w:position w:val="2"/>
              </w:rPr>
              <w:t xml:space="preserve">σ</w:t>
            </w:r>
            <w:r>
              <w:rPr>
                <w:spacing w:val="-4"/>
                <w:sz w:val="14"/>
              </w:rPr>
              <w:t xml:space="preserve">V0</w:t>
            </w:r>
            <w:r>
              <w:rPr>
                <w:spacing w:val="-4"/>
                <w:position w:val="2"/>
              </w:rPr>
              <w:t xml:space="preserve">)</w:t>
            </w:r>
            <w:r>
              <w:rPr>
                <w:position w:val="2"/>
              </w:rPr>
              <w:tab/>
            </w:r>
            <w:r>
              <w:rPr>
                <w:position w:val="2"/>
              </w:rPr>
              <w:t xml:space="preserve">(refer</w:t>
            </w:r>
            <w:r>
              <w:rPr>
                <w:spacing w:val="-4"/>
                <w:position w:val="2"/>
              </w:rPr>
              <w:t xml:space="preserve"> </w:t>
            </w:r>
            <w:r>
              <w:rPr>
                <w:position w:val="2"/>
              </w:rPr>
              <w:t xml:space="preserve">to</w:t>
            </w:r>
            <w:r>
              <w:rPr>
                <w:spacing w:val="-4"/>
                <w:position w:val="2"/>
              </w:rPr>
              <w:t xml:space="preserve"> </w:t>
            </w:r>
            <w:r>
              <w:rPr>
                <w:position w:val="2"/>
              </w:rPr>
              <w:t xml:space="preserve">Robertson,</w:t>
            </w:r>
            <w:r>
              <w:rPr>
                <w:spacing w:val="-3"/>
                <w:position w:val="2"/>
              </w:rPr>
              <w:t xml:space="preserve"> </w:t>
            </w:r>
            <w:r>
              <w:rPr>
                <w:spacing w:val="-4"/>
                <w:position w:val="2"/>
              </w:rPr>
              <w:t xml:space="preserve">2010)</w:t>
            </w:r>
          </w:p>
        </w:tc>
        <w:tc>
          <w:tcPr>
            <w:tcW w:w="1676" w:type="dxa"/>
            <w:tcBorders>
              <w:right w:val="nil"/>
            </w:tcBorders>
            <w:shd w:val="clear" w:color="auto" w:fill="F1F1F1"/>
          </w:tcPr>
          <w:p w:rsidR="00A154E5">
            <w:pPr>
              <w:pStyle w:val="TableParagraph"/>
              <w:spacing w:before="78"/>
              <w:ind w:left="3" w:right="5"/>
              <w:jc w:val="center"/>
            </w:pPr>
            <w:r>
              <w:t xml:space="preserve">More</w:t>
            </w:r>
            <w:r>
              <w:rPr>
                <w:spacing w:val="-2"/>
              </w:rPr>
              <w:t xml:space="preserve"> reliable</w:t>
            </w:r>
          </w:p>
        </w:tc>
      </w:tr>
      <w:tr w14:paraId="22000878" w14:textId="77777777">
        <w:tblPrEx>
          <w:tblW w:w="0" w:type="auto"/>
          <w:tblCellSpacing w:w="44" w:type="dxa"/>
          <w:tblInd w:w="260" w:type="dxa"/>
          <w:tblLayout w:type="fixed"/>
          <w:tblCellMar>
            <w:left w:w="0" w:type="dxa"/>
            <w:right w:w="0" w:type="dxa"/>
          </w:tblCellMar>
          <w:tblLook w:val="01E0"/>
        </w:tblPrEx>
        <w:trPr>
          <w:trHeight w:val="496"/>
          <w:tblCellSpacing w:w="44" w:type="dxa"/>
        </w:trPr>
        <w:tc>
          <w:tcPr>
            <w:tcW w:w="3412" w:type="dxa"/>
            <w:tcBorders>
              <w:left w:val="nil"/>
              <w:bottom w:val="nil"/>
            </w:tcBorders>
            <w:shd w:val="clear" w:color="auto" w:fill="F1F1F1"/>
          </w:tcPr>
          <w:p w:rsidR="00A154E5">
            <w:pPr>
              <w:pStyle w:val="TableParagraph"/>
              <w:spacing w:before="78"/>
              <w:ind w:left="4" w:right="2"/>
              <w:jc w:val="center"/>
            </w:pPr>
            <w:r>
              <w:rPr>
                <w:spacing w:val="-5"/>
              </w:rPr>
              <w:t xml:space="preserve">SPT</w:t>
            </w:r>
          </w:p>
        </w:tc>
        <w:tc>
          <w:tcPr>
            <w:tcW w:w="4306" w:type="dxa"/>
            <w:tcBorders>
              <w:bottom w:val="nil"/>
            </w:tcBorders>
            <w:shd w:val="clear" w:color="auto" w:fill="F1F1F1"/>
          </w:tcPr>
          <w:p w:rsidR="00A154E5">
            <w:pPr>
              <w:pStyle w:val="TableParagraph"/>
              <w:spacing w:before="78"/>
              <w:ind w:left="4" w:right="1"/>
              <w:jc w:val="center"/>
            </w:pPr>
            <w:r>
              <w:t xml:space="preserve">M</w:t>
            </w:r>
            <w:r>
              <w:rPr>
                <w:spacing w:val="-1"/>
              </w:rPr>
              <w:t xml:space="preserve"> </w:t>
            </w:r>
            <w:r>
              <w:t xml:space="preserve">≈</w:t>
            </w:r>
            <w:r>
              <w:rPr>
                <w:spacing w:val="-3"/>
              </w:rPr>
              <w:t xml:space="preserve"> </w:t>
            </w:r>
            <w:r>
              <w:t xml:space="preserve">1.6(SPT</w:t>
            </w:r>
            <w:r>
              <w:rPr>
                <w:spacing w:val="-3"/>
              </w:rPr>
              <w:t xml:space="preserve"> </w:t>
            </w:r>
            <w:r>
              <w:t xml:space="preserve">N)</w:t>
            </w:r>
            <w:r>
              <w:rPr>
                <w:spacing w:val="40"/>
              </w:rPr>
              <w:t xml:space="preserve">  </w:t>
            </w:r>
            <w:r>
              <w:t xml:space="preserve">for moderate strain</w:t>
            </w:r>
            <w:r>
              <w:rPr>
                <w:spacing w:val="-2"/>
              </w:rPr>
              <w:t xml:space="preserve"> levels</w:t>
            </w:r>
          </w:p>
        </w:tc>
        <w:tc>
          <w:tcPr>
            <w:tcW w:w="1676" w:type="dxa"/>
            <w:tcBorders>
              <w:bottom w:val="nil"/>
              <w:right w:val="nil"/>
            </w:tcBorders>
            <w:shd w:val="clear" w:color="auto" w:fill="F1F1F1"/>
          </w:tcPr>
          <w:p w:rsidR="00A154E5">
            <w:pPr>
              <w:pStyle w:val="TableParagraph"/>
              <w:spacing w:before="78"/>
              <w:ind w:left="1" w:right="5"/>
              <w:jc w:val="center"/>
            </w:pPr>
            <w:r>
              <w:t xml:space="preserve">Less</w:t>
            </w:r>
            <w:r>
              <w:rPr>
                <w:spacing w:val="-4"/>
              </w:rPr>
              <w:t xml:space="preserve"> </w:t>
            </w:r>
            <w:r>
              <w:rPr>
                <w:spacing w:val="-2"/>
              </w:rPr>
              <w:t xml:space="preserve">reliable</w:t>
            </w:r>
          </w:p>
        </w:tc>
      </w:tr>
    </w:tbl>
    <w:p w:rsidR="00A154E5">
      <w:pPr>
        <w:pStyle w:val="BodyText"/>
        <w:spacing w:before="169" w:line="266" w:lineRule="auto"/>
        <w:ind w:left="120"/>
      </w:pPr>
      <w:r>
        <w:t xml:space="preserve">The site-specific tests are highlighted in the chart in Appendix D (CPT2013 and SPT tests in BH2007). Design lines for constrained modulus have been suggested based on the data. The constrained moduli used for</w:t>
      </w:r>
    </w:p>
    <w:p w:rsidR="00A154E5">
      <w:pPr>
        <w:pStyle w:val="BodyText"/>
        <w:spacing w:line="266" w:lineRule="exact"/>
        <w:ind w:left="120"/>
      </w:pPr>
      <w:r>
        <w:t xml:space="preserve">settlement analysis are shown on Table 7 below.</w:t>
      </w:r>
    </w:p>
    <w:p w:rsidR="00A154E5">
      <w:pPr>
        <w:pStyle w:val="Heading4"/>
        <w:spacing w:before="146"/>
      </w:pPr>
      <w:r>
        <w:t xml:space="preserve">Table 7: Constrained soil moduli for settlement analysis</w:t>
      </w:r>
    </w:p>
    <w:p w:rsidR="00A154E5">
      <w:pPr>
        <w:pStyle w:val="BodyText"/>
        <w:spacing w:before="2"/>
        <w:rPr>
          <w:b/>
          <w:sz w:val="17"/>
        </w:rPr>
      </w:pPr>
    </w:p>
    <w:tbl>
      <w:tblPr>
        <w:tblStyle w:val="NormalTable"/>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
      <w:tblGrid>
        <w:gridCol w:w="3456"/>
        <w:gridCol w:w="6050"/>
      </w:tblGrid>
      <w:tr w14:paraId="392DF7E1" w14:textId="77777777">
        <w:tblPrEx>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Ex>
        <w:trPr>
          <w:trHeight w:val="495"/>
        </w:trPr>
        <w:tc>
          <w:tcPr>
            <w:tcW w:w="3456" w:type="dxa"/>
            <w:tcBorders>
              <w:top w:val="nil"/>
              <w:left w:val="nil"/>
              <w:right w:val="single" w:sz="36" w:space="0" w:color="FFFFFF"/>
            </w:tcBorders>
            <w:shd w:val="clear" w:color="auto" w:fill="48B757"/>
          </w:tcPr>
          <w:p w:rsidR="00A154E5">
            <w:pPr>
              <w:pStyle w:val="TableParagraph"/>
              <w:spacing w:before="78"/>
              <w:ind w:left="6" w:right="1"/>
              <w:jc w:val="center"/>
              <w:rPr>
                <w:b/>
              </w:rPr>
            </w:pPr>
            <w:r>
              <w:rPr>
                <w:b/>
                <w:color w:val="FFFFFF"/>
              </w:rPr>
              <w:t xml:space="preserve">DEPTH</w:t>
            </w:r>
            <w:r>
              <w:rPr>
                <w:b/>
                <w:color w:val="FFFFFF"/>
                <w:spacing w:val="-5"/>
              </w:rPr>
              <w:t xml:space="preserve"> </w:t>
            </w:r>
            <w:r>
              <w:rPr>
                <w:b/>
                <w:color w:val="FFFFFF"/>
              </w:rPr>
              <w:t xml:space="preserve">BELOW</w:t>
            </w:r>
            <w:r>
              <w:rPr>
                <w:b/>
                <w:color w:val="FFFFFF"/>
                <w:spacing w:val="-4"/>
              </w:rPr>
              <w:t xml:space="preserve"> </w:t>
            </w:r>
            <w:r>
              <w:rPr>
                <w:b/>
                <w:color w:val="FFFFFF"/>
                <w:spacing w:val="-2"/>
              </w:rPr>
              <w:t xml:space="preserve">GROUND</w:t>
            </w:r>
          </w:p>
        </w:tc>
        <w:tc>
          <w:tcPr>
            <w:tcW w:w="6050" w:type="dxa"/>
            <w:tcBorders>
              <w:top w:val="nil"/>
              <w:left w:val="single" w:sz="36" w:space="0" w:color="FFFFFF"/>
              <w:right w:val="nil"/>
            </w:tcBorders>
            <w:shd w:val="clear" w:color="auto" w:fill="48B757"/>
          </w:tcPr>
          <w:p w:rsidR="00A154E5">
            <w:pPr>
              <w:pStyle w:val="TableParagraph"/>
              <w:spacing w:before="78"/>
              <w:ind w:left="5" w:right="2"/>
              <w:jc w:val="center"/>
              <w:rPr>
                <w:b/>
              </w:rPr>
            </w:pPr>
            <w:r>
              <w:rPr>
                <w:b/>
                <w:color w:val="FFFFFF"/>
              </w:rPr>
              <w:t xml:space="preserve">CONSTRAINED</w:t>
            </w:r>
            <w:r>
              <w:rPr>
                <w:b/>
                <w:color w:val="FFFFFF"/>
                <w:spacing w:val="-9"/>
              </w:rPr>
              <w:t xml:space="preserve"> </w:t>
            </w:r>
            <w:r>
              <w:rPr>
                <w:b/>
                <w:color w:val="FFFFFF"/>
              </w:rPr>
              <w:t xml:space="preserve">MODULUS,</w:t>
            </w:r>
            <w:r>
              <w:rPr>
                <w:b/>
                <w:color w:val="FFFFFF"/>
                <w:spacing w:val="-6"/>
              </w:rPr>
              <w:t xml:space="preserve"> </w:t>
            </w:r>
            <w:r>
              <w:rPr>
                <w:b/>
                <w:color w:val="FFFFFF"/>
                <w:spacing w:val="-10"/>
              </w:rPr>
              <w:t xml:space="preserve">M</w:t>
            </w:r>
          </w:p>
        </w:tc>
      </w:tr>
      <w:tr w14:paraId="0E898E29" w14:textId="77777777">
        <w:tblPrEx>
          <w:tblW w:w="0" w:type="auto"/>
          <w:tblInd w:w="216" w:type="dxa"/>
          <w:tblLayout w:type="fixed"/>
          <w:tblCellMar>
            <w:left w:w="0" w:type="dxa"/>
            <w:right w:w="0" w:type="dxa"/>
          </w:tblCellMar>
          <w:tblLook w:val="01E0"/>
        </w:tblPrEx>
        <w:trPr>
          <w:trHeight w:val="540"/>
        </w:trPr>
        <w:tc>
          <w:tcPr>
            <w:tcW w:w="3456" w:type="dxa"/>
            <w:tcBorders>
              <w:left w:val="nil"/>
              <w:bottom w:val="single" w:sz="36" w:space="0" w:color="FFFFFF"/>
              <w:right w:val="single" w:sz="36" w:space="0" w:color="FFFFFF"/>
            </w:tcBorders>
            <w:shd w:val="clear" w:color="auto" w:fill="F1F1F1"/>
          </w:tcPr>
          <w:p w:rsidR="00A154E5">
            <w:pPr>
              <w:pStyle w:val="TableParagraph"/>
              <w:spacing w:before="123"/>
              <w:ind w:left="5" w:right="5"/>
              <w:jc w:val="center"/>
            </w:pPr>
            <w:r>
              <w:t xml:space="preserve">0</w:t>
            </w:r>
            <w:r>
              <w:rPr>
                <w:spacing w:val="2"/>
              </w:rPr>
              <w:t xml:space="preserve"> </w:t>
            </w:r>
            <w:r>
              <w:t xml:space="preserve">to 1</w:t>
            </w:r>
            <w:r>
              <w:rPr>
                <w:spacing w:val="1"/>
              </w:rPr>
              <w:t xml:space="preserve"> </w:t>
            </w:r>
            <w:r>
              <w:rPr>
                <w:spacing w:val="-10"/>
              </w:rPr>
              <w:t xml:space="preserve">m</w:t>
            </w:r>
          </w:p>
        </w:tc>
        <w:tc>
          <w:tcPr>
            <w:tcW w:w="6050" w:type="dxa"/>
            <w:tcBorders>
              <w:left w:val="single" w:sz="36" w:space="0" w:color="FFFFFF"/>
              <w:bottom w:val="single" w:sz="36" w:space="0" w:color="FFFFFF"/>
              <w:right w:val="nil"/>
            </w:tcBorders>
            <w:shd w:val="clear" w:color="auto" w:fill="F1F1F1"/>
          </w:tcPr>
          <w:p w:rsidR="00A154E5">
            <w:pPr>
              <w:pStyle w:val="TableParagraph"/>
              <w:spacing w:before="123"/>
              <w:ind w:left="5"/>
              <w:jc w:val="center"/>
            </w:pPr>
            <w:r>
              <w:t xml:space="preserve">10</w:t>
            </w:r>
            <w:r>
              <w:rPr>
                <w:spacing w:val="2"/>
              </w:rPr>
              <w:t xml:space="preserve"> </w:t>
            </w:r>
            <w:r>
              <w:t xml:space="preserve">to</w:t>
            </w:r>
            <w:r>
              <w:rPr>
                <w:spacing w:val="3"/>
              </w:rPr>
              <w:t xml:space="preserve"> </w:t>
            </w:r>
            <w:r>
              <w:t xml:space="preserve">30</w:t>
            </w:r>
            <w:r>
              <w:rPr>
                <w:spacing w:val="3"/>
              </w:rPr>
              <w:t xml:space="preserve"> </w:t>
            </w:r>
            <w:r>
              <w:rPr>
                <w:spacing w:val="-4"/>
              </w:rPr>
              <w:t xml:space="preserve">MPa</w:t>
            </w:r>
            <w:r>
              <w:rPr>
                <w:spacing w:val="-4"/>
                <w:vertAlign w:val="superscript"/>
              </w:rPr>
              <w:t xml:space="preserve">1</w:t>
            </w:r>
          </w:p>
        </w:tc>
      </w:tr>
      <w:tr w14:paraId="3F92C51B" w14:textId="77777777">
        <w:tblPrEx>
          <w:tblW w:w="0" w:type="auto"/>
          <w:tblInd w:w="216" w:type="dxa"/>
          <w:tblLayout w:type="fixed"/>
          <w:tblCellMar>
            <w:left w:w="0" w:type="dxa"/>
            <w:right w:w="0" w:type="dxa"/>
          </w:tblCellMar>
          <w:tblLook w:val="01E0"/>
        </w:tblPrEx>
        <w:trPr>
          <w:trHeight w:val="495"/>
        </w:trPr>
        <w:tc>
          <w:tcPr>
            <w:tcW w:w="3456" w:type="dxa"/>
            <w:tcBorders>
              <w:top w:val="single" w:sz="36" w:space="0" w:color="FFFFFF"/>
              <w:left w:val="nil"/>
              <w:bottom w:val="single" w:sz="36" w:space="0" w:color="FFFFFF"/>
              <w:right w:val="single" w:sz="36" w:space="0" w:color="FFFFFF"/>
            </w:tcBorders>
            <w:shd w:val="clear" w:color="auto" w:fill="F1F1F1"/>
          </w:tcPr>
          <w:p w:rsidR="00A154E5">
            <w:pPr>
              <w:pStyle w:val="TableParagraph"/>
              <w:spacing w:before="78"/>
              <w:ind w:left="5" w:right="6"/>
              <w:jc w:val="center"/>
            </w:pPr>
            <w:r>
              <w:t xml:space="preserve">1</w:t>
            </w:r>
            <w:r>
              <w:rPr>
                <w:spacing w:val="-1"/>
              </w:rPr>
              <w:t xml:space="preserve"> </w:t>
            </w:r>
            <w:r>
              <w:t xml:space="preserve">to</w:t>
            </w:r>
            <w:r>
              <w:rPr>
                <w:spacing w:val="1"/>
              </w:rPr>
              <w:t xml:space="preserve"> </w:t>
            </w:r>
            <w:r>
              <w:t xml:space="preserve">4</w:t>
            </w:r>
            <w:r>
              <w:rPr>
                <w:spacing w:val="-1"/>
              </w:rPr>
              <w:t xml:space="preserve"> </w:t>
            </w:r>
            <w:r>
              <w:rPr>
                <w:spacing w:val="-10"/>
              </w:rPr>
              <w:t xml:space="preserve">m</w:t>
            </w:r>
          </w:p>
        </w:tc>
        <w:tc>
          <w:tcPr>
            <w:tcW w:w="6050" w:type="dxa"/>
            <w:tcBorders>
              <w:top w:val="single" w:sz="36" w:space="0" w:color="FFFFFF"/>
              <w:left w:val="single" w:sz="36" w:space="0" w:color="FFFFFF"/>
              <w:bottom w:val="single" w:sz="36" w:space="0" w:color="FFFFFF"/>
              <w:right w:val="nil"/>
            </w:tcBorders>
            <w:shd w:val="clear" w:color="auto" w:fill="F1F1F1"/>
          </w:tcPr>
          <w:p w:rsidR="00A154E5">
            <w:pPr>
              <w:pStyle w:val="TableParagraph"/>
              <w:spacing w:before="78"/>
              <w:ind w:left="5" w:right="4"/>
              <w:jc w:val="center"/>
            </w:pPr>
            <w:r>
              <w:t xml:space="preserve">2 to 18</w:t>
            </w:r>
            <w:r>
              <w:rPr>
                <w:spacing w:val="-2"/>
              </w:rPr>
              <w:t xml:space="preserve"> </w:t>
            </w:r>
            <w:r>
              <w:rPr>
                <w:spacing w:val="-4"/>
              </w:rPr>
              <w:t xml:space="preserve">MPa</w:t>
            </w:r>
            <w:r>
              <w:rPr>
                <w:spacing w:val="-4"/>
                <w:vertAlign w:val="superscript"/>
              </w:rPr>
              <w:t xml:space="preserve">1</w:t>
            </w:r>
          </w:p>
        </w:tc>
      </w:tr>
      <w:tr w14:paraId="27ED78B0" w14:textId="77777777">
        <w:tblPrEx>
          <w:tblW w:w="0" w:type="auto"/>
          <w:tblInd w:w="216" w:type="dxa"/>
          <w:tblLayout w:type="fixed"/>
          <w:tblCellMar>
            <w:left w:w="0" w:type="dxa"/>
            <w:right w:w="0" w:type="dxa"/>
          </w:tblCellMar>
          <w:tblLook w:val="01E0"/>
        </w:tblPrEx>
        <w:trPr>
          <w:trHeight w:val="493"/>
        </w:trPr>
        <w:tc>
          <w:tcPr>
            <w:tcW w:w="3456" w:type="dxa"/>
            <w:tcBorders>
              <w:top w:val="single" w:sz="36" w:space="0" w:color="FFFFFF"/>
              <w:left w:val="nil"/>
              <w:bottom w:val="nil"/>
              <w:right w:val="single" w:sz="36" w:space="0" w:color="FFFFFF"/>
            </w:tcBorders>
            <w:shd w:val="clear" w:color="auto" w:fill="F1F1F1"/>
          </w:tcPr>
          <w:p w:rsidR="00A154E5">
            <w:pPr>
              <w:pStyle w:val="TableParagraph"/>
              <w:spacing w:before="78"/>
              <w:ind w:left="5" w:right="2"/>
              <w:jc w:val="center"/>
            </w:pPr>
            <w:r>
              <w:t xml:space="preserve">&gt;4</w:t>
            </w:r>
            <w:r>
              <w:rPr>
                <w:spacing w:val="-5"/>
              </w:rPr>
              <w:t xml:space="preserve"> </w:t>
            </w:r>
            <w:r>
              <w:rPr>
                <w:spacing w:val="-10"/>
              </w:rPr>
              <w:t xml:space="preserve">m</w:t>
            </w:r>
          </w:p>
        </w:tc>
        <w:tc>
          <w:tcPr>
            <w:tcW w:w="6050" w:type="dxa"/>
            <w:tcBorders>
              <w:top w:val="single" w:sz="36" w:space="0" w:color="FFFFFF"/>
              <w:left w:val="single" w:sz="36" w:space="0" w:color="FFFFFF"/>
              <w:bottom w:val="nil"/>
              <w:right w:val="nil"/>
            </w:tcBorders>
            <w:shd w:val="clear" w:color="auto" w:fill="F1F1F1"/>
          </w:tcPr>
          <w:p w:rsidR="00A154E5">
            <w:pPr>
              <w:pStyle w:val="TableParagraph"/>
              <w:spacing w:before="78"/>
              <w:ind w:left="5" w:right="4"/>
              <w:jc w:val="center"/>
            </w:pPr>
            <w:r>
              <w:t xml:space="preserve">14</w:t>
            </w:r>
            <w:r>
              <w:rPr>
                <w:spacing w:val="-1"/>
              </w:rPr>
              <w:t xml:space="preserve"> </w:t>
            </w:r>
            <w:r>
              <w:t xml:space="preserve">to</w:t>
            </w:r>
            <w:r>
              <w:rPr>
                <w:spacing w:val="1"/>
              </w:rPr>
              <w:t xml:space="preserve"> </w:t>
            </w:r>
            <w:r>
              <w:t xml:space="preserve">50</w:t>
            </w:r>
            <w:r>
              <w:rPr>
                <w:spacing w:val="1"/>
              </w:rPr>
              <w:t xml:space="preserve"> </w:t>
            </w:r>
            <w:r>
              <w:rPr>
                <w:spacing w:val="-4"/>
              </w:rPr>
              <w:t xml:space="preserve">MPa</w:t>
            </w:r>
            <w:r>
              <w:rPr>
                <w:spacing w:val="-4"/>
                <w:vertAlign w:val="superscript"/>
              </w:rPr>
              <w:t xml:space="preserve">1</w:t>
            </w:r>
          </w:p>
        </w:tc>
      </w:tr>
    </w:tbl>
    <w:p w:rsidR="00A154E5">
      <w:pPr>
        <w:spacing w:before="175" w:line="264" w:lineRule="auto"/>
        <w:ind w:left="120" w:right="182"/>
        <w:rPr>
          <w:i/>
          <w:sz w:val="18"/>
        </w:rPr>
      </w:pPr>
      <w:r>
        <w:t xml:space="preserve">NOTE 1: This is a simplification – refer to the investigation location plan in Appendix A for investigation locations, individual borehole logs and CPTs in Appendix B, and the chart of constrained modulus in Appendix D for more details.</w:t>
      </w:r>
    </w:p>
    <w:p w:rsidR="00A154E5">
      <w:pPr>
        <w:pStyle w:val="BodyText"/>
        <w:spacing w:before="119" w:line="264" w:lineRule="auto"/>
        <w:ind w:left="120"/>
      </w:pPr>
      <w:r>
        <w:t xml:space="preserve">The preliminary analysis indicates that the thickness of the crust and the overall loadings are key factors in whether building settlements are likely to be within normally accepted tolerances (i.e. less than 25 mm total settlement for pad/strip foundations with differential settlements limited to 1:400).</w:t>
      </w:r>
    </w:p>
    <w:p w:rsidR="00A154E5">
      <w:pPr>
        <w:pStyle w:val="BodyText"/>
        <w:spacing w:before="120"/>
        <w:ind w:left="120"/>
      </w:pPr>
      <w:r>
        <w:t xml:space="preserve">Where buildings are limited to 1-2 storeys (i.e. with serviceability limit state loads of up to 20 psi) on</w:t>
      </w:r>
    </w:p>
    <w:p w:rsidR="00A154E5">
      <w:pPr>
        <w:pStyle w:val="BodyText"/>
        <w:ind w:left="120" w:right="146"/>
      </w:pPr>
      <w:r>
        <w:t xml:space="preserve">shallow footings with a crust thickness in excess of 1m below the underside of the footings, the settlements are likely to be within normally acceptable tolerances. For buildings of 3 or more storeys or where the crust is thin, settlements could exceed normally acceptable tolerances. Use of lightweight building materials (particularly roof and wall cladding) can provide significant benefits to the overall building cost if foundation performance is an issue.</w:t>
      </w:r>
    </w:p>
    <w:p w:rsidR="00A154E5">
      <w:pPr>
        <w:pStyle w:val="BodyText"/>
        <w:spacing w:before="268"/>
        <w:ind w:left="120"/>
      </w:pPr>
      <w:r>
        <w:t xml:space="preserve">For structures of greater than 20m length constructed on variable ground we recommend construction</w:t>
      </w:r>
    </w:p>
    <w:p w:rsidR="00A154E5">
      <w:pPr>
        <w:pStyle w:val="BodyText"/>
        <w:ind w:left="120"/>
      </w:pPr>
      <w:r>
        <w:t xml:space="preserve">joints should be used to </w:t>
      </w:r>
      <w:commentRangeStart w:id="23"/>
      <w:r>
        <w:t xml:space="preserve">ftitigate</w:t>
      </w:r>
      <w:commentRangeEnd w:id="23"/>
      <w:r>
        <w:commentReference w:id="23"/>
      </w:r>
      <w:r>
        <w:t xml:space="preserve"> the effects of differential foundation settlement. For example, movement joints between adjoining terrace houses may be necessary to mitigate against differential settlement risks.</w:t>
      </w:r>
    </w:p>
    <w:p w:rsidR="00A154E5">
      <w:pPr>
        <w:pStyle w:val="BodyText"/>
        <w:spacing w:before="1"/>
      </w:pPr>
    </w:p>
    <w:p w:rsidR="00A154E5">
      <w:pPr>
        <w:pStyle w:val="BodyText"/>
        <w:ind w:left="120"/>
      </w:pPr>
      <w:r>
        <w:t xml:space="preserve">If engineered fill thicker than 0.5 m is placed within or near the building footprint after completion of subdivision works, then the building designer should specifically assess the effect this may have on</w:t>
      </w:r>
    </w:p>
    <w:p w:rsidR="00A154E5">
      <w:pPr>
        <w:pStyle w:val="BodyText"/>
        <w:spacing w:before="3" w:line="237" w:lineRule="auto"/>
        <w:ind w:left="120"/>
      </w:pPr>
      <w:r>
        <w:t xml:space="preserve">foundation performance. Buildings spanning cut to fill boundaries should also be subject to specific design, including assessment of the time it will take for consolidation settlements to reduce to acceptable levels.</w:t>
      </w:r>
    </w:p>
    <w:p w:rsidR="00A154E5">
      <w:pPr>
        <w:spacing w:line="237" w:lineRule="auto"/>
        <w:sectPr>
          <w:pgSz w:w="11910" w:h="16840" w:orient="portrait"/>
          <w:pgMar w:top="1380" w:right="960" w:bottom="1140" w:left="960" w:header="0" w:footer="953" w:gutter="0"/>
          <w:cols w:num="1" w:space="720">
            <w:col w:w="9990" w:space="720"/>
          </w:cols>
        </w:sectPr>
      </w:pPr>
    </w:p>
    <w:p w:rsidR="00A154E5">
      <w:pPr>
        <w:pStyle w:val="ListParagraph"/>
        <w:numPr>
          <w:ilvl w:val="2"/>
          <w:numId w:val="13"/>
        </w:numPr>
        <w:tabs>
          <w:tab w:val="left" w:pos="1200"/>
        </w:tabs>
        <w:spacing w:before="21"/>
        <w:ind w:hanging="1080"/>
        <w:rPr>
          <w:b/>
          <w:sz w:val="24"/>
        </w:rPr>
      </w:pPr>
      <w:r>
        <w:t xml:space="preserve">Expansive soils</w:t>
      </w:r>
    </w:p>
    <w:p w:rsidR="00A154E5">
      <w:pPr>
        <w:pStyle w:val="BodyText"/>
        <w:spacing w:before="52"/>
        <w:rPr>
          <w:b/>
          <w:sz w:val="24"/>
        </w:rPr>
      </w:pPr>
    </w:p>
    <w:p w:rsidR="00A154E5">
      <w:pPr>
        <w:pStyle w:val="ListParagraph"/>
        <w:numPr>
          <w:ilvl w:val="3"/>
          <w:numId w:val="13"/>
        </w:numPr>
        <w:tabs>
          <w:tab w:val="left" w:pos="1197"/>
        </w:tabs>
        <w:spacing w:before="1"/>
        <w:ind w:left="1197" w:hanging="1077"/>
        <w:rPr>
          <w:b/>
          <w:sz w:val="24"/>
        </w:rPr>
      </w:pPr>
      <w:r>
        <w:t xml:space="preserve">General</w:t>
      </w:r>
    </w:p>
    <w:p w:rsidR="00A154E5">
      <w:pPr>
        <w:pStyle w:val="BodyText"/>
        <w:spacing w:before="54"/>
        <w:rPr>
          <w:b/>
          <w:sz w:val="24"/>
        </w:rPr>
      </w:pPr>
    </w:p>
    <w:p w:rsidR="00A154E5">
      <w:pPr>
        <w:pStyle w:val="BodyText"/>
        <w:ind w:left="120"/>
      </w:pPr>
      <w:r>
        <w:t xml:space="preserve">Expansive soils (or “</w:t>
      </w:r>
      <w:commentRangeStart w:id="24"/>
      <w:r>
        <w:t xml:space="preserve">reactive soils</w:t>
      </w:r>
      <w:commentRangeEnd w:id="24"/>
      <w:r>
        <w:commentReference w:id="24"/>
      </w:r>
      <w:r>
        <w:t xml:space="preserve">” using Australian terminology) are clay soils that undergo appreciable</w:t>
      </w:r>
    </w:p>
    <w:p w:rsidR="00A154E5">
      <w:pPr>
        <w:pStyle w:val="BodyText"/>
        <w:spacing w:before="27" w:line="264" w:lineRule="auto"/>
        <w:ind w:left="120" w:right="133"/>
      </w:pPr>
      <w:r>
        <w:t xml:space="preserve">volume change upon changes in moisture content. The expansivity and the typical range of movement that could be expected from soils underlying any given building site depend on the amount of clay present, clay mineral type and proportion, depth and distribution of clay throughout the soil profile, and season variation in groundwater levels. Moisture changes tend to occur slowly in clays and produce swelling upon wetting and shrinkage upon drying.</w:t>
      </w:r>
    </w:p>
    <w:p w:rsidR="00A154E5">
      <w:pPr>
        <w:pStyle w:val="BodyText"/>
        <w:spacing w:before="119" w:line="264" w:lineRule="auto"/>
        <w:ind w:left="120"/>
      </w:pPr>
      <w:r>
        <w:t xml:space="preserve">Apart from seasonal moisture changes (wet winters / dry summers) other factors that can influence soil moisture content include:</w:t>
      </w:r>
    </w:p>
    <w:p w:rsidR="00A154E5">
      <w:pPr>
        <w:pStyle w:val="ListParagraph"/>
        <w:numPr>
          <w:ilvl w:val="0"/>
          <w:numId w:val="15"/>
        </w:numPr>
        <w:tabs>
          <w:tab w:val="left" w:pos="476"/>
        </w:tabs>
        <w:spacing w:before="120"/>
        <w:ind w:left="476" w:hanging="356"/>
      </w:pPr>
      <w:r>
        <w:t xml:space="preserve">Influence of garden watering and site drainage;</w:t>
      </w:r>
    </w:p>
    <w:p w:rsidR="00A154E5">
      <w:pPr>
        <w:pStyle w:val="ListParagraph"/>
        <w:numPr>
          <w:ilvl w:val="0"/>
          <w:numId w:val="15"/>
        </w:numPr>
        <w:tabs>
          <w:tab w:val="left" w:pos="477"/>
        </w:tabs>
        <w:spacing w:before="149"/>
        <w:ind w:left="477" w:hanging="357"/>
      </w:pPr>
      <w:r>
        <w:t xml:space="preserve">The presence of large trees close to building envelopes, and;</w:t>
      </w:r>
    </w:p>
    <w:p w:rsidR="00A154E5">
      <w:pPr>
        <w:pStyle w:val="ListParagraph"/>
        <w:numPr>
          <w:ilvl w:val="0"/>
          <w:numId w:val="15"/>
        </w:numPr>
        <w:tabs>
          <w:tab w:val="left" w:pos="477"/>
        </w:tabs>
        <w:spacing w:before="147"/>
        <w:ind w:left="477" w:hanging="357"/>
      </w:pPr>
      <w:r>
        <w:t xml:space="preserve">Initial soil moisture conditions at construction time;</w:t>
      </w:r>
    </w:p>
    <w:p w:rsidR="00A154E5">
      <w:pPr>
        <w:pStyle w:val="ListParagraph"/>
        <w:numPr>
          <w:ilvl w:val="0"/>
          <w:numId w:val="15"/>
        </w:numPr>
        <w:tabs>
          <w:tab w:val="left" w:pos="477"/>
        </w:tabs>
        <w:spacing w:before="146"/>
        <w:ind w:left="477" w:hanging="357"/>
      </w:pPr>
      <w:r>
        <w:t xml:space="preserve">Installation of sub-soil drains.</w:t>
      </w:r>
    </w:p>
    <w:p w:rsidR="00A154E5">
      <w:pPr>
        <w:pStyle w:val="BodyText"/>
        <w:spacing w:before="147"/>
        <w:ind w:left="120"/>
      </w:pPr>
      <w:r>
        <w:t xml:space="preserve">Visually, the surfaces of expansive soils are noted for developing extensive cracking during dry periods</w:t>
      </w:r>
    </w:p>
    <w:p w:rsidR="00A154E5">
      <w:pPr>
        <w:pStyle w:val="BodyText"/>
        <w:spacing w:before="27" w:line="264" w:lineRule="auto"/>
        <w:ind w:left="120"/>
      </w:pPr>
      <w:r>
        <w:t xml:space="preserve">(especially late summer through to autumn in Auckland) and can be locally identified by this feature when sites are excavated and left for a week or two to dry out.</w:t>
      </w:r>
    </w:p>
    <w:p w:rsidR="00A154E5">
      <w:pPr>
        <w:pStyle w:val="BodyText"/>
        <w:spacing w:before="48"/>
      </w:pPr>
    </w:p>
    <w:p w:rsidR="00A154E5">
      <w:pPr>
        <w:pStyle w:val="ListParagraph"/>
        <w:numPr>
          <w:ilvl w:val="3"/>
          <w:numId w:val="13"/>
        </w:numPr>
        <w:tabs>
          <w:tab w:val="left" w:pos="1197"/>
        </w:tabs>
        <w:ind w:left="1197" w:hanging="1077"/>
        <w:rPr>
          <w:b/>
          <w:sz w:val="24"/>
        </w:rPr>
      </w:pPr>
      <w:r>
        <w:t xml:space="preserve">Surface soil expansivity</w:t>
      </w:r>
    </w:p>
    <w:p w:rsidR="00A154E5">
      <w:pPr>
        <w:pStyle w:val="BodyText"/>
        <w:spacing w:before="52"/>
        <w:rPr>
          <w:b/>
          <w:sz w:val="24"/>
        </w:rPr>
      </w:pPr>
    </w:p>
    <w:p w:rsidR="00A154E5">
      <w:pPr>
        <w:pStyle w:val="BodyText"/>
        <w:spacing w:line="266" w:lineRule="auto"/>
        <w:ind w:left="120"/>
      </w:pPr>
      <w:r>
        <w:t xml:space="preserve">Near surface soil samples were taken for laboratory shrink-swell testing from HA2072 and HA2073 within Superlot ZX-001. The results were used to estimate the site soil expansivity class in terms of AS</w:t>
      </w:r>
    </w:p>
    <w:p w:rsidR="00A154E5">
      <w:pPr>
        <w:pStyle w:val="BodyText"/>
        <w:spacing w:line="264" w:lineRule="auto"/>
        <w:ind w:left="120"/>
      </w:pPr>
      <w:r>
        <w:t xml:space="preserve">2870:20113. This estimation is based on a 300-year return period in drought conditions. An assessment of expansivity based on the lab tests taken at this Superlot and nearby superlots indicates that the near</w:t>
      </w:r>
    </w:p>
    <w:p w:rsidR="00A154E5">
      <w:pPr>
        <w:pStyle w:val="BodyText"/>
        <w:spacing w:line="264" w:lineRule="auto"/>
        <w:ind w:left="120" w:right="5"/>
      </w:pPr>
      <w:r>
        <w:t xml:space="preserve">surface soils present at this site can be considered to lie within Site Class H2 (highly expansive). Accordingly, the near surface soils at the site lie outside the definition of ‘good ground’ as outlined in NZS 3604:2011.</w:t>
      </w:r>
    </w:p>
    <w:p w:rsidR="00A154E5">
      <w:pPr>
        <w:pStyle w:val="BodyText"/>
        <w:spacing w:before="44"/>
      </w:pPr>
    </w:p>
    <w:p w:rsidR="00A154E5">
      <w:pPr>
        <w:pStyle w:val="ListParagraph"/>
        <w:numPr>
          <w:ilvl w:val="3"/>
          <w:numId w:val="13"/>
        </w:numPr>
        <w:tabs>
          <w:tab w:val="left" w:pos="1197"/>
        </w:tabs>
        <w:spacing w:before="1"/>
        <w:ind w:left="1197" w:hanging="1077"/>
        <w:rPr>
          <w:b/>
          <w:sz w:val="24"/>
        </w:rPr>
      </w:pPr>
      <w:r>
        <w:t xml:space="preserve">Specific foundation design for expansive soils</w:t>
      </w:r>
    </w:p>
    <w:p w:rsidR="00A154E5">
      <w:pPr>
        <w:pStyle w:val="BodyText"/>
        <w:spacing w:before="52"/>
        <w:rPr>
          <w:b/>
          <w:sz w:val="24"/>
        </w:rPr>
      </w:pPr>
    </w:p>
    <w:p w:rsidR="00A154E5">
      <w:pPr>
        <w:pStyle w:val="BodyText"/>
        <w:spacing w:line="264" w:lineRule="auto"/>
        <w:ind w:left="120"/>
      </w:pPr>
      <w:r>
        <w:t xml:space="preserve">Building foundations for future buildings will be subject to specific foundation design by a Chartered Professional Engineer familiar with the contents of this report and responsible for design of structural elements (including foundations) of the building.</w:t>
      </w:r>
    </w:p>
    <w:p w:rsidR="00A154E5">
      <w:pPr>
        <w:pStyle w:val="BodyText"/>
        <w:spacing w:before="122" w:line="264" w:lineRule="auto"/>
        <w:ind w:left="120"/>
      </w:pPr>
      <w:r>
        <w:t xml:space="preserve">To mitigate against the effects of shrink-swell movement, we consider that the following shallow type foundations could be suitable for Class H2 site, as per Section 3 of AS 2870:2011:</w:t>
      </w:r>
    </w:p>
    <w:p w:rsidR="00A154E5">
      <w:pPr>
        <w:pStyle w:val="ListParagraph"/>
        <w:numPr>
          <w:ilvl w:val="4"/>
          <w:numId w:val="13"/>
        </w:numPr>
        <w:tabs>
          <w:tab w:val="left" w:pos="480"/>
        </w:tabs>
        <w:spacing w:before="120" w:line="264" w:lineRule="auto"/>
        <w:ind w:right="1114"/>
      </w:pPr>
      <w:r>
        <w:t xml:space="preserve">A stiffened raft design in accordance with Class H2, extending a minimum of 600mm into the underlying natural soils.</w:t>
      </w:r>
    </w:p>
    <w:p w:rsidR="00A154E5">
      <w:pPr>
        <w:pStyle w:val="ListParagraph"/>
        <w:numPr>
          <w:ilvl w:val="4"/>
          <w:numId w:val="13"/>
        </w:numPr>
        <w:tabs>
          <w:tab w:val="left" w:pos="480"/>
        </w:tabs>
        <w:spacing w:before="79"/>
        <w:ind w:hanging="360"/>
      </w:pPr>
      <w:r>
        <w:t xml:space="preserve">Waffle raft design in accordance with Class H2.</w:t>
      </w:r>
    </w:p>
    <w:p w:rsidR="00A154E5">
      <w:pPr>
        <w:pStyle w:val="BodyText"/>
        <w:rPr>
          <w:sz w:val="20"/>
        </w:rPr>
      </w:pPr>
    </w:p>
    <w:p w:rsidR="00A154E5">
      <w:pPr>
        <w:pStyle w:val="BodyText"/>
        <w:rPr>
          <w:sz w:val="20"/>
        </w:rPr>
      </w:pPr>
    </w:p>
    <w:p w:rsidR="00A154E5">
      <w:pPr>
        <w:pStyle w:val="BodyText"/>
        <w:spacing w:before="96"/>
        <w:rPr>
          <w:sz w:val="20"/>
        </w:rPr>
      </w:pPr>
    </w:p>
    <w:p w:rsidR="00A154E5">
      <w:pPr>
        <w:spacing w:before="104"/>
        <w:ind w:left="120"/>
        <w:rPr>
          <w:sz w:val="18"/>
        </w:rPr>
      </w:pPr>
      <w:r>
        <w:t xml:space="preserve">3 Standards Australia, 2011. AS 2870:2011 Residential slabs and footings.</w:t>
      </w:r>
    </w:p>
    <w:p w:rsidR="00A154E5">
      <w:pPr>
        <w:rPr>
          <w:sz w:val="18"/>
        </w:rPr>
        <w:sectPr>
          <w:pgSz w:w="11910" w:h="16840" w:orient="portrait"/>
          <w:pgMar w:top="1400" w:right="960" w:bottom="1140" w:left="960" w:header="0" w:footer="953" w:gutter="0"/>
          <w:cols w:num="1" w:space="720">
            <w:col w:w="9990" w:space="720"/>
          </w:cols>
        </w:sectPr>
      </w:pPr>
    </w:p>
    <w:p w:rsidR="00A154E5">
      <w:pPr>
        <w:pStyle w:val="ListParagraph"/>
        <w:numPr>
          <w:ilvl w:val="4"/>
          <w:numId w:val="13"/>
        </w:numPr>
        <w:tabs>
          <w:tab w:val="left" w:pos="480"/>
        </w:tabs>
        <w:spacing w:before="61" w:line="264" w:lineRule="auto"/>
        <w:ind w:right="145"/>
      </w:pPr>
      <w:r>
        <w:t xml:space="preserve">A suspended floor system – this option will allow the ground to heave in the void beneath the floor. The foundation depth of the shallow foundations should be in accordance with AS 2870:2011. In addition,</w:t>
      </w:r>
    </w:p>
    <w:p w:rsidR="00A154E5">
      <w:pPr>
        <w:pStyle w:val="BodyText"/>
        <w:spacing w:line="264" w:lineRule="auto"/>
        <w:ind w:left="480" w:right="210"/>
      </w:pPr>
      <w:r>
        <w:t xml:space="preserve">the gap between the ground and the slab should at least be greater than the surface movement (ys), which for this site is calculated to be approximately 60 to 75mm.</w:t>
      </w:r>
    </w:p>
    <w:p w:rsidR="00A154E5">
      <w:pPr>
        <w:pStyle w:val="BodyText"/>
        <w:spacing w:before="47"/>
      </w:pPr>
    </w:p>
    <w:p w:rsidR="00A154E5">
      <w:pPr>
        <w:pStyle w:val="ListParagraph"/>
        <w:numPr>
          <w:ilvl w:val="3"/>
          <w:numId w:val="13"/>
        </w:numPr>
        <w:tabs>
          <w:tab w:val="left" w:pos="1197"/>
        </w:tabs>
        <w:spacing w:before="1"/>
        <w:ind w:left="1197" w:hanging="1077"/>
        <w:rPr>
          <w:b/>
          <w:sz w:val="24"/>
        </w:rPr>
      </w:pPr>
      <w:r>
        <w:t xml:space="preserve">Trees and shrubs near proposed buildings</w:t>
      </w:r>
    </w:p>
    <w:p w:rsidR="00A154E5">
      <w:pPr>
        <w:pStyle w:val="BodyText"/>
        <w:spacing w:before="54"/>
        <w:rPr>
          <w:b/>
          <w:sz w:val="24"/>
        </w:rPr>
      </w:pPr>
    </w:p>
    <w:p w:rsidR="00A154E5">
      <w:pPr>
        <w:pStyle w:val="BodyText"/>
        <w:spacing w:line="264" w:lineRule="auto"/>
        <w:ind w:left="120"/>
      </w:pPr>
      <w:r>
        <w:t xml:space="preserve">It should be noted that a wide range of tree and shrub species have high groundwater demands during the summer months. The effects of such demands on expansive soils can be substantial and can lead to</w:t>
      </w:r>
    </w:p>
    <w:p w:rsidR="00A154E5">
      <w:pPr>
        <w:pStyle w:val="BodyText"/>
        <w:spacing w:line="264" w:lineRule="auto"/>
        <w:ind w:left="120" w:right="144"/>
      </w:pPr>
      <w:r>
        <w:t xml:space="preserve">differential building settlements well in excess of 25mm, with resulting cracking in wall panels and floor slabs.</w:t>
      </w:r>
    </w:p>
    <w:p w:rsidR="00A154E5">
      <w:pPr>
        <w:pStyle w:val="BodyText"/>
        <w:spacing w:before="119" w:line="264" w:lineRule="auto"/>
        <w:ind w:left="120" w:right="144"/>
      </w:pPr>
      <w:r>
        <w:t xml:space="preserve">Accordingly, it is a recommended that high water demand species (such as gum, willow, cypress etc.) are not planted in the vicinity of buildings. Minimum recommended distances vary with tree species and size, and specialist advice should be obtained.</w:t>
      </w:r>
    </w:p>
    <w:p w:rsidR="00A154E5">
      <w:pPr>
        <w:pStyle w:val="BodyText"/>
        <w:spacing w:before="49"/>
      </w:pPr>
    </w:p>
    <w:p w:rsidR="00A154E5">
      <w:pPr>
        <w:pStyle w:val="ListParagraph"/>
        <w:numPr>
          <w:ilvl w:val="3"/>
          <w:numId w:val="13"/>
        </w:numPr>
        <w:tabs>
          <w:tab w:val="left" w:pos="1197"/>
        </w:tabs>
        <w:ind w:left="1197" w:hanging="1077"/>
        <w:rPr>
          <w:b/>
          <w:sz w:val="24"/>
        </w:rPr>
      </w:pPr>
      <w:r>
        <w:t xml:space="preserve">Trees and shrubs removed during site preparation</w:t>
      </w:r>
    </w:p>
    <w:p w:rsidR="00A154E5">
      <w:pPr>
        <w:pStyle w:val="BodyText"/>
        <w:spacing w:before="54"/>
        <w:rPr>
          <w:b/>
          <w:sz w:val="24"/>
        </w:rPr>
      </w:pPr>
    </w:p>
    <w:p w:rsidR="00A154E5">
      <w:pPr>
        <w:pStyle w:val="BodyText"/>
        <w:spacing w:before="1" w:line="264" w:lineRule="auto"/>
        <w:ind w:left="120" w:right="351"/>
      </w:pPr>
      <w:r>
        <w:t xml:space="preserve">Soil moisture changes can continue for many years after trees are removed. The designer should refer to the SolidEarth demolition drawings4 to check if any trees have been removed. Where trees have been</w:t>
      </w:r>
    </w:p>
    <w:p w:rsidR="00A154E5">
      <w:pPr>
        <w:pStyle w:val="BodyText"/>
        <w:spacing w:line="264" w:lineRule="auto"/>
        <w:ind w:left="120" w:right="210"/>
      </w:pPr>
      <w:r>
        <w:t xml:space="preserve">removed, further geotechnical investigations may be required at detailed design stage to determine whether specific design is required for the future buildings.</w:t>
      </w: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spacing w:before="81"/>
        <w:rPr>
          <w:sz w:val="20"/>
        </w:rPr>
      </w:pPr>
    </w:p>
    <w:p w:rsidR="00A154E5">
      <w:pPr>
        <w:spacing w:before="104"/>
        <w:ind w:left="120" w:right="210"/>
        <w:rPr>
          <w:sz w:val="18"/>
        </w:rPr>
      </w:pPr>
      <w:r>
        <w:t xml:space="preserve">4 SolidEarth (16.04.19) Drawings for HLC. Phase 2 &amp; 3 Evergreen West Development. Demolition control Plan. DWG No. 006-02_03- 221 to 005-02_03-231.</w:t>
      </w:r>
    </w:p>
    <w:p w:rsidR="00A154E5">
      <w:pPr>
        <w:rPr>
          <w:sz w:val="18"/>
        </w:rPr>
        <w:sectPr>
          <w:pgSz w:w="11910" w:h="16840" w:orient="portrait"/>
          <w:pgMar w:top="1360" w:right="960" w:bottom="1140" w:left="960" w:header="0" w:footer="953" w:gutter="0"/>
          <w:cols w:num="1" w:space="720">
            <w:col w:w="9990" w:space="720"/>
          </w:cols>
        </w:sectPr>
      </w:pPr>
    </w:p>
    <w:p w:rsidR="00A154E5">
      <w:pPr>
        <w:pStyle w:val="ListParagraph"/>
        <w:numPr>
          <w:ilvl w:val="2"/>
          <w:numId w:val="13"/>
        </w:numPr>
        <w:tabs>
          <w:tab w:val="left" w:pos="1200"/>
        </w:tabs>
        <w:spacing w:before="21"/>
        <w:ind w:hanging="1080"/>
        <w:rPr>
          <w:b/>
          <w:sz w:val="24"/>
        </w:rPr>
      </w:pPr>
      <w:r>
        <w:t xml:space="preserve">Geotechnical hazards as defined by NZS 3604 ‘Good ground’</w:t>
      </w:r>
    </w:p>
    <w:p w:rsidR="00A154E5">
      <w:pPr>
        <w:pStyle w:val="BodyText"/>
        <w:spacing w:before="52"/>
        <w:rPr>
          <w:b/>
          <w:sz w:val="24"/>
        </w:rPr>
      </w:pPr>
    </w:p>
    <w:p w:rsidR="00A154E5">
      <w:pPr>
        <w:pStyle w:val="BodyText"/>
        <w:spacing w:line="264" w:lineRule="auto"/>
        <w:ind w:left="120" w:right="144"/>
      </w:pPr>
      <w:r>
        <w:t xml:space="preserve">Table 8 below summarises the site subsoil with respect to the definition of ‘good ground’ as defined by NZS 3604: 2011.</w:t>
      </w:r>
    </w:p>
    <w:p w:rsidR="00A154E5">
      <w:pPr>
        <w:pStyle w:val="Heading4"/>
        <w:spacing w:before="122"/>
      </w:pPr>
      <w:r>
        <w:t xml:space="preserve">Table 8: ‘Good ground’ assessment</w:t>
      </w:r>
    </w:p>
    <w:p w:rsidR="00A154E5">
      <w:pPr>
        <w:pStyle w:val="BodyText"/>
        <w:rPr>
          <w:b/>
          <w:sz w:val="17"/>
        </w:rPr>
      </w:pPr>
    </w:p>
    <w:tbl>
      <w:tblPr>
        <w:tblStyle w:val="NormalTable"/>
        <w:tblW w:w="0" w:type="auto"/>
        <w:tblCellSpacing w:w="44" w:type="dxa"/>
        <w:tblInd w:w="260" w:type="dxa"/>
        <w:tblLayout w:type="fixed"/>
        <w:tblCellMar>
          <w:left w:w="0" w:type="dxa"/>
          <w:right w:w="0" w:type="dxa"/>
        </w:tblCellMar>
        <w:tblLook w:val="01E0"/>
      </w:tblPr>
      <w:tblGrid>
        <w:gridCol w:w="1795"/>
        <w:gridCol w:w="1996"/>
        <w:gridCol w:w="2084"/>
        <w:gridCol w:w="3519"/>
      </w:tblGrid>
      <w:tr w14:paraId="35A73B55" w14:textId="77777777">
        <w:tblPrEx>
          <w:tblW w:w="0" w:type="auto"/>
          <w:tblCellSpacing w:w="44" w:type="dxa"/>
          <w:tblInd w:w="260" w:type="dxa"/>
          <w:tblLayout w:type="fixed"/>
          <w:tblCellMar>
            <w:left w:w="0" w:type="dxa"/>
            <w:right w:w="0" w:type="dxa"/>
          </w:tblCellMar>
          <w:tblLook w:val="01E0"/>
        </w:tblPrEx>
        <w:trPr>
          <w:trHeight w:val="911"/>
          <w:tblCellSpacing w:w="44" w:type="dxa"/>
        </w:trPr>
        <w:tc>
          <w:tcPr>
            <w:tcW w:w="1795" w:type="dxa"/>
            <w:tcBorders>
              <w:top w:val="nil"/>
              <w:left w:val="nil"/>
            </w:tcBorders>
            <w:shd w:val="clear" w:color="auto" w:fill="48B757"/>
          </w:tcPr>
          <w:p w:rsidR="00A154E5">
            <w:pPr>
              <w:pStyle w:val="TableParagraph"/>
              <w:spacing w:before="81" w:line="264" w:lineRule="auto"/>
              <w:ind w:left="466" w:hanging="359"/>
              <w:rPr>
                <w:b/>
              </w:rPr>
            </w:pPr>
            <w:r>
              <w:rPr>
                <w:b/>
                <w:color w:val="FFFFFF"/>
                <w:spacing w:val="-2"/>
              </w:rPr>
              <w:t xml:space="preserve">GEOTECHNICAL HAZARD</w:t>
            </w:r>
          </w:p>
        </w:tc>
        <w:tc>
          <w:tcPr>
            <w:tcW w:w="4080" w:type="dxa"/>
            <w:gridSpan w:val="2"/>
            <w:tcBorders>
              <w:top w:val="nil"/>
            </w:tcBorders>
            <w:shd w:val="clear" w:color="auto" w:fill="48B757"/>
          </w:tcPr>
          <w:p w:rsidR="00A154E5">
            <w:pPr>
              <w:pStyle w:val="TableParagraph"/>
              <w:spacing w:before="81"/>
              <w:ind w:left="2"/>
              <w:jc w:val="center"/>
              <w:rPr>
                <w:b/>
              </w:rPr>
            </w:pPr>
            <w:r>
              <w:rPr>
                <w:b/>
                <w:color w:val="FFFFFF"/>
              </w:rPr>
              <w:t xml:space="preserve">NZS</w:t>
            </w:r>
            <w:r>
              <w:rPr>
                <w:b/>
                <w:color w:val="FFFFFF"/>
                <w:spacing w:val="-3"/>
              </w:rPr>
              <w:t xml:space="preserve"> </w:t>
            </w:r>
            <w:r>
              <w:rPr>
                <w:b/>
                <w:color w:val="FFFFFF"/>
                <w:spacing w:val="-4"/>
              </w:rPr>
              <w:t xml:space="preserve">3604</w:t>
            </w:r>
          </w:p>
          <w:p w:rsidR="00A154E5">
            <w:pPr>
              <w:pStyle w:val="TableParagraph"/>
              <w:tabs>
                <w:tab w:val="left" w:pos="1882"/>
              </w:tabs>
              <w:spacing w:before="146"/>
              <w:ind w:left="2"/>
              <w:jc w:val="center"/>
              <w:rPr>
                <w:b/>
              </w:rPr>
            </w:pPr>
            <w:r>
              <w:rPr>
                <w:b/>
                <w:color w:val="FFFFFF"/>
              </w:rPr>
              <w:t xml:space="preserve">GOOD</w:t>
            </w:r>
            <w:r>
              <w:rPr>
                <w:b/>
                <w:color w:val="FFFFFF"/>
                <w:spacing w:val="-3"/>
              </w:rPr>
              <w:t xml:space="preserve"> </w:t>
            </w:r>
            <w:r>
              <w:rPr>
                <w:b/>
                <w:color w:val="FFFFFF"/>
                <w:spacing w:val="-2"/>
              </w:rPr>
              <w:t xml:space="preserve">GROUND</w:t>
            </w:r>
            <w:r>
              <w:rPr>
                <w:b/>
                <w:color w:val="FFFFFF"/>
              </w:rPr>
              <w:tab/>
            </w:r>
            <w:r>
              <w:rPr>
                <w:b/>
                <w:color w:val="FFFFFF"/>
              </w:rPr>
              <w:t xml:space="preserve">NOT</w:t>
            </w:r>
            <w:r>
              <w:rPr>
                <w:b/>
                <w:color w:val="FFFFFF"/>
                <w:spacing w:val="-5"/>
              </w:rPr>
              <w:t xml:space="preserve"> </w:t>
            </w:r>
            <w:r>
              <w:rPr>
                <w:b/>
                <w:color w:val="FFFFFF"/>
              </w:rPr>
              <w:t xml:space="preserve">GOOD</w:t>
            </w:r>
            <w:r>
              <w:rPr>
                <w:b/>
                <w:color w:val="FFFFFF"/>
                <w:spacing w:val="-3"/>
              </w:rPr>
              <w:t xml:space="preserve"> </w:t>
            </w:r>
            <w:r>
              <w:rPr>
                <w:b/>
                <w:color w:val="FFFFFF"/>
                <w:spacing w:val="-2"/>
              </w:rPr>
              <w:t xml:space="preserve">GROUND</w:t>
            </w:r>
          </w:p>
        </w:tc>
        <w:tc>
          <w:tcPr>
            <w:tcW w:w="3519" w:type="dxa"/>
            <w:tcBorders>
              <w:top w:val="nil"/>
              <w:right w:val="nil"/>
            </w:tcBorders>
            <w:shd w:val="clear" w:color="auto" w:fill="48B757"/>
          </w:tcPr>
          <w:p w:rsidR="00A154E5">
            <w:pPr>
              <w:pStyle w:val="TableParagraph"/>
              <w:spacing w:before="81"/>
              <w:ind w:left="1163"/>
              <w:rPr>
                <w:b/>
              </w:rPr>
            </w:pPr>
            <w:r>
              <w:rPr>
                <w:b/>
                <w:color w:val="FFFFFF"/>
                <w:spacing w:val="-2"/>
              </w:rPr>
              <w:t xml:space="preserve">COMMENTS</w:t>
            </w:r>
          </w:p>
        </w:tc>
      </w:tr>
      <w:tr w14:paraId="7CBD159D" w14:textId="77777777">
        <w:tblPrEx>
          <w:tblW w:w="0" w:type="auto"/>
          <w:tblCellSpacing w:w="44" w:type="dxa"/>
          <w:tblInd w:w="260" w:type="dxa"/>
          <w:tblLayout w:type="fixed"/>
          <w:tblCellMar>
            <w:left w:w="0" w:type="dxa"/>
            <w:right w:w="0" w:type="dxa"/>
          </w:tblCellMar>
          <w:tblLook w:val="01E0"/>
        </w:tblPrEx>
        <w:trPr>
          <w:trHeight w:val="570"/>
          <w:tblCellSpacing w:w="44" w:type="dxa"/>
        </w:trPr>
        <w:tc>
          <w:tcPr>
            <w:tcW w:w="1795" w:type="dxa"/>
            <w:tcBorders>
              <w:left w:val="nil"/>
            </w:tcBorders>
            <w:shd w:val="clear" w:color="auto" w:fill="F1F1F1"/>
          </w:tcPr>
          <w:p w:rsidR="00A154E5">
            <w:pPr>
              <w:pStyle w:val="TableParagraph"/>
              <w:spacing w:before="41"/>
              <w:ind w:left="64"/>
              <w:rPr>
                <w:rFonts w:ascii="Calibri"/>
                <w:sz w:val="20"/>
              </w:rPr>
            </w:pPr>
            <w:r>
              <w:rPr>
                <w:rFonts w:ascii="Calibri"/>
                <w:spacing w:val="-2"/>
                <w:sz w:val="20"/>
              </w:rPr>
              <w:t xml:space="preserve">Settlement</w:t>
            </w:r>
          </w:p>
        </w:tc>
        <w:tc>
          <w:tcPr>
            <w:tcW w:w="1996" w:type="dxa"/>
            <w:shd w:val="clear" w:color="auto" w:fill="F1F1F1"/>
          </w:tcPr>
          <w:p w:rsidR="00A154E5">
            <w:pPr>
              <w:pStyle w:val="TableParagraph"/>
              <w:rPr>
                <w:rFonts w:ascii="Times New Roman"/>
                <w:sz w:val="20"/>
              </w:rPr>
            </w:pPr>
          </w:p>
        </w:tc>
        <w:tc>
          <w:tcPr>
            <w:tcW w:w="1995" w:type="dxa"/>
            <w:shd w:val="clear" w:color="auto" w:fill="F1F1F1"/>
          </w:tcPr>
          <w:p w:rsidR="00A154E5">
            <w:pPr>
              <w:pStyle w:val="TableParagraph"/>
              <w:spacing w:before="40"/>
              <w:ind w:left="1"/>
              <w:jc w:val="center"/>
              <w:rPr>
                <w:rFonts w:ascii="Segoe UI Emoji" w:hAnsi="Segoe UI Emoji"/>
                <w:sz w:val="20"/>
              </w:rPr>
            </w:pPr>
            <w:r>
              <w:rPr>
                <w:rFonts w:ascii="Segoe UI Emoji" w:hAnsi="Segoe UI Emoji"/>
                <w:spacing w:val="-10"/>
                <w:sz w:val="20"/>
              </w:rPr>
              <w:t xml:space="preserve">✔</w:t>
            </w:r>
          </w:p>
        </w:tc>
        <w:tc>
          <w:tcPr>
            <w:tcW w:w="3519" w:type="dxa"/>
            <w:tcBorders>
              <w:right w:val="nil"/>
            </w:tcBorders>
            <w:shd w:val="clear" w:color="auto" w:fill="F1F1F1"/>
          </w:tcPr>
          <w:p w:rsidR="00A154E5">
            <w:pPr>
              <w:pStyle w:val="TableParagraph"/>
              <w:spacing w:before="41"/>
              <w:ind w:left="64"/>
              <w:rPr>
                <w:rFonts w:ascii="Calibri"/>
                <w:sz w:val="20"/>
              </w:rPr>
            </w:pPr>
            <w:r>
              <w:rPr>
                <w:rFonts w:ascii="Calibri"/>
                <w:sz w:val="20"/>
              </w:rPr>
              <w:t xml:space="preserve">Specific</w:t>
            </w:r>
            <w:r>
              <w:rPr>
                <w:rFonts w:ascii="Calibri"/>
                <w:spacing w:val="-10"/>
                <w:sz w:val="20"/>
              </w:rPr>
              <w:t xml:space="preserve"> </w:t>
            </w:r>
            <w:r>
              <w:rPr>
                <w:rFonts w:ascii="Calibri"/>
                <w:sz w:val="20"/>
              </w:rPr>
              <w:t xml:space="preserve">design</w:t>
            </w:r>
            <w:r>
              <w:rPr>
                <w:rFonts w:ascii="Calibri"/>
                <w:spacing w:val="-9"/>
                <w:sz w:val="20"/>
              </w:rPr>
              <w:t xml:space="preserve"> </w:t>
            </w:r>
            <w:r>
              <w:rPr>
                <w:rFonts w:ascii="Calibri"/>
                <w:sz w:val="20"/>
              </w:rPr>
              <w:t xml:space="preserve">required,</w:t>
            </w:r>
            <w:r>
              <w:rPr>
                <w:rFonts w:ascii="Calibri"/>
                <w:spacing w:val="-9"/>
                <w:sz w:val="20"/>
              </w:rPr>
              <w:t xml:space="preserve"> </w:t>
            </w:r>
            <w:r>
              <w:rPr>
                <w:rFonts w:ascii="Calibri"/>
                <w:sz w:val="20"/>
              </w:rPr>
              <w:t xml:space="preserve">due</w:t>
            </w:r>
            <w:r>
              <w:rPr>
                <w:rFonts w:ascii="Calibri"/>
                <w:spacing w:val="-10"/>
                <w:sz w:val="20"/>
              </w:rPr>
              <w:t xml:space="preserve"> </w:t>
            </w:r>
            <w:r>
              <w:rPr>
                <w:rFonts w:ascii="Calibri"/>
                <w:sz w:val="20"/>
              </w:rPr>
              <w:t xml:space="preserve">to</w:t>
            </w:r>
            <w:r>
              <w:rPr>
                <w:rFonts w:ascii="Calibri"/>
                <w:spacing w:val="-9"/>
                <w:sz w:val="20"/>
              </w:rPr>
              <w:t xml:space="preserve"> </w:t>
            </w:r>
            <w:r>
              <w:rPr>
                <w:rFonts w:ascii="Calibri"/>
                <w:sz w:val="20"/>
              </w:rPr>
              <w:t xml:space="preserve">variable and compressible ground conditions.</w:t>
            </w:r>
          </w:p>
        </w:tc>
      </w:tr>
      <w:tr w14:paraId="2A38964C" w14:textId="77777777">
        <w:tblPrEx>
          <w:tblW w:w="0" w:type="auto"/>
          <w:tblCellSpacing w:w="44" w:type="dxa"/>
          <w:tblInd w:w="260" w:type="dxa"/>
          <w:tblLayout w:type="fixed"/>
          <w:tblCellMar>
            <w:left w:w="0" w:type="dxa"/>
            <w:right w:w="0" w:type="dxa"/>
          </w:tblCellMar>
          <w:tblLook w:val="01E0"/>
        </w:tblPrEx>
        <w:trPr>
          <w:trHeight w:val="3253"/>
          <w:tblCellSpacing w:w="44" w:type="dxa"/>
        </w:trPr>
        <w:tc>
          <w:tcPr>
            <w:tcW w:w="1795" w:type="dxa"/>
            <w:tcBorders>
              <w:left w:val="nil"/>
            </w:tcBorders>
            <w:shd w:val="clear" w:color="auto" w:fill="F1F1F1"/>
          </w:tcPr>
          <w:p w:rsidR="00A154E5">
            <w:pPr>
              <w:pStyle w:val="TableParagraph"/>
              <w:spacing w:before="39"/>
              <w:ind w:left="64"/>
              <w:rPr>
                <w:rFonts w:ascii="Calibri"/>
                <w:sz w:val="20"/>
              </w:rPr>
            </w:pPr>
            <w:r>
              <w:rPr>
                <w:rFonts w:ascii="Calibri"/>
                <w:sz w:val="20"/>
              </w:rPr>
              <w:t xml:space="preserve">Bearing</w:t>
            </w:r>
            <w:r>
              <w:rPr>
                <w:rFonts w:ascii="Calibri"/>
                <w:spacing w:val="-9"/>
                <w:sz w:val="20"/>
              </w:rPr>
              <w:t xml:space="preserve"> </w:t>
            </w:r>
            <w:r>
              <w:rPr>
                <w:rFonts w:ascii="Calibri"/>
                <w:spacing w:val="-2"/>
                <w:sz w:val="20"/>
              </w:rPr>
              <w:t xml:space="preserve">Capacity</w:t>
            </w:r>
          </w:p>
        </w:tc>
        <w:tc>
          <w:tcPr>
            <w:tcW w:w="1996" w:type="dxa"/>
            <w:shd w:val="clear" w:color="auto" w:fill="F1F1F1"/>
          </w:tcPr>
          <w:p w:rsidR="00A154E5">
            <w:pPr>
              <w:pStyle w:val="TableParagraph"/>
              <w:rPr>
                <w:rFonts w:ascii="Times New Roman"/>
                <w:sz w:val="20"/>
              </w:rPr>
            </w:pPr>
          </w:p>
        </w:tc>
        <w:tc>
          <w:tcPr>
            <w:tcW w:w="1995" w:type="dxa"/>
            <w:shd w:val="clear" w:color="auto" w:fill="F1F1F1"/>
          </w:tcPr>
          <w:p w:rsidR="00A154E5">
            <w:pPr>
              <w:pStyle w:val="TableParagraph"/>
              <w:spacing w:before="38"/>
              <w:ind w:left="1"/>
              <w:jc w:val="center"/>
              <w:rPr>
                <w:rFonts w:ascii="Segoe UI Emoji" w:hAnsi="Segoe UI Emoji"/>
                <w:sz w:val="20"/>
              </w:rPr>
            </w:pPr>
            <w:r>
              <w:rPr>
                <w:rFonts w:ascii="Segoe UI Emoji" w:hAnsi="Segoe UI Emoji"/>
                <w:spacing w:val="-10"/>
                <w:sz w:val="20"/>
              </w:rPr>
              <w:t xml:space="preserve">✔</w:t>
            </w:r>
          </w:p>
        </w:tc>
        <w:tc>
          <w:tcPr>
            <w:tcW w:w="3519" w:type="dxa"/>
            <w:tcBorders>
              <w:right w:val="nil"/>
            </w:tcBorders>
            <w:shd w:val="clear" w:color="auto" w:fill="F1F1F1"/>
          </w:tcPr>
          <w:p w:rsidR="00A154E5">
            <w:pPr>
              <w:pStyle w:val="TableParagraph"/>
              <w:spacing w:before="39"/>
              <w:ind w:left="64" w:right="79"/>
              <w:rPr>
                <w:rFonts w:ascii="Calibri" w:hAnsi="Calibri"/>
                <w:sz w:val="20"/>
              </w:rPr>
            </w:pPr>
            <w:r>
              <w:rPr>
                <w:rFonts w:ascii="Calibri" w:hAnsi="Calibri"/>
                <w:sz w:val="20"/>
              </w:rPr>
              <w:t xml:space="preserve">Good</w:t>
            </w:r>
            <w:r>
              <w:rPr>
                <w:rFonts w:ascii="Calibri" w:hAnsi="Calibri"/>
                <w:spacing w:val="-9"/>
                <w:sz w:val="20"/>
              </w:rPr>
              <w:t xml:space="preserve"> </w:t>
            </w:r>
            <w:r>
              <w:rPr>
                <w:rFonts w:ascii="Calibri" w:hAnsi="Calibri"/>
                <w:sz w:val="20"/>
              </w:rPr>
              <w:t xml:space="preserve">ground</w:t>
            </w:r>
            <w:r>
              <w:rPr>
                <w:rFonts w:ascii="Calibri" w:hAnsi="Calibri"/>
                <w:spacing w:val="-9"/>
                <w:sz w:val="20"/>
              </w:rPr>
              <w:t xml:space="preserve"> </w:t>
            </w:r>
            <w:r>
              <w:rPr>
                <w:rFonts w:ascii="Calibri" w:hAnsi="Calibri"/>
                <w:sz w:val="20"/>
              </w:rPr>
              <w:t xml:space="preserve">conditions</w:t>
            </w:r>
            <w:r>
              <w:rPr>
                <w:rFonts w:ascii="Calibri" w:hAnsi="Calibri"/>
                <w:spacing w:val="-10"/>
                <w:sz w:val="20"/>
              </w:rPr>
              <w:t xml:space="preserve"> </w:t>
            </w:r>
            <w:r>
              <w:rPr>
                <w:rFonts w:ascii="Calibri" w:hAnsi="Calibri"/>
                <w:sz w:val="20"/>
              </w:rPr>
              <w:t xml:space="preserve">may</w:t>
            </w:r>
            <w:r>
              <w:rPr>
                <w:rFonts w:ascii="Calibri" w:hAnsi="Calibri"/>
                <w:spacing w:val="-8"/>
                <w:sz w:val="20"/>
              </w:rPr>
              <w:t xml:space="preserve"> </w:t>
            </w:r>
            <w:r>
              <w:rPr>
                <w:rFonts w:ascii="Calibri" w:hAnsi="Calibri"/>
                <w:sz w:val="20"/>
              </w:rPr>
              <w:t xml:space="preserve">be</w:t>
            </w:r>
            <w:r>
              <w:rPr>
                <w:rFonts w:ascii="Calibri" w:hAnsi="Calibri"/>
                <w:spacing w:val="-10"/>
                <w:sz w:val="20"/>
              </w:rPr>
              <w:t xml:space="preserve"> </w:t>
            </w:r>
            <w:r>
              <w:rPr>
                <w:rFonts w:ascii="Calibri" w:hAnsi="Calibri"/>
                <w:sz w:val="20"/>
              </w:rPr>
              <w:t xml:space="preserve">achieved (subject to foundation design) if the foundation subgrade comprises a stiff “crust” in excess of 1.0m below the base of the footings. The stiff crust should comprise material with a shear strength in excess of 80kPa. Strip footings should be limited to a width of 1.0m with pad footings are limited to a width of 1.5m. This may be achievable in the north western region of the site, but is not anticipated to be achieved in the south eastern region of the site.</w:t>
            </w:r>
          </w:p>
        </w:tc>
      </w:tr>
      <w:tr w14:paraId="27DC09AD" w14:textId="77777777">
        <w:tblPrEx>
          <w:tblW w:w="0" w:type="auto"/>
          <w:tblCellSpacing w:w="44" w:type="dxa"/>
          <w:tblInd w:w="260" w:type="dxa"/>
          <w:tblLayout w:type="fixed"/>
          <w:tblCellMar>
            <w:left w:w="0" w:type="dxa"/>
            <w:right w:w="0" w:type="dxa"/>
          </w:tblCellMar>
          <w:tblLook w:val="01E0"/>
        </w:tblPrEx>
        <w:trPr>
          <w:trHeight w:val="813"/>
          <w:tblCellSpacing w:w="44" w:type="dxa"/>
        </w:trPr>
        <w:tc>
          <w:tcPr>
            <w:tcW w:w="1795" w:type="dxa"/>
            <w:tcBorders>
              <w:left w:val="nil"/>
              <w:bottom w:val="nil"/>
            </w:tcBorders>
            <w:shd w:val="clear" w:color="auto" w:fill="F1F1F1"/>
          </w:tcPr>
          <w:p w:rsidR="00A154E5">
            <w:pPr>
              <w:pStyle w:val="TableParagraph"/>
              <w:spacing w:before="39"/>
              <w:ind w:left="64"/>
              <w:rPr>
                <w:rFonts w:ascii="Calibri"/>
                <w:sz w:val="20"/>
              </w:rPr>
            </w:pPr>
            <w:r>
              <w:rPr>
                <w:rFonts w:ascii="Calibri"/>
                <w:spacing w:val="-2"/>
                <w:sz w:val="20"/>
              </w:rPr>
              <w:t xml:space="preserve">Shrink/Swell</w:t>
            </w:r>
          </w:p>
        </w:tc>
        <w:tc>
          <w:tcPr>
            <w:tcW w:w="1996" w:type="dxa"/>
            <w:tcBorders>
              <w:bottom w:val="nil"/>
            </w:tcBorders>
            <w:shd w:val="clear" w:color="auto" w:fill="F1F1F1"/>
          </w:tcPr>
          <w:p w:rsidR="00A154E5">
            <w:pPr>
              <w:pStyle w:val="TableParagraph"/>
              <w:rPr>
                <w:rFonts w:ascii="Times New Roman"/>
                <w:sz w:val="20"/>
              </w:rPr>
            </w:pPr>
          </w:p>
        </w:tc>
        <w:tc>
          <w:tcPr>
            <w:tcW w:w="1995" w:type="dxa"/>
            <w:tcBorders>
              <w:bottom w:val="nil"/>
            </w:tcBorders>
            <w:shd w:val="clear" w:color="auto" w:fill="F1F1F1"/>
          </w:tcPr>
          <w:p w:rsidR="00A154E5">
            <w:pPr>
              <w:pStyle w:val="TableParagraph"/>
              <w:spacing w:before="38"/>
              <w:ind w:left="1"/>
              <w:jc w:val="center"/>
              <w:rPr>
                <w:rFonts w:ascii="Segoe UI Emoji" w:hAnsi="Segoe UI Emoji"/>
                <w:sz w:val="20"/>
              </w:rPr>
            </w:pPr>
            <w:r>
              <w:rPr>
                <w:rFonts w:ascii="Segoe UI Emoji" w:hAnsi="Segoe UI Emoji"/>
                <w:spacing w:val="-10"/>
                <w:sz w:val="20"/>
              </w:rPr>
              <w:t xml:space="preserve">✔</w:t>
            </w:r>
          </w:p>
        </w:tc>
        <w:tc>
          <w:tcPr>
            <w:tcW w:w="3519" w:type="dxa"/>
            <w:tcBorders>
              <w:bottom w:val="nil"/>
              <w:right w:val="nil"/>
            </w:tcBorders>
            <w:shd w:val="clear" w:color="auto" w:fill="F1F1F1"/>
          </w:tcPr>
          <w:p w:rsidR="00A154E5">
            <w:pPr>
              <w:pStyle w:val="TableParagraph"/>
              <w:spacing w:before="39"/>
              <w:ind w:left="64" w:right="79"/>
              <w:rPr>
                <w:rFonts w:ascii="Calibri" w:hAnsi="Calibri"/>
                <w:sz w:val="20"/>
              </w:rPr>
            </w:pPr>
            <w:r>
              <w:rPr>
                <w:rFonts w:ascii="Calibri" w:hAnsi="Calibri"/>
                <w:sz w:val="20"/>
              </w:rPr>
              <w:t xml:space="preserve">Estimated</w:t>
            </w:r>
            <w:r>
              <w:rPr>
                <w:rFonts w:ascii="Calibri" w:hAnsi="Calibri"/>
                <w:spacing w:val="-12"/>
                <w:sz w:val="20"/>
              </w:rPr>
              <w:t xml:space="preserve"> </w:t>
            </w:r>
            <w:r>
              <w:rPr>
                <w:rFonts w:ascii="Calibri" w:hAnsi="Calibri"/>
                <w:sz w:val="20"/>
              </w:rPr>
              <w:t xml:space="preserve">seasonal</w:t>
            </w:r>
            <w:r>
              <w:rPr>
                <w:rFonts w:ascii="Calibri" w:hAnsi="Calibri"/>
                <w:spacing w:val="-8"/>
                <w:sz w:val="20"/>
              </w:rPr>
              <w:t xml:space="preserve"> </w:t>
            </w:r>
            <w:r>
              <w:rPr>
                <w:rFonts w:ascii="Calibri" w:hAnsi="Calibri"/>
                <w:sz w:val="20"/>
              </w:rPr>
              <w:t xml:space="preserve">movement</w:t>
            </w:r>
            <w:r>
              <w:rPr>
                <w:rFonts w:ascii="Calibri" w:hAnsi="Calibri"/>
                <w:spacing w:val="-11"/>
                <w:sz w:val="20"/>
              </w:rPr>
              <w:t xml:space="preserve"> </w:t>
            </w:r>
            <w:r>
              <w:rPr>
                <w:rFonts w:ascii="Calibri" w:hAnsi="Calibri"/>
                <w:sz w:val="20"/>
              </w:rPr>
              <w:t xml:space="preserve">of</w:t>
            </w:r>
            <w:r>
              <w:rPr>
                <w:rFonts w:ascii="Calibri" w:hAnsi="Calibri"/>
                <w:spacing w:val="-12"/>
                <w:sz w:val="20"/>
              </w:rPr>
              <w:t xml:space="preserve"> </w:t>
            </w:r>
            <w:r>
              <w:rPr>
                <w:rFonts w:ascii="Calibri" w:hAnsi="Calibri"/>
                <w:sz w:val="20"/>
              </w:rPr>
              <w:t xml:space="preserve">class ‘H2’ between 60 and 75mm / year for volcanic ash soils.</w:t>
            </w:r>
          </w:p>
        </w:tc>
      </w:tr>
    </w:tbl>
    <w:p w:rsidR="00A154E5">
      <w:pPr>
        <w:pStyle w:val="BodyText"/>
        <w:spacing w:before="138"/>
        <w:rPr>
          <w:b/>
        </w:rPr>
      </w:pPr>
    </w:p>
    <w:p w:rsidR="00A154E5">
      <w:pPr>
        <w:pStyle w:val="ListParagraph"/>
        <w:numPr>
          <w:ilvl w:val="2"/>
          <w:numId w:val="13"/>
        </w:numPr>
        <w:tabs>
          <w:tab w:val="left" w:pos="840"/>
        </w:tabs>
        <w:ind w:left="840" w:hanging="720"/>
        <w:rPr>
          <w:b/>
          <w:sz w:val="24"/>
        </w:rPr>
      </w:pPr>
      <w:r>
        <w:t xml:space="preserve">Driven timber pile foundations</w:t>
      </w:r>
    </w:p>
    <w:p w:rsidR="00A154E5">
      <w:pPr>
        <w:pStyle w:val="BodyText"/>
        <w:spacing w:before="26"/>
        <w:rPr>
          <w:b/>
          <w:sz w:val="24"/>
        </w:rPr>
      </w:pPr>
    </w:p>
    <w:p w:rsidR="00A154E5">
      <w:pPr>
        <w:pStyle w:val="BodyText"/>
        <w:spacing w:line="264" w:lineRule="auto"/>
        <w:ind w:left="120"/>
      </w:pPr>
      <w:r>
        <w:t xml:space="preserve">Piled foundations may be required for buildings taller than two to three storeys. 300 mm </w:t>
      </w:r>
      <w:commentRangeStart w:id="25"/>
      <w:r>
        <w:t xml:space="preserve">SED</w:t>
      </w:r>
      <w:commentRangeEnd w:id="25"/>
      <w:r>
        <w:commentReference w:id="25"/>
      </w:r>
      <w:r>
        <w:t xml:space="preserve"> timber piles driven to approximately 8 to 11m depth at this site should achieve a geotechnical ultimate capacity of</w:t>
      </w:r>
    </w:p>
    <w:p w:rsidR="00A154E5">
      <w:pPr>
        <w:pStyle w:val="BodyText"/>
        <w:spacing w:line="264" w:lineRule="auto"/>
        <w:ind w:left="120"/>
      </w:pPr>
      <w:r>
        <w:t xml:space="preserve">approximately 500 to 700 kN (i.e. ULS capacity of 250 to 350 kN). Piles should be located at least 900 mm apart, or analysed for pile group effects. Alternative piling options should be assessed by a Chartered</w:t>
      </w:r>
    </w:p>
    <w:p w:rsidR="00A154E5">
      <w:pPr>
        <w:pStyle w:val="BodyText"/>
        <w:spacing w:line="268" w:lineRule="exact"/>
        <w:ind w:left="120"/>
      </w:pPr>
      <w:r>
        <w:t xml:space="preserve">Professional Geotechnical Engineer.</w:t>
      </w:r>
    </w:p>
    <w:p w:rsidR="00A154E5">
      <w:pPr>
        <w:pStyle w:val="BodyText"/>
        <w:spacing w:before="146"/>
        <w:ind w:left="120"/>
      </w:pPr>
      <w:r>
        <w:t xml:space="preserve">If loads are applied to the ground surface (e.g. </w:t>
      </w:r>
      <w:commentRangeStart w:id="26"/>
      <w:r>
        <w:t xml:space="preserve">placeftent</w:t>
      </w:r>
      <w:commentRangeEnd w:id="26"/>
      <w:r>
        <w:commentReference w:id="26"/>
      </w:r>
      <w:r>
        <w:t xml:space="preserve"> of fill or structures on shallow foundations),</w:t>
      </w:r>
    </w:p>
    <w:p w:rsidR="00A154E5">
      <w:pPr>
        <w:pStyle w:val="BodyText"/>
        <w:spacing w:before="27" w:line="264" w:lineRule="auto"/>
        <w:ind w:left="120"/>
      </w:pPr>
      <w:r>
        <w:t xml:space="preserve">compression of the underlying soils may induce negative skin friction on piles ("downdrag"). Similarly, any reduction in pore water pressures or groundwater level could also result in consolidation and negative skin friction on piles. The building designer must consider negative skin friction on piles, and ensure that pile driving criteria take account of this effect by subtracting the positive resistance that the zone of potential negative skin friction will apply during pile installation.</w:t>
      </w:r>
    </w:p>
    <w:p w:rsidR="00A154E5">
      <w:pPr>
        <w:pStyle w:val="BodyText"/>
        <w:spacing w:before="94"/>
      </w:pPr>
    </w:p>
    <w:p w:rsidR="00A154E5">
      <w:pPr>
        <w:pStyle w:val="Heading2"/>
        <w:numPr>
          <w:ilvl w:val="1"/>
          <w:numId w:val="13"/>
        </w:numPr>
        <w:tabs>
          <w:tab w:val="left" w:pos="684"/>
        </w:tabs>
        <w:ind w:left="684" w:hanging="564"/>
      </w:pPr>
      <w:r>
        <w:t xml:space="preserve">Retention</w:t>
      </w:r>
    </w:p>
    <w:p w:rsidR="00A154E5">
      <w:pPr>
        <w:pStyle w:val="BodyText"/>
        <w:spacing w:before="119" w:line="264" w:lineRule="auto"/>
        <w:ind w:left="120" w:right="144"/>
      </w:pPr>
      <w:r>
        <w:t xml:space="preserve">The parameters presented in Table 8 may be used for design of retaining walls for the site. Given the soil profile at the site, gravity walls (e.g. keystone, gabion, mass block, L-wall) and cantilevered walls (e.g.:</w:t>
      </w:r>
    </w:p>
    <w:p w:rsidR="00A154E5">
      <w:pPr>
        <w:pStyle w:val="BodyText"/>
        <w:spacing w:line="268" w:lineRule="exact"/>
        <w:ind w:left="120"/>
      </w:pPr>
      <w:r>
        <w:t xml:space="preserve">timber pole walls) are anticipated to be suitable.</w:t>
      </w:r>
    </w:p>
    <w:p w:rsidR="00A154E5">
      <w:pPr>
        <w:spacing w:line="268" w:lineRule="exact"/>
        <w:sectPr>
          <w:pgSz w:w="11910" w:h="16840" w:orient="portrait"/>
          <w:pgMar w:top="1400" w:right="960" w:bottom="1140" w:left="960" w:header="0" w:footer="953" w:gutter="0"/>
          <w:cols w:num="1" w:space="720">
            <w:col w:w="9990" w:space="720"/>
          </w:cols>
        </w:sectPr>
      </w:pPr>
    </w:p>
    <w:p w:rsidR="00A154E5">
      <w:pPr>
        <w:pStyle w:val="BodyText"/>
        <w:spacing w:before="41" w:line="264" w:lineRule="auto"/>
        <w:ind w:left="120"/>
      </w:pPr>
      <w:r>
        <w:t xml:space="preserve">If gravity walls are proposed careful consideration must be given in the design to possible consolidation effects, total and differential settlements, and bearing capacity due to the underlying soil conditions.</w:t>
      </w:r>
    </w:p>
    <w:p w:rsidR="00A154E5">
      <w:pPr>
        <w:pStyle w:val="Heading4"/>
      </w:pPr>
      <w:r>
        <w:t xml:space="preserve">Table 8: Retention design </w:t>
      </w:r>
      <w:commentRangeStart w:id="27"/>
      <w:r>
        <w:t xml:space="preserve">parafteters</w:t>
      </w:r>
      <w:commentRangeEnd w:id="27"/>
      <w:r>
        <w:commentReference w:id="27"/>
      </w:r>
    </w:p>
    <w:p w:rsidR="00A154E5">
      <w:pPr>
        <w:pStyle w:val="BodyText"/>
        <w:spacing w:before="2"/>
        <w:rPr>
          <w:b/>
          <w:sz w:val="17"/>
        </w:rPr>
      </w:pPr>
    </w:p>
    <w:tbl>
      <w:tblPr>
        <w:tblStyle w:val="NormalTable"/>
        <w:tblW w:w="0" w:type="auto"/>
        <w:tblCellSpacing w:w="44" w:type="dxa"/>
        <w:tblInd w:w="260" w:type="dxa"/>
        <w:tblLayout w:type="fixed"/>
        <w:tblCellMar>
          <w:left w:w="0" w:type="dxa"/>
          <w:right w:w="0" w:type="dxa"/>
        </w:tblCellMar>
        <w:tblLook w:val="01E0"/>
      </w:tblPr>
      <w:tblGrid>
        <w:gridCol w:w="2134"/>
        <w:gridCol w:w="3315"/>
        <w:gridCol w:w="4121"/>
      </w:tblGrid>
      <w:tr w14:paraId="78FD8AF6" w14:textId="77777777">
        <w:tblPrEx>
          <w:tblW w:w="0" w:type="auto"/>
          <w:tblCellSpacing w:w="44" w:type="dxa"/>
          <w:tblInd w:w="260" w:type="dxa"/>
          <w:tblLayout w:type="fixed"/>
          <w:tblCellMar>
            <w:left w:w="0" w:type="dxa"/>
            <w:right w:w="0" w:type="dxa"/>
          </w:tblCellMar>
          <w:tblLook w:val="01E0"/>
        </w:tblPrEx>
        <w:trPr>
          <w:trHeight w:val="791"/>
          <w:tblCellSpacing w:w="44" w:type="dxa"/>
        </w:trPr>
        <w:tc>
          <w:tcPr>
            <w:tcW w:w="2134" w:type="dxa"/>
            <w:tcBorders>
              <w:top w:val="nil"/>
              <w:left w:val="nil"/>
            </w:tcBorders>
            <w:shd w:val="clear" w:color="auto" w:fill="48B757"/>
          </w:tcPr>
          <w:p w:rsidR="00A154E5">
            <w:pPr>
              <w:pStyle w:val="TableParagraph"/>
              <w:spacing w:before="81" w:line="264" w:lineRule="auto"/>
              <w:ind w:left="377" w:firstLine="48"/>
              <w:rPr>
                <w:b/>
              </w:rPr>
            </w:pPr>
            <w:r>
              <w:rPr>
                <w:b/>
                <w:color w:val="FFFFFF"/>
              </w:rPr>
              <w:t xml:space="preserve">DESIGN SOIL </w:t>
            </w:r>
            <w:r>
              <w:rPr>
                <w:b/>
                <w:color w:val="FFFFFF"/>
                <w:spacing w:val="-2"/>
              </w:rPr>
              <w:t xml:space="preserve">PARAMETERS</w:t>
            </w:r>
          </w:p>
        </w:tc>
        <w:tc>
          <w:tcPr>
            <w:tcW w:w="3315" w:type="dxa"/>
            <w:tcBorders>
              <w:top w:val="nil"/>
            </w:tcBorders>
            <w:shd w:val="clear" w:color="auto" w:fill="48B757"/>
          </w:tcPr>
          <w:p w:rsidR="00A154E5">
            <w:pPr>
              <w:pStyle w:val="TableParagraph"/>
              <w:spacing w:before="81" w:line="264" w:lineRule="auto"/>
              <w:ind w:left="713" w:hanging="517"/>
              <w:rPr>
                <w:b/>
              </w:rPr>
            </w:pPr>
            <w:r>
              <w:rPr>
                <w:b/>
                <w:color w:val="FFFFFF"/>
              </w:rPr>
              <w:t xml:space="preserve">VOLCANIC</w:t>
            </w:r>
            <w:r>
              <w:rPr>
                <w:b/>
                <w:color w:val="FFFFFF"/>
                <w:spacing w:val="-12"/>
              </w:rPr>
              <w:t xml:space="preserve"> </w:t>
            </w:r>
            <w:r>
              <w:rPr>
                <w:b/>
                <w:color w:val="FFFFFF"/>
              </w:rPr>
              <w:t xml:space="preserve">ASH</w:t>
            </w:r>
            <w:r>
              <w:rPr>
                <w:b/>
                <w:color w:val="FFFFFF"/>
                <w:spacing w:val="-11"/>
              </w:rPr>
              <w:t xml:space="preserve"> </w:t>
            </w:r>
            <w:r>
              <w:rPr>
                <w:b/>
                <w:color w:val="FFFFFF"/>
              </w:rPr>
              <w:t xml:space="preserve">or</w:t>
            </w:r>
            <w:r>
              <w:rPr>
                <w:b/>
                <w:color w:val="FFFFFF"/>
                <w:spacing w:val="-11"/>
              </w:rPr>
              <w:t xml:space="preserve"> </w:t>
            </w:r>
            <w:r>
              <w:rPr>
                <w:b/>
                <w:color w:val="FFFFFF"/>
              </w:rPr>
              <w:t xml:space="preserve">PUKETOKA FORMATION SOILS</w:t>
            </w:r>
          </w:p>
        </w:tc>
        <w:tc>
          <w:tcPr>
            <w:tcW w:w="3944" w:type="dxa"/>
            <w:tcBorders>
              <w:top w:val="nil"/>
              <w:right w:val="nil"/>
            </w:tcBorders>
            <w:shd w:val="clear" w:color="auto" w:fill="48B757"/>
          </w:tcPr>
          <w:p w:rsidR="00A154E5">
            <w:pPr>
              <w:pStyle w:val="TableParagraph"/>
              <w:spacing w:before="81"/>
              <w:ind w:left="2" w:right="2"/>
              <w:jc w:val="center"/>
              <w:rPr>
                <w:b/>
              </w:rPr>
            </w:pPr>
            <w:r>
              <w:rPr>
                <w:b/>
                <w:color w:val="FFFFFF"/>
              </w:rPr>
              <w:t xml:space="preserve">COHESIONLESS</w:t>
            </w:r>
            <w:r>
              <w:rPr>
                <w:b/>
                <w:color w:val="FFFFFF"/>
                <w:spacing w:val="-9"/>
              </w:rPr>
              <w:t xml:space="preserve"> </w:t>
            </w:r>
            <w:r>
              <w:rPr>
                <w:b/>
                <w:color w:val="FFFFFF"/>
              </w:rPr>
              <w:t xml:space="preserve">ENGINEERED</w:t>
            </w:r>
            <w:r>
              <w:rPr>
                <w:b/>
                <w:color w:val="FFFFFF"/>
                <w:spacing w:val="-8"/>
              </w:rPr>
              <w:t xml:space="preserve"> </w:t>
            </w:r>
            <w:r>
              <w:rPr>
                <w:b/>
                <w:color w:val="FFFFFF"/>
                <w:spacing w:val="-4"/>
              </w:rPr>
              <w:t xml:space="preserve">FILL</w:t>
            </w:r>
          </w:p>
        </w:tc>
      </w:tr>
      <w:tr w14:paraId="2411A99D" w14:textId="77777777">
        <w:tblPrEx>
          <w:tblW w:w="0" w:type="auto"/>
          <w:tblCellSpacing w:w="44" w:type="dxa"/>
          <w:tblInd w:w="260" w:type="dxa"/>
          <w:tblLayout w:type="fixed"/>
          <w:tblCellMar>
            <w:left w:w="0" w:type="dxa"/>
            <w:right w:w="0" w:type="dxa"/>
          </w:tblCellMar>
          <w:tblLook w:val="01E0"/>
        </w:tblPrEx>
        <w:trPr>
          <w:trHeight w:val="495"/>
          <w:tblCellSpacing w:w="44" w:type="dxa"/>
        </w:trPr>
        <w:tc>
          <w:tcPr>
            <w:tcW w:w="2134" w:type="dxa"/>
            <w:tcBorders>
              <w:left w:val="nil"/>
            </w:tcBorders>
            <w:shd w:val="clear" w:color="auto" w:fill="F1F1F1"/>
          </w:tcPr>
          <w:p w:rsidR="00A154E5">
            <w:pPr>
              <w:pStyle w:val="TableParagraph"/>
              <w:spacing w:before="80"/>
              <w:ind w:left="64"/>
            </w:pPr>
            <w:r>
              <w:t xml:space="preserve">Unit</w:t>
            </w:r>
            <w:r>
              <w:rPr>
                <w:spacing w:val="-5"/>
              </w:rPr>
              <w:t xml:space="preserve"> </w:t>
            </w:r>
            <w:r>
              <w:t xml:space="preserve">weight</w:t>
            </w:r>
            <w:r>
              <w:rPr>
                <w:spacing w:val="-3"/>
              </w:rPr>
              <w:t xml:space="preserve"> </w:t>
            </w:r>
            <w:r>
              <w:rPr>
                <w:spacing w:val="-5"/>
              </w:rPr>
              <w:t xml:space="preserve">(γ)</w:t>
            </w:r>
          </w:p>
        </w:tc>
        <w:tc>
          <w:tcPr>
            <w:tcW w:w="3315" w:type="dxa"/>
            <w:shd w:val="clear" w:color="auto" w:fill="F1F1F1"/>
          </w:tcPr>
          <w:p w:rsidR="00A154E5">
            <w:pPr>
              <w:pStyle w:val="TableParagraph"/>
              <w:spacing w:before="80"/>
              <w:ind w:left="6" w:right="3"/>
              <w:jc w:val="center"/>
            </w:pPr>
            <w:r>
              <w:rPr>
                <w:w w:val="105"/>
              </w:rPr>
              <w:t xml:space="preserve">17</w:t>
            </w:r>
            <w:r>
              <w:rPr>
                <w:spacing w:val="-4"/>
                <w:w w:val="105"/>
              </w:rPr>
              <w:t xml:space="preserve"> </w:t>
            </w:r>
            <w:r>
              <w:rPr>
                <w:spacing w:val="-2"/>
                <w:w w:val="105"/>
              </w:rPr>
              <w:t xml:space="preserve">kN</w:t>
            </w:r>
            <w:r>
              <w:rPr>
                <w:spacing w:val="-2"/>
                <w:w w:val="105"/>
              </w:rPr>
              <w:t xml:space="preserve">/m</w:t>
            </w:r>
            <w:r>
              <w:rPr>
                <w:spacing w:val="-2"/>
                <w:w w:val="105"/>
                <w:vertAlign w:val="superscript"/>
              </w:rPr>
              <w:t xml:space="preserve">3</w:t>
            </w:r>
          </w:p>
        </w:tc>
        <w:tc>
          <w:tcPr>
            <w:tcW w:w="3944" w:type="dxa"/>
            <w:tcBorders>
              <w:right w:val="nil"/>
            </w:tcBorders>
            <w:shd w:val="clear" w:color="auto" w:fill="F1F1F1"/>
          </w:tcPr>
          <w:p w:rsidR="00A154E5">
            <w:pPr>
              <w:pStyle w:val="TableParagraph"/>
              <w:spacing w:before="80"/>
              <w:ind w:right="2"/>
              <w:jc w:val="center"/>
            </w:pPr>
            <w:r>
              <w:t xml:space="preserve">21</w:t>
            </w:r>
            <w:r>
              <w:rPr>
                <w:spacing w:val="2"/>
              </w:rPr>
              <w:t xml:space="preserve"> </w:t>
            </w:r>
            <w:r>
              <w:rPr>
                <w:spacing w:val="-2"/>
              </w:rPr>
              <w:t xml:space="preserve">kN</w:t>
            </w:r>
            <w:r>
              <w:rPr>
                <w:spacing w:val="-2"/>
              </w:rPr>
              <w:t xml:space="preserve">/m</w:t>
            </w:r>
            <w:r>
              <w:rPr>
                <w:spacing w:val="-2"/>
                <w:vertAlign w:val="superscript"/>
              </w:rPr>
              <w:t xml:space="preserve">3</w:t>
            </w:r>
          </w:p>
        </w:tc>
      </w:tr>
      <w:tr w14:paraId="096F863B" w14:textId="77777777">
        <w:tblPrEx>
          <w:tblW w:w="0" w:type="auto"/>
          <w:tblCellSpacing w:w="44" w:type="dxa"/>
          <w:tblInd w:w="260" w:type="dxa"/>
          <w:tblLayout w:type="fixed"/>
          <w:tblCellMar>
            <w:left w:w="0" w:type="dxa"/>
            <w:right w:w="0" w:type="dxa"/>
          </w:tblCellMar>
          <w:tblLook w:val="01E0"/>
        </w:tblPrEx>
        <w:trPr>
          <w:trHeight w:val="495"/>
          <w:tblCellSpacing w:w="44" w:type="dxa"/>
        </w:trPr>
        <w:tc>
          <w:tcPr>
            <w:tcW w:w="2134" w:type="dxa"/>
            <w:tcBorders>
              <w:left w:val="nil"/>
            </w:tcBorders>
            <w:shd w:val="clear" w:color="auto" w:fill="F1F1F1"/>
          </w:tcPr>
          <w:p w:rsidR="00A154E5">
            <w:pPr>
              <w:pStyle w:val="TableParagraph"/>
              <w:spacing w:before="80"/>
              <w:ind w:left="64"/>
            </w:pPr>
            <w:r>
              <w:t xml:space="preserve">Drained</w:t>
            </w:r>
            <w:r>
              <w:rPr>
                <w:spacing w:val="-6"/>
              </w:rPr>
              <w:t xml:space="preserve"> </w:t>
            </w:r>
            <w:r>
              <w:t xml:space="preserve">cohesion</w:t>
            </w:r>
            <w:r>
              <w:rPr>
                <w:spacing w:val="-3"/>
              </w:rPr>
              <w:t xml:space="preserve"> </w:t>
            </w:r>
            <w:r>
              <w:rPr>
                <w:spacing w:val="-4"/>
              </w:rPr>
              <w:t xml:space="preserve">(c’)</w:t>
            </w:r>
          </w:p>
        </w:tc>
        <w:tc>
          <w:tcPr>
            <w:tcW w:w="3315" w:type="dxa"/>
            <w:shd w:val="clear" w:color="auto" w:fill="F1F1F1"/>
          </w:tcPr>
          <w:p w:rsidR="00A154E5">
            <w:pPr>
              <w:pStyle w:val="TableParagraph"/>
              <w:spacing w:before="80"/>
              <w:ind w:left="6" w:right="2"/>
              <w:jc w:val="center"/>
            </w:pPr>
            <w:r>
              <w:t xml:space="preserve">2</w:t>
            </w:r>
            <w:r>
              <w:rPr>
                <w:spacing w:val="-4"/>
              </w:rPr>
              <w:t xml:space="preserve"> </w:t>
            </w:r>
            <w:r>
              <w:rPr>
                <w:spacing w:val="-5"/>
              </w:rPr>
              <w:t xml:space="preserve">kPa</w:t>
            </w:r>
          </w:p>
        </w:tc>
        <w:tc>
          <w:tcPr>
            <w:tcW w:w="3944" w:type="dxa"/>
            <w:tcBorders>
              <w:right w:val="nil"/>
            </w:tcBorders>
            <w:shd w:val="clear" w:color="auto" w:fill="F1F1F1"/>
          </w:tcPr>
          <w:p w:rsidR="00A154E5">
            <w:pPr>
              <w:pStyle w:val="TableParagraph"/>
              <w:spacing w:before="80"/>
              <w:ind w:left="1" w:right="2"/>
              <w:jc w:val="center"/>
            </w:pPr>
            <w:r>
              <w:t xml:space="preserve">0</w:t>
            </w:r>
            <w:r>
              <w:rPr>
                <w:spacing w:val="1"/>
              </w:rPr>
              <w:t xml:space="preserve"> </w:t>
            </w:r>
            <w:r>
              <w:rPr>
                <w:spacing w:val="-5"/>
              </w:rPr>
              <w:t xml:space="preserve">kPa</w:t>
            </w:r>
          </w:p>
        </w:tc>
      </w:tr>
      <w:tr w14:paraId="29B2933B" w14:textId="77777777">
        <w:tblPrEx>
          <w:tblW w:w="0" w:type="auto"/>
          <w:tblCellSpacing w:w="44" w:type="dxa"/>
          <w:tblInd w:w="260" w:type="dxa"/>
          <w:tblLayout w:type="fixed"/>
          <w:tblCellMar>
            <w:left w:w="0" w:type="dxa"/>
            <w:right w:w="0" w:type="dxa"/>
          </w:tblCellMar>
          <w:tblLook w:val="01E0"/>
        </w:tblPrEx>
        <w:trPr>
          <w:trHeight w:val="790"/>
          <w:tblCellSpacing w:w="44" w:type="dxa"/>
        </w:trPr>
        <w:tc>
          <w:tcPr>
            <w:tcW w:w="2134" w:type="dxa"/>
            <w:tcBorders>
              <w:left w:val="nil"/>
            </w:tcBorders>
            <w:shd w:val="clear" w:color="auto" w:fill="F1F1F1"/>
          </w:tcPr>
          <w:p w:rsidR="00A154E5">
            <w:pPr>
              <w:pStyle w:val="TableParagraph"/>
              <w:spacing w:before="78" w:line="266" w:lineRule="auto"/>
              <w:ind w:left="64"/>
            </w:pPr>
            <w:r>
              <w:t xml:space="preserve">Drained</w:t>
            </w:r>
            <w:r>
              <w:rPr>
                <w:spacing w:val="-12"/>
              </w:rPr>
              <w:t xml:space="preserve"> </w:t>
            </w:r>
            <w:r>
              <w:t xml:space="preserve">angle</w:t>
            </w:r>
            <w:r>
              <w:rPr>
                <w:spacing w:val="-11"/>
              </w:rPr>
              <w:t xml:space="preserve"> </w:t>
            </w:r>
            <w:r>
              <w:t xml:space="preserve">of friction (φ’)</w:t>
            </w:r>
          </w:p>
        </w:tc>
        <w:tc>
          <w:tcPr>
            <w:tcW w:w="3315" w:type="dxa"/>
            <w:shd w:val="clear" w:color="auto" w:fill="F1F1F1"/>
          </w:tcPr>
          <w:p w:rsidR="00A154E5">
            <w:pPr>
              <w:pStyle w:val="TableParagraph"/>
              <w:spacing w:before="78"/>
              <w:ind w:left="6" w:right="2"/>
              <w:jc w:val="center"/>
            </w:pPr>
            <w:r>
              <w:rPr>
                <w:spacing w:val="-5"/>
              </w:rPr>
              <w:t xml:space="preserve">28°</w:t>
            </w:r>
          </w:p>
        </w:tc>
        <w:tc>
          <w:tcPr>
            <w:tcW w:w="3944" w:type="dxa"/>
            <w:tcBorders>
              <w:right w:val="nil"/>
            </w:tcBorders>
            <w:shd w:val="clear" w:color="auto" w:fill="F1F1F1"/>
          </w:tcPr>
          <w:p w:rsidR="00A154E5">
            <w:pPr>
              <w:pStyle w:val="TableParagraph"/>
              <w:spacing w:before="78"/>
              <w:ind w:left="2" w:right="2"/>
              <w:jc w:val="center"/>
            </w:pPr>
            <w:r>
              <w:rPr>
                <w:spacing w:val="-5"/>
              </w:rPr>
              <w:t xml:space="preserve">36°</w:t>
            </w:r>
          </w:p>
        </w:tc>
      </w:tr>
      <w:tr w14:paraId="5929EB6B" w14:textId="77777777">
        <w:tblPrEx>
          <w:tblW w:w="0" w:type="auto"/>
          <w:tblCellSpacing w:w="44" w:type="dxa"/>
          <w:tblInd w:w="260" w:type="dxa"/>
          <w:tblLayout w:type="fixed"/>
          <w:tblCellMar>
            <w:left w:w="0" w:type="dxa"/>
            <w:right w:w="0" w:type="dxa"/>
          </w:tblCellMar>
          <w:tblLook w:val="01E0"/>
        </w:tblPrEx>
        <w:trPr>
          <w:trHeight w:val="791"/>
          <w:tblCellSpacing w:w="44" w:type="dxa"/>
        </w:trPr>
        <w:tc>
          <w:tcPr>
            <w:tcW w:w="2134" w:type="dxa"/>
            <w:tcBorders>
              <w:left w:val="nil"/>
            </w:tcBorders>
            <w:shd w:val="clear" w:color="auto" w:fill="F1F1F1"/>
          </w:tcPr>
          <w:p w:rsidR="00A154E5">
            <w:pPr>
              <w:pStyle w:val="TableParagraph"/>
              <w:spacing w:before="78" w:line="266" w:lineRule="auto"/>
              <w:ind w:left="64"/>
            </w:pPr>
            <w:r>
              <w:t xml:space="preserve">Active</w:t>
            </w:r>
            <w:r>
              <w:rPr>
                <w:spacing w:val="-12"/>
              </w:rPr>
              <w:t xml:space="preserve"> </w:t>
            </w:r>
            <w:r>
              <w:t xml:space="preserve">static</w:t>
            </w:r>
            <w:r>
              <w:rPr>
                <w:spacing w:val="-11"/>
              </w:rPr>
              <w:t xml:space="preserve"> </w:t>
            </w:r>
            <w:r>
              <w:t xml:space="preserve">earth pressure*</w:t>
            </w:r>
            <w:r>
              <w:rPr>
                <w:spacing w:val="-1"/>
              </w:rPr>
              <w:t xml:space="preserve"> </w:t>
            </w:r>
            <w:r>
              <w:t xml:space="preserve">(Ka)</w:t>
            </w:r>
          </w:p>
        </w:tc>
        <w:tc>
          <w:tcPr>
            <w:tcW w:w="3315" w:type="dxa"/>
            <w:shd w:val="clear" w:color="auto" w:fill="F1F1F1"/>
          </w:tcPr>
          <w:p w:rsidR="00A154E5">
            <w:pPr>
              <w:pStyle w:val="TableParagraph"/>
              <w:spacing w:before="78"/>
              <w:ind w:left="6"/>
              <w:jc w:val="center"/>
            </w:pPr>
            <w:r>
              <w:rPr>
                <w:spacing w:val="-4"/>
              </w:rPr>
              <w:t xml:space="preserve">0.36</w:t>
            </w:r>
          </w:p>
        </w:tc>
        <w:tc>
          <w:tcPr>
            <w:tcW w:w="3944" w:type="dxa"/>
            <w:tcBorders>
              <w:right w:val="nil"/>
            </w:tcBorders>
            <w:shd w:val="clear" w:color="auto" w:fill="F1F1F1"/>
          </w:tcPr>
          <w:p w:rsidR="00A154E5">
            <w:pPr>
              <w:pStyle w:val="TableParagraph"/>
              <w:spacing w:before="78"/>
              <w:ind w:left="1" w:right="2"/>
              <w:jc w:val="center"/>
            </w:pPr>
            <w:r>
              <w:rPr>
                <w:spacing w:val="-4"/>
              </w:rPr>
              <w:t xml:space="preserve">0.26</w:t>
            </w:r>
          </w:p>
        </w:tc>
      </w:tr>
      <w:tr w14:paraId="32A4493E" w14:textId="77777777">
        <w:tblPrEx>
          <w:tblW w:w="0" w:type="auto"/>
          <w:tblCellSpacing w:w="44" w:type="dxa"/>
          <w:tblInd w:w="260" w:type="dxa"/>
          <w:tblLayout w:type="fixed"/>
          <w:tblCellMar>
            <w:left w:w="0" w:type="dxa"/>
            <w:right w:w="0" w:type="dxa"/>
          </w:tblCellMar>
          <w:tblLook w:val="01E0"/>
        </w:tblPrEx>
        <w:trPr>
          <w:trHeight w:val="790"/>
          <w:tblCellSpacing w:w="44" w:type="dxa"/>
        </w:trPr>
        <w:tc>
          <w:tcPr>
            <w:tcW w:w="2134" w:type="dxa"/>
            <w:tcBorders>
              <w:left w:val="nil"/>
            </w:tcBorders>
            <w:shd w:val="clear" w:color="auto" w:fill="F1F1F1"/>
          </w:tcPr>
          <w:p w:rsidR="00A154E5">
            <w:pPr>
              <w:pStyle w:val="TableParagraph"/>
              <w:spacing w:before="78" w:line="266" w:lineRule="auto"/>
              <w:ind w:left="64"/>
            </w:pPr>
            <w:r>
              <w:t xml:space="preserve">Passive</w:t>
            </w:r>
            <w:r>
              <w:rPr>
                <w:spacing w:val="-12"/>
              </w:rPr>
              <w:t xml:space="preserve"> </w:t>
            </w:r>
            <w:r>
              <w:t xml:space="preserve">static</w:t>
            </w:r>
            <w:r>
              <w:rPr>
                <w:spacing w:val="-11"/>
              </w:rPr>
              <w:t xml:space="preserve"> </w:t>
            </w:r>
            <w:r>
              <w:t xml:space="preserve">earth pressure*</w:t>
            </w:r>
            <w:r>
              <w:rPr>
                <w:spacing w:val="-1"/>
              </w:rPr>
              <w:t xml:space="preserve"> </w:t>
            </w:r>
            <w:r>
              <w:t xml:space="preserve">(</w:t>
            </w:r>
            <w:r>
              <w:t xml:space="preserve">Kp</w:t>
            </w:r>
            <w:r>
              <w:t xml:space="preserve">)</w:t>
            </w:r>
          </w:p>
        </w:tc>
        <w:tc>
          <w:tcPr>
            <w:tcW w:w="3315" w:type="dxa"/>
            <w:shd w:val="clear" w:color="auto" w:fill="F1F1F1"/>
          </w:tcPr>
          <w:p w:rsidR="00A154E5">
            <w:pPr>
              <w:pStyle w:val="TableParagraph"/>
              <w:spacing w:before="78"/>
              <w:ind w:left="6" w:right="2"/>
              <w:jc w:val="center"/>
            </w:pPr>
            <w:r>
              <w:rPr>
                <w:spacing w:val="-4"/>
              </w:rPr>
              <w:t xml:space="preserve">2.77</w:t>
            </w:r>
          </w:p>
        </w:tc>
        <w:tc>
          <w:tcPr>
            <w:tcW w:w="3944" w:type="dxa"/>
            <w:tcBorders>
              <w:right w:val="nil"/>
            </w:tcBorders>
            <w:shd w:val="clear" w:color="auto" w:fill="F1F1F1"/>
          </w:tcPr>
          <w:p w:rsidR="00A154E5">
            <w:pPr>
              <w:pStyle w:val="TableParagraph"/>
              <w:spacing w:before="78"/>
              <w:ind w:left="1" w:right="2"/>
              <w:jc w:val="center"/>
            </w:pPr>
            <w:r>
              <w:rPr>
                <w:spacing w:val="-4"/>
              </w:rPr>
              <w:t xml:space="preserve">3.85</w:t>
            </w:r>
          </w:p>
        </w:tc>
      </w:tr>
      <w:tr w14:paraId="2147FB57" w14:textId="77777777">
        <w:tblPrEx>
          <w:tblW w:w="0" w:type="auto"/>
          <w:tblCellSpacing w:w="44" w:type="dxa"/>
          <w:tblInd w:w="260" w:type="dxa"/>
          <w:tblLayout w:type="fixed"/>
          <w:tblCellMar>
            <w:left w:w="0" w:type="dxa"/>
            <w:right w:w="0" w:type="dxa"/>
          </w:tblCellMar>
          <w:tblLook w:val="01E0"/>
        </w:tblPrEx>
        <w:trPr>
          <w:trHeight w:val="790"/>
          <w:tblCellSpacing w:w="44" w:type="dxa"/>
        </w:trPr>
        <w:tc>
          <w:tcPr>
            <w:tcW w:w="2134" w:type="dxa"/>
            <w:tcBorders>
              <w:left w:val="nil"/>
            </w:tcBorders>
            <w:shd w:val="clear" w:color="auto" w:fill="F1F1F1"/>
          </w:tcPr>
          <w:p w:rsidR="00A154E5">
            <w:pPr>
              <w:pStyle w:val="TableParagraph"/>
              <w:spacing w:before="78" w:line="266" w:lineRule="auto"/>
              <w:ind w:left="64"/>
            </w:pPr>
            <w:r>
              <w:t xml:space="preserve">At</w:t>
            </w:r>
            <w:r>
              <w:rPr>
                <w:spacing w:val="-12"/>
              </w:rPr>
              <w:t xml:space="preserve"> </w:t>
            </w:r>
            <w:r>
              <w:t xml:space="preserve">rest</w:t>
            </w:r>
            <w:r>
              <w:rPr>
                <w:spacing w:val="-11"/>
              </w:rPr>
              <w:t xml:space="preserve"> </w:t>
            </w:r>
            <w:r>
              <w:t xml:space="preserve">static</w:t>
            </w:r>
            <w:r>
              <w:rPr>
                <w:spacing w:val="-11"/>
              </w:rPr>
              <w:t xml:space="preserve"> </w:t>
            </w:r>
            <w:r>
              <w:t xml:space="preserve">earth pressure*</w:t>
            </w:r>
            <w:r>
              <w:rPr>
                <w:spacing w:val="-1"/>
              </w:rPr>
              <w:t xml:space="preserve"> </w:t>
            </w:r>
            <w:r>
              <w:t xml:space="preserve">(K0)</w:t>
            </w:r>
          </w:p>
        </w:tc>
        <w:tc>
          <w:tcPr>
            <w:tcW w:w="3315" w:type="dxa"/>
            <w:shd w:val="clear" w:color="auto" w:fill="F1F1F1"/>
          </w:tcPr>
          <w:p w:rsidR="00A154E5">
            <w:pPr>
              <w:pStyle w:val="TableParagraph"/>
              <w:spacing w:before="78"/>
              <w:ind w:left="6" w:right="2"/>
              <w:jc w:val="center"/>
            </w:pPr>
            <w:r>
              <w:rPr>
                <w:spacing w:val="-4"/>
              </w:rPr>
              <w:t xml:space="preserve">0.53</w:t>
            </w:r>
          </w:p>
        </w:tc>
        <w:tc>
          <w:tcPr>
            <w:tcW w:w="3944" w:type="dxa"/>
            <w:tcBorders>
              <w:right w:val="nil"/>
            </w:tcBorders>
            <w:shd w:val="clear" w:color="auto" w:fill="F1F1F1"/>
          </w:tcPr>
          <w:p w:rsidR="00A154E5">
            <w:pPr>
              <w:pStyle w:val="TableParagraph"/>
              <w:spacing w:before="78"/>
              <w:ind w:left="2" w:right="2"/>
              <w:jc w:val="center"/>
            </w:pPr>
            <w:r>
              <w:rPr>
                <w:spacing w:val="-4"/>
              </w:rPr>
              <w:t xml:space="preserve">0.41</w:t>
            </w:r>
          </w:p>
        </w:tc>
      </w:tr>
      <w:tr w14:paraId="4CE15540" w14:textId="77777777">
        <w:tblPrEx>
          <w:tblW w:w="0" w:type="auto"/>
          <w:tblCellSpacing w:w="44" w:type="dxa"/>
          <w:tblInd w:w="260" w:type="dxa"/>
          <w:tblLayout w:type="fixed"/>
          <w:tblCellMar>
            <w:left w:w="0" w:type="dxa"/>
            <w:right w:w="0" w:type="dxa"/>
          </w:tblCellMar>
          <w:tblLook w:val="01E0"/>
        </w:tblPrEx>
        <w:trPr>
          <w:trHeight w:val="3731"/>
          <w:tblCellSpacing w:w="44" w:type="dxa"/>
        </w:trPr>
        <w:tc>
          <w:tcPr>
            <w:tcW w:w="9570" w:type="dxa"/>
            <w:gridSpan w:val="3"/>
            <w:tcBorders>
              <w:left w:val="nil"/>
              <w:bottom w:val="nil"/>
              <w:right w:val="nil"/>
            </w:tcBorders>
            <w:shd w:val="clear" w:color="auto" w:fill="F1F1F1"/>
          </w:tcPr>
          <w:p w:rsidR="00A154E5">
            <w:pPr>
              <w:pStyle w:val="TableParagraph"/>
              <w:spacing w:before="78"/>
              <w:ind w:left="64"/>
              <w:rPr>
                <w:b/>
              </w:rPr>
            </w:pPr>
            <w:r>
              <w:rPr>
                <w:b/>
              </w:rPr>
              <w:t xml:space="preserve">*</w:t>
            </w:r>
            <w:r>
              <w:rPr>
                <w:b/>
                <w:spacing w:val="1"/>
              </w:rPr>
              <w:t xml:space="preserve"> </w:t>
            </w:r>
            <w:r>
              <w:rPr>
                <w:b/>
                <w:spacing w:val="-2"/>
              </w:rPr>
              <w:t xml:space="preserve">NOTES:</w:t>
            </w:r>
          </w:p>
          <w:p w:rsidR="00A154E5">
            <w:pPr>
              <w:pStyle w:val="TableParagraph"/>
              <w:numPr>
                <w:ilvl w:val="0"/>
                <w:numId w:val="16"/>
              </w:numPr>
              <w:tabs>
                <w:tab w:val="left" w:pos="425"/>
              </w:tabs>
              <w:spacing w:before="150" w:line="264" w:lineRule="auto"/>
              <w:ind w:right="492"/>
              <w:rPr>
                <w:sz w:val="20"/>
              </w:rPr>
            </w:pPr>
            <w:r>
              <w:rPr>
                <w:sz w:val="20"/>
              </w:rPr>
              <w:t xml:space="preserve">The</w:t>
            </w:r>
            <w:r>
              <w:rPr>
                <w:spacing w:val="-3"/>
                <w:sz w:val="20"/>
              </w:rPr>
              <w:t xml:space="preserve"> </w:t>
            </w:r>
            <w:r>
              <w:rPr>
                <w:sz w:val="20"/>
              </w:rPr>
              <w:t xml:space="preserve">above</w:t>
            </w:r>
            <w:r>
              <w:rPr>
                <w:spacing w:val="-3"/>
                <w:sz w:val="20"/>
              </w:rPr>
              <w:t xml:space="preserve"> </w:t>
            </w:r>
            <w:r>
              <w:rPr>
                <w:sz w:val="20"/>
              </w:rPr>
              <w:t xml:space="preserve">lateral</w:t>
            </w:r>
            <w:r>
              <w:rPr>
                <w:spacing w:val="-2"/>
                <w:sz w:val="20"/>
              </w:rPr>
              <w:t xml:space="preserve"> </w:t>
            </w:r>
            <w:r>
              <w:rPr>
                <w:sz w:val="20"/>
              </w:rPr>
              <w:t xml:space="preserve">earth</w:t>
            </w:r>
            <w:r>
              <w:rPr>
                <w:spacing w:val="-3"/>
                <w:sz w:val="20"/>
              </w:rPr>
              <w:t xml:space="preserve"> </w:t>
            </w:r>
            <w:r>
              <w:rPr>
                <w:sz w:val="20"/>
              </w:rPr>
              <w:t xml:space="preserve">pressure</w:t>
            </w:r>
            <w:r>
              <w:rPr>
                <w:spacing w:val="-2"/>
                <w:sz w:val="20"/>
              </w:rPr>
              <w:t xml:space="preserve"> </w:t>
            </w:r>
            <w:r>
              <w:rPr>
                <w:sz w:val="20"/>
              </w:rPr>
              <w:t xml:space="preserve">coefficients</w:t>
            </w:r>
            <w:r>
              <w:rPr>
                <w:spacing w:val="-1"/>
                <w:sz w:val="20"/>
              </w:rPr>
              <w:t xml:space="preserve"> </w:t>
            </w:r>
            <w:r>
              <w:rPr>
                <w:sz w:val="20"/>
              </w:rPr>
              <w:t xml:space="preserve">have</w:t>
            </w:r>
            <w:r>
              <w:rPr>
                <w:spacing w:val="-3"/>
                <w:sz w:val="20"/>
              </w:rPr>
              <w:t xml:space="preserve"> </w:t>
            </w:r>
            <w:r>
              <w:rPr>
                <w:sz w:val="20"/>
              </w:rPr>
              <w:t xml:space="preserve">been</w:t>
            </w:r>
            <w:r>
              <w:rPr>
                <w:spacing w:val="-2"/>
                <w:sz w:val="20"/>
              </w:rPr>
              <w:t xml:space="preserve"> </w:t>
            </w:r>
            <w:r>
              <w:rPr>
                <w:sz w:val="20"/>
              </w:rPr>
              <w:t xml:space="preserve">calculated</w:t>
            </w:r>
            <w:r>
              <w:rPr>
                <w:spacing w:val="-3"/>
                <w:sz w:val="20"/>
              </w:rPr>
              <w:t xml:space="preserve"> </w:t>
            </w:r>
            <w:r>
              <w:rPr>
                <w:sz w:val="20"/>
              </w:rPr>
              <w:t xml:space="preserve">using</w:t>
            </w:r>
            <w:r>
              <w:rPr>
                <w:spacing w:val="-2"/>
                <w:sz w:val="20"/>
              </w:rPr>
              <w:t xml:space="preserve"> </w:t>
            </w:r>
            <w:r>
              <w:rPr>
                <w:sz w:val="20"/>
              </w:rPr>
              <w:t xml:space="preserve">the</w:t>
            </w:r>
            <w:r>
              <w:rPr>
                <w:spacing w:val="-3"/>
                <w:sz w:val="20"/>
              </w:rPr>
              <w:t xml:space="preserve"> </w:t>
            </w:r>
            <w:r>
              <w:rPr>
                <w:sz w:val="20"/>
              </w:rPr>
              <w:t xml:space="preserve">Rankine formulae</w:t>
            </w:r>
            <w:r>
              <w:rPr>
                <w:spacing w:val="-3"/>
                <w:sz w:val="20"/>
              </w:rPr>
              <w:t xml:space="preserve"> </w:t>
            </w:r>
            <w:r>
              <w:rPr>
                <w:sz w:val="20"/>
              </w:rPr>
              <w:t xml:space="preserve">and</w:t>
            </w:r>
            <w:r>
              <w:rPr>
                <w:spacing w:val="-3"/>
                <w:sz w:val="20"/>
              </w:rPr>
              <w:t xml:space="preserve"> </w:t>
            </w:r>
            <w:r>
              <w:rPr>
                <w:sz w:val="20"/>
              </w:rPr>
              <w:t xml:space="preserve">do</w:t>
            </w:r>
            <w:r>
              <w:rPr>
                <w:spacing w:val="-3"/>
                <w:sz w:val="20"/>
              </w:rPr>
              <w:t xml:space="preserve"> </w:t>
            </w:r>
            <w:r>
              <w:rPr>
                <w:sz w:val="20"/>
              </w:rPr>
              <w:t xml:space="preserve">not</w:t>
            </w:r>
            <w:r>
              <w:rPr>
                <w:spacing w:val="40"/>
                <w:sz w:val="20"/>
              </w:rPr>
              <w:t xml:space="preserve"> </w:t>
            </w:r>
            <w:r>
              <w:rPr>
                <w:sz w:val="20"/>
              </w:rPr>
              <w:t xml:space="preserve">allow for wall backslope, wall friction, sloping ground (behind and in front of the wall) nor any temporary</w:t>
            </w:r>
            <w:r>
              <w:rPr>
                <w:spacing w:val="40"/>
                <w:sz w:val="20"/>
              </w:rPr>
              <w:t xml:space="preserve"> </w:t>
            </w:r>
            <w:r>
              <w:rPr>
                <w:sz w:val="20"/>
              </w:rPr>
              <w:t xml:space="preserve">(compaction</w:t>
            </w:r>
            <w:r>
              <w:rPr>
                <w:spacing w:val="-4"/>
                <w:sz w:val="20"/>
              </w:rPr>
              <w:t xml:space="preserve"> </w:t>
            </w:r>
            <w:r>
              <w:rPr>
                <w:sz w:val="20"/>
              </w:rPr>
              <w:t xml:space="preserve">related)</w:t>
            </w:r>
            <w:r>
              <w:rPr>
                <w:spacing w:val="-4"/>
                <w:sz w:val="20"/>
              </w:rPr>
              <w:t xml:space="preserve"> </w:t>
            </w:r>
            <w:r>
              <w:rPr>
                <w:sz w:val="20"/>
              </w:rPr>
              <w:t xml:space="preserve">or</w:t>
            </w:r>
            <w:r>
              <w:rPr>
                <w:spacing w:val="-4"/>
                <w:sz w:val="20"/>
              </w:rPr>
              <w:t xml:space="preserve"> </w:t>
            </w:r>
            <w:r>
              <w:rPr>
                <w:sz w:val="20"/>
              </w:rPr>
              <w:t xml:space="preserve">permanent</w:t>
            </w:r>
            <w:r>
              <w:rPr>
                <w:spacing w:val="-4"/>
                <w:sz w:val="20"/>
              </w:rPr>
              <w:t xml:space="preserve"> </w:t>
            </w:r>
            <w:r>
              <w:rPr>
                <w:sz w:val="20"/>
              </w:rPr>
              <w:t xml:space="preserve">(vehicles</w:t>
            </w:r>
            <w:r>
              <w:rPr>
                <w:spacing w:val="-1"/>
                <w:sz w:val="20"/>
              </w:rPr>
              <w:t xml:space="preserve"> </w:t>
            </w:r>
            <w:r>
              <w:rPr>
                <w:sz w:val="20"/>
              </w:rPr>
              <w:t xml:space="preserve">etc.)</w:t>
            </w:r>
            <w:r>
              <w:rPr>
                <w:spacing w:val="-4"/>
                <w:sz w:val="20"/>
              </w:rPr>
              <w:t xml:space="preserve"> </w:t>
            </w:r>
            <w:r>
              <w:rPr>
                <w:sz w:val="20"/>
              </w:rPr>
              <w:t xml:space="preserve">surcharges.</w:t>
            </w:r>
            <w:r>
              <w:rPr>
                <w:spacing w:val="34"/>
                <w:sz w:val="20"/>
              </w:rPr>
              <w:t xml:space="preserve"> </w:t>
            </w:r>
            <w:r>
              <w:rPr>
                <w:sz w:val="20"/>
              </w:rPr>
              <w:t xml:space="preserve">The</w:t>
            </w:r>
            <w:r>
              <w:rPr>
                <w:spacing w:val="-5"/>
                <w:sz w:val="20"/>
              </w:rPr>
              <w:t xml:space="preserve"> </w:t>
            </w:r>
            <w:r>
              <w:rPr>
                <w:sz w:val="20"/>
              </w:rPr>
              <w:t xml:space="preserve">design</w:t>
            </w:r>
            <w:r>
              <w:rPr>
                <w:spacing w:val="-4"/>
                <w:sz w:val="20"/>
              </w:rPr>
              <w:t xml:space="preserve"> </w:t>
            </w:r>
            <w:r>
              <w:rPr>
                <w:sz w:val="20"/>
              </w:rPr>
              <w:t xml:space="preserve">earth</w:t>
            </w:r>
            <w:r>
              <w:rPr>
                <w:spacing w:val="-5"/>
                <w:sz w:val="20"/>
              </w:rPr>
              <w:t xml:space="preserve"> </w:t>
            </w:r>
            <w:r>
              <w:rPr>
                <w:sz w:val="20"/>
              </w:rPr>
              <w:t xml:space="preserve">pressure</w:t>
            </w:r>
            <w:r>
              <w:rPr>
                <w:spacing w:val="-2"/>
                <w:sz w:val="20"/>
              </w:rPr>
              <w:t xml:space="preserve"> </w:t>
            </w:r>
            <w:r>
              <w:rPr>
                <w:sz w:val="20"/>
              </w:rPr>
              <w:t xml:space="preserve">parameters</w:t>
            </w:r>
            <w:r>
              <w:rPr>
                <w:spacing w:val="-3"/>
                <w:sz w:val="20"/>
              </w:rPr>
              <w:t xml:space="preserve"> </w:t>
            </w:r>
            <w:r>
              <w:rPr>
                <w:sz w:val="20"/>
              </w:rPr>
              <w:t xml:space="preserve">may</w:t>
            </w:r>
            <w:r>
              <w:rPr>
                <w:spacing w:val="40"/>
                <w:sz w:val="20"/>
              </w:rPr>
              <w:t xml:space="preserve"> </w:t>
            </w:r>
            <w:r>
              <w:rPr>
                <w:sz w:val="20"/>
              </w:rPr>
              <w:t xml:space="preserve">therefore require adjustment depending on the final layout and construction sequence.</w:t>
            </w:r>
          </w:p>
          <w:p w:rsidR="00A154E5">
            <w:pPr>
              <w:pStyle w:val="TableParagraph"/>
              <w:numPr>
                <w:ilvl w:val="0"/>
                <w:numId w:val="16"/>
              </w:numPr>
              <w:tabs>
                <w:tab w:val="left" w:pos="425"/>
              </w:tabs>
              <w:spacing w:before="82"/>
              <w:rPr>
                <w:sz w:val="20"/>
              </w:rPr>
            </w:pPr>
            <w:r>
              <w:rPr>
                <w:sz w:val="20"/>
              </w:rPr>
              <w:t xml:space="preserve">Walls</w:t>
            </w:r>
            <w:r>
              <w:rPr>
                <w:spacing w:val="-4"/>
                <w:sz w:val="20"/>
              </w:rPr>
              <w:t xml:space="preserve"> </w:t>
            </w:r>
            <w:r>
              <w:rPr>
                <w:sz w:val="20"/>
              </w:rPr>
              <w:t xml:space="preserve">should</w:t>
            </w:r>
            <w:r>
              <w:rPr>
                <w:spacing w:val="-6"/>
                <w:sz w:val="20"/>
              </w:rPr>
              <w:t xml:space="preserve"> </w:t>
            </w:r>
            <w:r>
              <w:rPr>
                <w:sz w:val="20"/>
              </w:rPr>
              <w:t xml:space="preserve">be</w:t>
            </w:r>
            <w:r>
              <w:rPr>
                <w:spacing w:val="-6"/>
                <w:sz w:val="20"/>
              </w:rPr>
              <w:t xml:space="preserve"> </w:t>
            </w:r>
            <w:r>
              <w:rPr>
                <w:sz w:val="20"/>
              </w:rPr>
              <w:t xml:space="preserve">provided</w:t>
            </w:r>
            <w:r>
              <w:rPr>
                <w:spacing w:val="-6"/>
                <w:sz w:val="20"/>
              </w:rPr>
              <w:t xml:space="preserve"> </w:t>
            </w:r>
            <w:r>
              <w:rPr>
                <w:sz w:val="20"/>
              </w:rPr>
              <w:t xml:space="preserve">with</w:t>
            </w:r>
            <w:r>
              <w:rPr>
                <w:spacing w:val="-5"/>
                <w:sz w:val="20"/>
              </w:rPr>
              <w:t xml:space="preserve"> </w:t>
            </w:r>
            <w:r>
              <w:rPr>
                <w:sz w:val="20"/>
              </w:rPr>
              <w:t xml:space="preserve">permeable</w:t>
            </w:r>
            <w:r>
              <w:rPr>
                <w:spacing w:val="-4"/>
                <w:sz w:val="20"/>
              </w:rPr>
              <w:t xml:space="preserve"> </w:t>
            </w:r>
            <w:r>
              <w:rPr>
                <w:sz w:val="20"/>
              </w:rPr>
              <w:t xml:space="preserve">backfill</w:t>
            </w:r>
            <w:r>
              <w:rPr>
                <w:spacing w:val="-4"/>
                <w:sz w:val="20"/>
              </w:rPr>
              <w:t xml:space="preserve"> </w:t>
            </w:r>
            <w:r>
              <w:rPr>
                <w:sz w:val="20"/>
              </w:rPr>
              <w:t xml:space="preserve">and</w:t>
            </w:r>
            <w:r>
              <w:rPr>
                <w:spacing w:val="-6"/>
                <w:sz w:val="20"/>
              </w:rPr>
              <w:t xml:space="preserve"> </w:t>
            </w:r>
            <w:r>
              <w:rPr>
                <w:sz w:val="20"/>
              </w:rPr>
              <w:t xml:space="preserve">with</w:t>
            </w:r>
            <w:r>
              <w:rPr>
                <w:spacing w:val="-3"/>
                <w:sz w:val="20"/>
              </w:rPr>
              <w:t xml:space="preserve"> </w:t>
            </w:r>
            <w:r>
              <w:rPr>
                <w:sz w:val="20"/>
              </w:rPr>
              <w:t xml:space="preserve">a</w:t>
            </w:r>
            <w:r>
              <w:rPr>
                <w:spacing w:val="-4"/>
                <w:sz w:val="20"/>
              </w:rPr>
              <w:t xml:space="preserve"> </w:t>
            </w:r>
            <w:r>
              <w:rPr>
                <w:sz w:val="20"/>
              </w:rPr>
              <w:t xml:space="preserve">perforated</w:t>
            </w:r>
            <w:r>
              <w:rPr>
                <w:spacing w:val="-4"/>
                <w:sz w:val="20"/>
              </w:rPr>
              <w:t xml:space="preserve"> </w:t>
            </w:r>
            <w:r>
              <w:rPr>
                <w:sz w:val="20"/>
              </w:rPr>
              <w:t xml:space="preserve">collector</w:t>
            </w:r>
            <w:r>
              <w:rPr>
                <w:spacing w:val="-4"/>
                <w:sz w:val="20"/>
              </w:rPr>
              <w:t xml:space="preserve"> </w:t>
            </w:r>
            <w:r>
              <w:rPr>
                <w:sz w:val="20"/>
              </w:rPr>
              <w:t xml:space="preserve">pipe</w:t>
            </w:r>
            <w:r>
              <w:rPr>
                <w:spacing w:val="-6"/>
                <w:sz w:val="20"/>
              </w:rPr>
              <w:t xml:space="preserve"> </w:t>
            </w:r>
            <w:r>
              <w:rPr>
                <w:sz w:val="20"/>
              </w:rPr>
              <w:t xml:space="preserve">at</w:t>
            </w:r>
            <w:r>
              <w:rPr>
                <w:spacing w:val="-5"/>
                <w:sz w:val="20"/>
              </w:rPr>
              <w:t xml:space="preserve"> </w:t>
            </w:r>
            <w:r>
              <w:rPr>
                <w:sz w:val="20"/>
              </w:rPr>
              <w:t xml:space="preserve">the</w:t>
            </w:r>
            <w:r>
              <w:rPr>
                <w:spacing w:val="-6"/>
                <w:sz w:val="20"/>
              </w:rPr>
              <w:t xml:space="preserve"> </w:t>
            </w:r>
            <w:r>
              <w:rPr>
                <w:sz w:val="20"/>
              </w:rPr>
              <w:t xml:space="preserve">base.</w:t>
            </w:r>
            <w:r>
              <w:rPr>
                <w:spacing w:val="-4"/>
                <w:sz w:val="20"/>
              </w:rPr>
              <w:t xml:space="preserve"> </w:t>
            </w:r>
            <w:r>
              <w:rPr>
                <w:spacing w:val="-5"/>
                <w:sz w:val="20"/>
              </w:rPr>
              <w:t xml:space="preserve">An</w:t>
            </w:r>
          </w:p>
          <w:p w:rsidR="00A154E5">
            <w:pPr>
              <w:pStyle w:val="TableParagraph"/>
              <w:spacing w:before="24" w:line="261" w:lineRule="auto"/>
              <w:ind w:left="425"/>
              <w:rPr>
                <w:sz w:val="20"/>
              </w:rPr>
            </w:pPr>
            <w:r>
              <w:rPr>
                <w:sz w:val="20"/>
              </w:rPr>
              <w:t xml:space="preserve">impermeable</w:t>
            </w:r>
            <w:r>
              <w:rPr>
                <w:spacing w:val="-4"/>
                <w:sz w:val="20"/>
              </w:rPr>
              <w:t xml:space="preserve"> </w:t>
            </w:r>
            <w:r>
              <w:rPr>
                <w:sz w:val="20"/>
              </w:rPr>
              <w:t xml:space="preserve">cap</w:t>
            </w:r>
            <w:r>
              <w:rPr>
                <w:spacing w:val="-3"/>
                <w:sz w:val="20"/>
              </w:rPr>
              <w:t xml:space="preserve"> </w:t>
            </w:r>
            <w:r>
              <w:rPr>
                <w:sz w:val="20"/>
              </w:rPr>
              <w:t xml:space="preserve">such</w:t>
            </w:r>
            <w:r>
              <w:rPr>
                <w:spacing w:val="-4"/>
                <w:sz w:val="20"/>
              </w:rPr>
              <w:t xml:space="preserve"> </w:t>
            </w:r>
            <w:r>
              <w:rPr>
                <w:sz w:val="20"/>
              </w:rPr>
              <w:t xml:space="preserve">as</w:t>
            </w:r>
            <w:r>
              <w:rPr>
                <w:spacing w:val="-2"/>
                <w:sz w:val="20"/>
              </w:rPr>
              <w:t xml:space="preserve"> </w:t>
            </w:r>
            <w:r>
              <w:rPr>
                <w:sz w:val="20"/>
              </w:rPr>
              <w:t xml:space="preserve">concrete</w:t>
            </w:r>
            <w:r>
              <w:rPr>
                <w:spacing w:val="-3"/>
                <w:sz w:val="20"/>
              </w:rPr>
              <w:t xml:space="preserve"> </w:t>
            </w:r>
            <w:r>
              <w:rPr>
                <w:sz w:val="20"/>
              </w:rPr>
              <w:t xml:space="preserve">or</w:t>
            </w:r>
            <w:r>
              <w:rPr>
                <w:spacing w:val="-1"/>
                <w:sz w:val="20"/>
              </w:rPr>
              <w:t xml:space="preserve"> </w:t>
            </w:r>
            <w:r>
              <w:rPr>
                <w:sz w:val="20"/>
              </w:rPr>
              <w:t xml:space="preserve">300</w:t>
            </w:r>
            <w:r>
              <w:rPr>
                <w:spacing w:val="-4"/>
                <w:sz w:val="20"/>
              </w:rPr>
              <w:t xml:space="preserve"> </w:t>
            </w:r>
            <w:r>
              <w:rPr>
                <w:sz w:val="20"/>
              </w:rPr>
              <w:t xml:space="preserve">mm</w:t>
            </w:r>
            <w:r>
              <w:rPr>
                <w:spacing w:val="-2"/>
                <w:sz w:val="20"/>
              </w:rPr>
              <w:t xml:space="preserve"> </w:t>
            </w:r>
            <w:r>
              <w:rPr>
                <w:sz w:val="20"/>
              </w:rPr>
              <w:t xml:space="preserve">thickness</w:t>
            </w:r>
            <w:r>
              <w:rPr>
                <w:spacing w:val="-2"/>
                <w:sz w:val="20"/>
              </w:rPr>
              <w:t xml:space="preserve"> </w:t>
            </w:r>
            <w:r>
              <w:rPr>
                <w:sz w:val="20"/>
              </w:rPr>
              <w:t xml:space="preserve">of</w:t>
            </w:r>
            <w:r>
              <w:rPr>
                <w:spacing w:val="-4"/>
                <w:sz w:val="20"/>
              </w:rPr>
              <w:t xml:space="preserve"> </w:t>
            </w:r>
            <w:r>
              <w:rPr>
                <w:sz w:val="20"/>
              </w:rPr>
              <w:t xml:space="preserve">compacted</w:t>
            </w:r>
            <w:r>
              <w:rPr>
                <w:spacing w:val="-4"/>
                <w:sz w:val="20"/>
              </w:rPr>
              <w:t xml:space="preserve"> </w:t>
            </w:r>
            <w:r>
              <w:rPr>
                <w:sz w:val="20"/>
              </w:rPr>
              <w:t xml:space="preserve">clay</w:t>
            </w:r>
            <w:r>
              <w:rPr>
                <w:spacing w:val="-2"/>
                <w:sz w:val="20"/>
              </w:rPr>
              <w:t xml:space="preserve"> </w:t>
            </w:r>
            <w:r>
              <w:rPr>
                <w:sz w:val="20"/>
              </w:rPr>
              <w:t xml:space="preserve">should</w:t>
            </w:r>
            <w:r>
              <w:rPr>
                <w:spacing w:val="-2"/>
                <w:sz w:val="20"/>
              </w:rPr>
              <w:t xml:space="preserve"> </w:t>
            </w:r>
            <w:r>
              <w:rPr>
                <w:sz w:val="20"/>
              </w:rPr>
              <w:t xml:space="preserve">be</w:t>
            </w:r>
            <w:r>
              <w:rPr>
                <w:spacing w:val="-4"/>
                <w:sz w:val="20"/>
              </w:rPr>
              <w:t xml:space="preserve"> </w:t>
            </w:r>
            <w:r>
              <w:rPr>
                <w:sz w:val="20"/>
              </w:rPr>
              <w:t xml:space="preserve">placed</w:t>
            </w:r>
            <w:r>
              <w:rPr>
                <w:spacing w:val="-4"/>
                <w:sz w:val="20"/>
              </w:rPr>
              <w:t xml:space="preserve"> </w:t>
            </w:r>
            <w:r>
              <w:rPr>
                <w:sz w:val="20"/>
              </w:rPr>
              <w:t xml:space="preserve">at</w:t>
            </w:r>
            <w:r>
              <w:rPr>
                <w:spacing w:val="-3"/>
                <w:sz w:val="20"/>
              </w:rPr>
              <w:t xml:space="preserve"> </w:t>
            </w:r>
            <w:r>
              <w:rPr>
                <w:sz w:val="20"/>
              </w:rPr>
              <w:t xml:space="preserve">the</w:t>
            </w:r>
            <w:r>
              <w:rPr>
                <w:spacing w:val="-4"/>
                <w:sz w:val="20"/>
              </w:rPr>
              <w:t xml:space="preserve"> </w:t>
            </w:r>
            <w:r>
              <w:rPr>
                <w:sz w:val="20"/>
              </w:rPr>
              <w:t xml:space="preserve">surface</w:t>
            </w:r>
            <w:r>
              <w:rPr>
                <w:spacing w:val="-4"/>
                <w:sz w:val="20"/>
              </w:rPr>
              <w:t xml:space="preserve"> </w:t>
            </w:r>
            <w:r>
              <w:rPr>
                <w:sz w:val="20"/>
              </w:rPr>
              <w:t xml:space="preserve">to</w:t>
            </w:r>
            <w:r>
              <w:rPr>
                <w:spacing w:val="40"/>
                <w:sz w:val="20"/>
              </w:rPr>
              <w:t xml:space="preserve"> </w:t>
            </w:r>
            <w:r>
              <w:rPr>
                <w:sz w:val="20"/>
              </w:rPr>
              <w:t xml:space="preserve">prevent stormwater infiltration into the backfill.</w:t>
            </w:r>
          </w:p>
          <w:p w:rsidR="00A154E5">
            <w:pPr>
              <w:pStyle w:val="TableParagraph"/>
              <w:numPr>
                <w:ilvl w:val="0"/>
                <w:numId w:val="16"/>
              </w:numPr>
              <w:tabs>
                <w:tab w:val="left" w:pos="425"/>
              </w:tabs>
              <w:spacing w:before="84" w:line="264" w:lineRule="auto"/>
              <w:ind w:right="380"/>
              <w:rPr>
                <w:sz w:val="20"/>
              </w:rPr>
            </w:pPr>
            <w:r>
              <w:rPr>
                <w:sz w:val="20"/>
              </w:rPr>
              <w:t xml:space="preserve">There</w:t>
            </w:r>
            <w:r>
              <w:rPr>
                <w:spacing w:val="-3"/>
                <w:sz w:val="20"/>
              </w:rPr>
              <w:t xml:space="preserve"> </w:t>
            </w:r>
            <w:r>
              <w:rPr>
                <w:sz w:val="20"/>
              </w:rPr>
              <w:t xml:space="preserve">is</w:t>
            </w:r>
            <w:r>
              <w:rPr>
                <w:spacing w:val="-2"/>
                <w:sz w:val="20"/>
              </w:rPr>
              <w:t xml:space="preserve"> </w:t>
            </w:r>
            <w:r>
              <w:rPr>
                <w:sz w:val="20"/>
              </w:rPr>
              <w:t xml:space="preserve">potential</w:t>
            </w:r>
            <w:r>
              <w:rPr>
                <w:spacing w:val="-3"/>
                <w:sz w:val="20"/>
              </w:rPr>
              <w:t xml:space="preserve"> </w:t>
            </w:r>
            <w:r>
              <w:rPr>
                <w:sz w:val="20"/>
              </w:rPr>
              <w:t xml:space="preserve">for</w:t>
            </w:r>
            <w:r>
              <w:rPr>
                <w:spacing w:val="-3"/>
                <w:sz w:val="20"/>
              </w:rPr>
              <w:t xml:space="preserve"> </w:t>
            </w:r>
            <w:r>
              <w:rPr>
                <w:sz w:val="20"/>
              </w:rPr>
              <w:t xml:space="preserve">minor</w:t>
            </w:r>
            <w:r>
              <w:rPr>
                <w:spacing w:val="-2"/>
                <w:sz w:val="20"/>
              </w:rPr>
              <w:t xml:space="preserve"> </w:t>
            </w:r>
            <w:r>
              <w:rPr>
                <w:sz w:val="20"/>
              </w:rPr>
              <w:t xml:space="preserve">ground</w:t>
            </w:r>
            <w:r>
              <w:rPr>
                <w:spacing w:val="-3"/>
                <w:sz w:val="20"/>
              </w:rPr>
              <w:t xml:space="preserve"> </w:t>
            </w:r>
            <w:r>
              <w:rPr>
                <w:sz w:val="20"/>
              </w:rPr>
              <w:t xml:space="preserve">settlement</w:t>
            </w:r>
            <w:r>
              <w:rPr>
                <w:spacing w:val="-2"/>
                <w:sz w:val="20"/>
              </w:rPr>
              <w:t xml:space="preserve"> </w:t>
            </w:r>
            <w:r>
              <w:rPr>
                <w:sz w:val="20"/>
              </w:rPr>
              <w:t xml:space="preserve">behind</w:t>
            </w:r>
            <w:r>
              <w:rPr>
                <w:spacing w:val="-4"/>
                <w:sz w:val="20"/>
              </w:rPr>
              <w:t xml:space="preserve"> </w:t>
            </w:r>
            <w:r>
              <w:rPr>
                <w:sz w:val="20"/>
              </w:rPr>
              <w:t xml:space="preserve">the</w:t>
            </w:r>
            <w:r>
              <w:rPr>
                <w:spacing w:val="-1"/>
                <w:sz w:val="20"/>
              </w:rPr>
              <w:t xml:space="preserve"> </w:t>
            </w:r>
            <w:r>
              <w:rPr>
                <w:sz w:val="20"/>
              </w:rPr>
              <w:t xml:space="preserve">retaining</w:t>
            </w:r>
            <w:r>
              <w:rPr>
                <w:spacing w:val="-3"/>
                <w:sz w:val="20"/>
              </w:rPr>
              <w:t xml:space="preserve"> </w:t>
            </w:r>
            <w:r>
              <w:rPr>
                <w:sz w:val="20"/>
              </w:rPr>
              <w:t xml:space="preserve">walls.</w:t>
            </w:r>
            <w:r>
              <w:rPr>
                <w:spacing w:val="35"/>
                <w:sz w:val="20"/>
              </w:rPr>
              <w:t xml:space="preserve"> </w:t>
            </w:r>
            <w:r>
              <w:rPr>
                <w:sz w:val="20"/>
              </w:rPr>
              <w:t xml:space="preserve">This should</w:t>
            </w:r>
            <w:r>
              <w:rPr>
                <w:spacing w:val="-2"/>
                <w:sz w:val="20"/>
              </w:rPr>
              <w:t xml:space="preserve"> </w:t>
            </w:r>
            <w:r>
              <w:rPr>
                <w:sz w:val="20"/>
              </w:rPr>
              <w:t xml:space="preserve">be</w:t>
            </w:r>
            <w:r>
              <w:rPr>
                <w:spacing w:val="-4"/>
                <w:sz w:val="20"/>
              </w:rPr>
              <w:t xml:space="preserve"> </w:t>
            </w:r>
            <w:r>
              <w:rPr>
                <w:sz w:val="20"/>
              </w:rPr>
              <w:t xml:space="preserve">considered</w:t>
            </w:r>
            <w:r>
              <w:rPr>
                <w:spacing w:val="-4"/>
                <w:sz w:val="20"/>
              </w:rPr>
              <w:t xml:space="preserve"> </w:t>
            </w:r>
            <w:r>
              <w:rPr>
                <w:sz w:val="20"/>
              </w:rPr>
              <w:t xml:space="preserve">in</w:t>
            </w:r>
            <w:r>
              <w:rPr>
                <w:spacing w:val="-3"/>
                <w:sz w:val="20"/>
              </w:rPr>
              <w:t xml:space="preserve"> </w:t>
            </w:r>
            <w:r>
              <w:rPr>
                <w:sz w:val="20"/>
              </w:rPr>
              <w:t xml:space="preserve">the</w:t>
            </w:r>
            <w:r>
              <w:rPr>
                <w:spacing w:val="40"/>
                <w:sz w:val="20"/>
              </w:rPr>
              <w:t xml:space="preserve"> </w:t>
            </w:r>
            <w:r>
              <w:rPr>
                <w:sz w:val="20"/>
              </w:rPr>
              <w:t xml:space="preserve">design of any hard surfacing structures directly behind the retaining walls.</w:t>
            </w:r>
          </w:p>
          <w:p w:rsidR="00A154E5">
            <w:pPr>
              <w:pStyle w:val="TableParagraph"/>
              <w:numPr>
                <w:ilvl w:val="0"/>
                <w:numId w:val="16"/>
              </w:numPr>
              <w:tabs>
                <w:tab w:val="left" w:pos="425"/>
              </w:tabs>
              <w:spacing w:before="65" w:line="270" w:lineRule="atLeast"/>
              <w:ind w:right="241"/>
              <w:rPr>
                <w:sz w:val="20"/>
              </w:rPr>
            </w:pPr>
            <w:r>
              <w:rPr>
                <w:sz w:val="20"/>
              </w:rPr>
              <w:t xml:space="preserve">Friction</w:t>
            </w:r>
            <w:r>
              <w:rPr>
                <w:spacing w:val="-3"/>
                <w:sz w:val="20"/>
              </w:rPr>
              <w:t xml:space="preserve"> </w:t>
            </w:r>
            <w:r>
              <w:rPr>
                <w:sz w:val="20"/>
              </w:rPr>
              <w:t xml:space="preserve">angles</w:t>
            </w:r>
            <w:r>
              <w:rPr>
                <w:spacing w:val="-2"/>
                <w:sz w:val="20"/>
              </w:rPr>
              <w:t xml:space="preserve"> </w:t>
            </w:r>
            <w:r>
              <w:rPr>
                <w:sz w:val="20"/>
              </w:rPr>
              <w:t xml:space="preserve">and</w:t>
            </w:r>
            <w:r>
              <w:rPr>
                <w:spacing w:val="-4"/>
                <w:sz w:val="20"/>
              </w:rPr>
              <w:t xml:space="preserve"> </w:t>
            </w:r>
            <w:r>
              <w:rPr>
                <w:sz w:val="20"/>
              </w:rPr>
              <w:t xml:space="preserve">cohesion</w:t>
            </w:r>
            <w:r>
              <w:rPr>
                <w:spacing w:val="-3"/>
                <w:sz w:val="20"/>
              </w:rPr>
              <w:t xml:space="preserve"> </w:t>
            </w:r>
            <w:r>
              <w:rPr>
                <w:sz w:val="20"/>
              </w:rPr>
              <w:t xml:space="preserve">parameters</w:t>
            </w:r>
            <w:r>
              <w:rPr>
                <w:spacing w:val="-2"/>
                <w:sz w:val="20"/>
              </w:rPr>
              <w:t xml:space="preserve"> </w:t>
            </w:r>
            <w:r>
              <w:rPr>
                <w:sz w:val="20"/>
              </w:rPr>
              <w:t xml:space="preserve">provided</w:t>
            </w:r>
            <w:r>
              <w:rPr>
                <w:spacing w:val="-4"/>
                <w:sz w:val="20"/>
              </w:rPr>
              <w:t xml:space="preserve"> </w:t>
            </w:r>
            <w:r>
              <w:rPr>
                <w:sz w:val="20"/>
              </w:rPr>
              <w:t xml:space="preserve">in</w:t>
            </w:r>
            <w:r>
              <w:rPr>
                <w:spacing w:val="-3"/>
                <w:sz w:val="20"/>
              </w:rPr>
              <w:t xml:space="preserve"> </w:t>
            </w:r>
            <w:r>
              <w:rPr>
                <w:sz w:val="20"/>
              </w:rPr>
              <w:t xml:space="preserve">the</w:t>
            </w:r>
            <w:r>
              <w:rPr>
                <w:spacing w:val="-4"/>
                <w:sz w:val="20"/>
              </w:rPr>
              <w:t xml:space="preserve"> </w:t>
            </w:r>
            <w:r>
              <w:rPr>
                <w:sz w:val="20"/>
              </w:rPr>
              <w:t xml:space="preserve">above</w:t>
            </w:r>
            <w:r>
              <w:rPr>
                <w:spacing w:val="-4"/>
                <w:sz w:val="20"/>
              </w:rPr>
              <w:t xml:space="preserve"> </w:t>
            </w:r>
            <w:r>
              <w:rPr>
                <w:sz w:val="20"/>
              </w:rPr>
              <w:t xml:space="preserve">table</w:t>
            </w:r>
            <w:r>
              <w:rPr>
                <w:spacing w:val="-4"/>
                <w:sz w:val="20"/>
              </w:rPr>
              <w:t xml:space="preserve"> </w:t>
            </w:r>
            <w:r>
              <w:rPr>
                <w:sz w:val="20"/>
              </w:rPr>
              <w:t xml:space="preserve">are suitable</w:t>
            </w:r>
            <w:r>
              <w:rPr>
                <w:spacing w:val="-4"/>
                <w:sz w:val="20"/>
              </w:rPr>
              <w:t xml:space="preserve"> </w:t>
            </w:r>
            <w:r>
              <w:rPr>
                <w:sz w:val="20"/>
              </w:rPr>
              <w:t xml:space="preserve">to</w:t>
            </w:r>
            <w:r>
              <w:rPr>
                <w:spacing w:val="-3"/>
                <w:sz w:val="20"/>
              </w:rPr>
              <w:t xml:space="preserve"> </w:t>
            </w:r>
            <w:r>
              <w:rPr>
                <w:sz w:val="20"/>
              </w:rPr>
              <w:t xml:space="preserve">calculate</w:t>
            </w:r>
            <w:r>
              <w:rPr>
                <w:spacing w:val="-3"/>
                <w:sz w:val="20"/>
              </w:rPr>
              <w:t xml:space="preserve"> </w:t>
            </w:r>
            <w:r>
              <w:rPr>
                <w:sz w:val="20"/>
              </w:rPr>
              <w:t xml:space="preserve">earth</w:t>
            </w:r>
            <w:r>
              <w:rPr>
                <w:spacing w:val="-4"/>
                <w:sz w:val="20"/>
              </w:rPr>
              <w:t xml:space="preserve"> </w:t>
            </w:r>
            <w:r>
              <w:rPr>
                <w:sz w:val="20"/>
              </w:rPr>
              <w:t xml:space="preserve">pressures</w:t>
            </w:r>
            <w:r>
              <w:rPr>
                <w:spacing w:val="40"/>
                <w:sz w:val="20"/>
              </w:rPr>
              <w:t xml:space="preserve"> </w:t>
            </w:r>
            <w:r>
              <w:rPr>
                <w:sz w:val="20"/>
              </w:rPr>
              <w:t xml:space="preserve">on retaining walls but are not to be used to calculate bearing capacity at this site.</w:t>
            </w:r>
          </w:p>
        </w:tc>
      </w:tr>
    </w:tbl>
    <w:p w:rsidR="00A154E5">
      <w:pPr>
        <w:pStyle w:val="BodyText"/>
        <w:spacing w:before="175" w:line="264" w:lineRule="auto"/>
        <w:ind w:left="120"/>
      </w:pPr>
      <w:r>
        <w:t xml:space="preserve">For gravity and concrete walls, it is recommended that building foundations be embedded below or offset horizontally from the 45° zone of influence of the retaining wall to avoid surcharging the retaining wall with building loads as shown in Figure 3 below. For geogrid reinforced walls consideration must be given to the influence of foundations on the wall if the foundation is located within a zone equal to twice the wall height.</w:t>
      </w:r>
    </w:p>
    <w:p w:rsidR="00A154E5">
      <w:pPr>
        <w:spacing w:line="264" w:lineRule="auto"/>
        <w:sectPr>
          <w:pgSz w:w="11910" w:h="16840" w:orient="portrait"/>
          <w:pgMar w:top="1380" w:right="960" w:bottom="1140" w:left="960" w:header="0" w:footer="953" w:gutter="0"/>
          <w:cols w:num="1" w:space="720">
            <w:col w:w="9990" w:space="720"/>
          </w:cols>
        </w:sectPr>
      </w:pPr>
    </w:p>
    <w:p w:rsidR="00A154E5">
      <w:pPr>
        <w:pStyle w:val="BodyText"/>
        <w:ind w:left="120"/>
        <w:rPr>
          <w:sz w:val="20"/>
        </w:rPr>
      </w:pPr>
    </w:p>
    <w:p w:rsidR="00A154E5">
      <w:pPr>
        <w:pStyle w:val="Heading4"/>
        <w:spacing w:before="176"/>
      </w:pPr>
      <w:r>
        <w:t xml:space="preserve">Figure 2: Allowable horizontal offset between building foundations and retaining wall</w:t>
      </w:r>
    </w:p>
    <w:p w:rsidR="00A154E5">
      <w:pPr>
        <w:pStyle w:val="BodyText"/>
        <w:spacing w:before="266"/>
        <w:rPr>
          <w:b/>
        </w:rPr>
      </w:pPr>
    </w:p>
    <w:p w:rsidR="00A154E5">
      <w:pPr>
        <w:pStyle w:val="BodyText"/>
        <w:spacing w:before="1" w:line="264" w:lineRule="auto"/>
        <w:ind w:left="120"/>
      </w:pPr>
      <w:commentRangeStart w:id="28"/>
      <w:r>
        <w:t xml:space="preserve">Assufting</w:t>
      </w:r>
      <w:commentRangeEnd w:id="28"/>
      <w:r>
        <w:commentReference w:id="28"/>
      </w:r>
      <w:r>
        <w:t xml:space="preserve"> a 45° zone of influence and a horizontal backslope, the minimum safe horizontal offset (x) may be calculated as:</w:t>
      </w:r>
    </w:p>
    <w:p w:rsidR="00A154E5">
      <w:pPr>
        <w:spacing w:before="120"/>
        <w:ind w:right="1"/>
        <w:jc w:val="center"/>
        <w:rPr>
          <w:rFonts w:ascii="Cambria Math" w:eastAsia="Cambria Math" w:hAnsi="Cambria Math"/>
        </w:rPr>
      </w:pPr>
      <w:r>
        <w:t xml:space="preserve">𝑥 = 𝐻 − 𝐷</w:t>
      </w:r>
    </w:p>
    <w:p w:rsidR="00A154E5">
      <w:pPr>
        <w:pStyle w:val="BodyText"/>
        <w:spacing w:before="144" w:line="372" w:lineRule="auto"/>
        <w:ind w:left="840" w:right="4627" w:hanging="721"/>
      </w:pPr>
      <w:r>
        <w:t xml:space="preserve">Where: H = height of retaining wall from embedment toe D = depth of strip footing embedment</w:t>
      </w:r>
    </w:p>
    <w:p w:rsidR="00A154E5">
      <w:pPr>
        <w:pStyle w:val="BodyText"/>
        <w:spacing w:line="264" w:lineRule="auto"/>
        <w:ind w:left="120"/>
      </w:pPr>
      <w:r>
        <w:t xml:space="preserve">Specific geotechnical assessment would be required for any proposed foundations located closer to the wall than recommended above.</w:t>
      </w:r>
    </w:p>
    <w:p w:rsidR="00A154E5">
      <w:pPr>
        <w:pStyle w:val="BodyText"/>
        <w:spacing w:before="91"/>
      </w:pPr>
    </w:p>
    <w:p w:rsidR="00A154E5">
      <w:pPr>
        <w:pStyle w:val="Heading2"/>
        <w:numPr>
          <w:ilvl w:val="1"/>
          <w:numId w:val="13"/>
        </w:numPr>
        <w:tabs>
          <w:tab w:val="left" w:pos="685"/>
        </w:tabs>
        <w:ind w:left="685" w:hanging="565"/>
      </w:pPr>
      <w:r>
        <w:t xml:space="preserve">Pavements</w:t>
      </w:r>
    </w:p>
    <w:p w:rsidR="00A154E5">
      <w:pPr>
        <w:pStyle w:val="BodyText"/>
        <w:spacing w:before="121"/>
        <w:ind w:left="120"/>
      </w:pPr>
      <w:r>
        <w:t xml:space="preserve">The volcanic ash soils underlying the site should provide an acceptable subgrade for pavements when</w:t>
      </w:r>
    </w:p>
    <w:p w:rsidR="00A154E5">
      <w:pPr>
        <w:pStyle w:val="BodyText"/>
        <w:spacing w:before="26" w:line="264" w:lineRule="auto"/>
        <w:ind w:left="120"/>
      </w:pPr>
      <w:r>
        <w:t xml:space="preserve">prepared, protected and constructed in dry conditions. For design purposes, a subgrade </w:t>
      </w:r>
      <w:commentRangeStart w:id="29"/>
      <w:r>
        <w:t xml:space="preserve">CBR</w:t>
      </w:r>
      <w:commentRangeEnd w:id="29"/>
      <w:r>
        <w:commentReference w:id="29"/>
      </w:r>
      <w:r>
        <w:t xml:space="preserve"> of 3% (soaked) may be adopted where the pavement bears on these soils and/or on new</w:t>
      </w:r>
    </w:p>
    <w:p w:rsidR="00A154E5">
      <w:pPr>
        <w:pStyle w:val="BodyText"/>
        <w:spacing w:line="264" w:lineRule="auto"/>
        <w:ind w:left="120"/>
      </w:pPr>
      <w:r>
        <w:t xml:space="preserve">engineered fill compacted to the engineered standards as per Section Earthwork. This strength should be confirmed by in-situ testing following stripping to subgrade level. Preparation of the subgrade during wet conditions should be avoided in volcanic ash soils due to their sensitivity. The finished cut surface should be protected as soon as possible. Running traffic directly on the finished cut surface may cause weakening and deterioration of the subgrade.</w:t>
      </w:r>
    </w:p>
    <w:p w:rsidR="00A154E5">
      <w:pPr>
        <w:pStyle w:val="BodyText"/>
        <w:spacing w:before="119"/>
        <w:ind w:left="120"/>
        <w:jc w:val="both"/>
      </w:pPr>
      <w:r>
        <w:t xml:space="preserve">Any areas of subgrade not meeting the required CBR strength should be undercut and replaced with</w:t>
      </w:r>
    </w:p>
    <w:p w:rsidR="00A154E5">
      <w:pPr>
        <w:pStyle w:val="BodyText"/>
        <w:spacing w:before="27" w:line="264" w:lineRule="auto"/>
        <w:ind w:left="120" w:right="357"/>
        <w:jc w:val="both"/>
      </w:pPr>
      <w:r>
        <w:t xml:space="preserve">compacted hardfill. Undercuts should be reviewed to determine the required thickness of the undercut. A combination of geogrids and hardfill may be possible to reduce required undercut thicknesses and bridge over soft layers.</w:t>
      </w:r>
    </w:p>
    <w:p w:rsidR="00A154E5">
      <w:pPr>
        <w:spacing w:line="264" w:lineRule="auto"/>
        <w:jc w:val="both"/>
        <w:sectPr>
          <w:pgSz w:w="11910" w:h="16840" w:orient="portrait"/>
          <w:pgMar w:top="1420" w:right="960" w:bottom="1140" w:left="960" w:header="0" w:footer="953" w:gutter="0"/>
          <w:cols w:num="1" w:space="720">
            <w:col w:w="9990" w:space="720"/>
          </w:cols>
        </w:sectPr>
      </w:pPr>
    </w:p>
    <w:p w:rsidR="00A154E5">
      <w:pPr>
        <w:pStyle w:val="Heading2"/>
        <w:numPr>
          <w:ilvl w:val="1"/>
          <w:numId w:val="13"/>
        </w:numPr>
        <w:tabs>
          <w:tab w:val="left" w:pos="685"/>
        </w:tabs>
        <w:spacing w:before="2"/>
        <w:ind w:left="685" w:hanging="565"/>
      </w:pPr>
      <w:r>
        <w:t xml:space="preserve">Seismic considerations</w:t>
      </w:r>
    </w:p>
    <w:p w:rsidR="00A154E5">
      <w:pPr>
        <w:pStyle w:val="ListParagraph"/>
        <w:numPr>
          <w:ilvl w:val="2"/>
          <w:numId w:val="13"/>
        </w:numPr>
        <w:tabs>
          <w:tab w:val="left" w:pos="1200"/>
        </w:tabs>
        <w:spacing w:before="316"/>
        <w:ind w:hanging="1080"/>
        <w:rPr>
          <w:b/>
          <w:sz w:val="24"/>
        </w:rPr>
      </w:pPr>
      <w:r>
        <w:t xml:space="preserve">Site subsoil class</w:t>
      </w:r>
    </w:p>
    <w:p w:rsidR="00A154E5">
      <w:pPr>
        <w:pStyle w:val="BodyText"/>
        <w:spacing w:before="54"/>
        <w:rPr>
          <w:b/>
          <w:sz w:val="24"/>
        </w:rPr>
      </w:pPr>
    </w:p>
    <w:p w:rsidR="00A154E5">
      <w:pPr>
        <w:pStyle w:val="BodyText"/>
        <w:spacing w:line="264" w:lineRule="auto"/>
        <w:ind w:left="120" w:right="210"/>
      </w:pPr>
      <w:r>
        <w:t xml:space="preserve">New Zealand Standard NZS 1170.5:20045 provides guidelines for determination of site subsoil class and includes classes which range from A to E. Based on the results of the site investigations and our experience in the area, in accordance with NZS 1170.5:20044, the Site is classified as a Class D deep or soft soil site.</w:t>
      </w:r>
    </w:p>
    <w:p w:rsidR="00A154E5">
      <w:pPr>
        <w:pStyle w:val="BodyText"/>
        <w:spacing w:before="48"/>
      </w:pPr>
    </w:p>
    <w:p w:rsidR="00A154E5">
      <w:pPr>
        <w:pStyle w:val="ListParagraph"/>
        <w:numPr>
          <w:ilvl w:val="2"/>
          <w:numId w:val="13"/>
        </w:numPr>
        <w:tabs>
          <w:tab w:val="left" w:pos="1200"/>
        </w:tabs>
        <w:ind w:hanging="1080"/>
        <w:rPr>
          <w:b/>
          <w:sz w:val="24"/>
        </w:rPr>
      </w:pPr>
      <w:r>
        <w:t xml:space="preserve">Liquefaction susceptibility</w:t>
      </w:r>
    </w:p>
    <w:p w:rsidR="00A154E5">
      <w:pPr>
        <w:pStyle w:val="BodyText"/>
        <w:spacing w:before="52"/>
        <w:rPr>
          <w:b/>
          <w:sz w:val="24"/>
        </w:rPr>
      </w:pPr>
    </w:p>
    <w:p w:rsidR="00A154E5">
      <w:pPr>
        <w:pStyle w:val="BodyText"/>
        <w:spacing w:before="1" w:line="264" w:lineRule="auto"/>
        <w:ind w:left="120" w:right="210"/>
      </w:pPr>
      <w:r>
        <w:t xml:space="preserve">Due to the cohesive nature of the Volcanic Ash and Puketoka Formation soils, the presence of only isolated zones of liquefiable material, and the relatively low seismicity exhibited in Auckland, the site is considered to have a low susceptibility to liquefaction under a design level earthquake event. Therefore no specific</w:t>
      </w:r>
    </w:p>
    <w:p w:rsidR="00A154E5">
      <w:pPr>
        <w:pStyle w:val="BodyText"/>
        <w:spacing w:before="2"/>
        <w:ind w:left="120"/>
      </w:pPr>
      <w:r>
        <w:t xml:space="preserve">design is required in relation to liquefaction effects.</w:t>
      </w:r>
    </w:p>
    <w:p w:rsidR="00A154E5">
      <w:pPr>
        <w:pStyle w:val="BodyText"/>
        <w:spacing w:before="75"/>
      </w:pPr>
    </w:p>
    <w:p w:rsidR="00A154E5">
      <w:pPr>
        <w:pStyle w:val="ListParagraph"/>
        <w:numPr>
          <w:ilvl w:val="2"/>
          <w:numId w:val="13"/>
        </w:numPr>
        <w:tabs>
          <w:tab w:val="left" w:pos="1200"/>
        </w:tabs>
        <w:ind w:hanging="1080"/>
        <w:rPr>
          <w:b/>
          <w:sz w:val="24"/>
        </w:rPr>
      </w:pPr>
      <w:r>
        <w:t xml:space="preserve">Cyclic Softening</w:t>
      </w:r>
    </w:p>
    <w:p w:rsidR="00A154E5">
      <w:pPr>
        <w:pStyle w:val="BodyText"/>
        <w:spacing w:before="52"/>
        <w:rPr>
          <w:b/>
          <w:sz w:val="24"/>
        </w:rPr>
      </w:pPr>
    </w:p>
    <w:p w:rsidR="00A154E5">
      <w:pPr>
        <w:pStyle w:val="BodyText"/>
        <w:spacing w:line="264" w:lineRule="auto"/>
        <w:ind w:left="120" w:right="210"/>
      </w:pPr>
      <w:r>
        <w:t xml:space="preserve">A preliminary cyclic softening review has been undertaken for the wider Evergreen West area and this included an assessment of the susceptibility of the soils to cyclic softening and the potential for any resultant lateral spread.</w:t>
      </w:r>
    </w:p>
    <w:p w:rsidR="00A154E5">
      <w:pPr>
        <w:pStyle w:val="BodyText"/>
        <w:spacing w:before="120" w:line="264" w:lineRule="auto"/>
        <w:ind w:left="120"/>
      </w:pPr>
      <w:r>
        <w:t xml:space="preserve">Based on our </w:t>
      </w:r>
      <w:commentRangeStart w:id="30"/>
      <w:r>
        <w:t xml:space="preserve">preliftinary</w:t>
      </w:r>
      <w:commentRangeEnd w:id="30"/>
      <w:r>
        <w:commentReference w:id="30"/>
      </w:r>
      <w:r>
        <w:t xml:space="preserve"> assessment, the site is considered to have a low susceptibility of cyclic softening. This low susceptibility to cyclic softening and the distance to the nearest open face (for lateral spread to occur) from the subject site results in a low risk of lateral spread or instability as a result of cyclic softening.</w:t>
      </w:r>
    </w:p>
    <w:p w:rsidR="00A154E5">
      <w:pPr>
        <w:pStyle w:val="BodyText"/>
        <w:spacing w:before="94"/>
      </w:pPr>
    </w:p>
    <w:p w:rsidR="00A154E5">
      <w:pPr>
        <w:pStyle w:val="Heading2"/>
        <w:numPr>
          <w:ilvl w:val="1"/>
          <w:numId w:val="13"/>
        </w:numPr>
        <w:tabs>
          <w:tab w:val="left" w:pos="685"/>
        </w:tabs>
        <w:ind w:left="685" w:hanging="565"/>
      </w:pPr>
      <w:r>
        <w:t xml:space="preserve">Further work</w:t>
      </w:r>
    </w:p>
    <w:p w:rsidR="00A154E5">
      <w:pPr>
        <w:pStyle w:val="BodyText"/>
        <w:spacing w:before="119" w:line="264" w:lineRule="auto"/>
        <w:ind w:left="120" w:right="210"/>
      </w:pPr>
      <w:r>
        <w:t xml:space="preserve">This report was scoped to provide information for the civil design and consenting of the subdivision works. ClientCorp will also provide this report to build partners to assist them in assessing the suitability of the land for buildings.</w:t>
      </w:r>
    </w:p>
    <w:p w:rsidR="00A154E5">
      <w:pPr>
        <w:pStyle w:val="BodyText"/>
        <w:spacing w:before="119"/>
        <w:ind w:left="120"/>
      </w:pPr>
      <w:r>
        <w:t xml:space="preserve">This report is not suitable for detailed design of buildings at this site without a specific review by a</w:t>
      </w:r>
    </w:p>
    <w:p w:rsidR="00A154E5">
      <w:pPr>
        <w:pStyle w:val="BodyText"/>
        <w:spacing w:before="27"/>
        <w:ind w:left="120"/>
      </w:pPr>
      <w:r>
        <w:t xml:space="preserve">Chartered Geotechnical Engineer. Depending on the building </w:t>
      </w:r>
      <w:commentRangeStart w:id="31"/>
      <w:r>
        <w:t xml:space="preserve">forft</w:t>
      </w:r>
      <w:commentRangeEnd w:id="31"/>
      <w:r>
        <w:commentReference w:id="31"/>
      </w:r>
      <w:r>
        <w:t xml:space="preserve">, it may be necessary to carry out</w:t>
      </w:r>
    </w:p>
    <w:p w:rsidR="00A154E5">
      <w:pPr>
        <w:pStyle w:val="BodyText"/>
        <w:spacing w:before="27"/>
        <w:ind w:left="120"/>
      </w:pPr>
      <w:r>
        <w:t xml:space="preserve">supplementary geotechnical investigations, analyses and design to inform detailed building design. The</w:t>
      </w:r>
    </w:p>
    <w:p w:rsidR="00A154E5">
      <w:pPr>
        <w:pStyle w:val="BodyText"/>
        <w:spacing w:before="26" w:line="264" w:lineRule="auto"/>
        <w:ind w:left="120"/>
      </w:pPr>
      <w:r>
        <w:t xml:space="preserve">Chartered Geotechnical Engineer should also be engaged to provide construction review services including any Producer Statements (</w:t>
      </w:r>
      <w:commentRangeStart w:id="32"/>
      <w:r>
        <w:t xml:space="preserve">PS4</w:t>
      </w:r>
      <w:commentRangeEnd w:id="32"/>
      <w:r>
        <w:commentReference w:id="32"/>
      </w:r>
      <w:r>
        <w:t xml:space="preserve">) that are required by the Building Consent Conditions.</w:t>
      </w:r>
    </w:p>
    <w:p w:rsidR="00A154E5">
      <w:pPr>
        <w:pStyle w:val="BodyText"/>
        <w:spacing w:before="120" w:line="264" w:lineRule="auto"/>
        <w:ind w:left="120" w:right="210"/>
      </w:pPr>
      <w:r>
        <w:t xml:space="preserve">Further investigation may be required to delineate the crust thickness, the soft layer thickness, and the depth to competent material.</w:t>
      </w: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spacing w:before="21"/>
        <w:rPr>
          <w:sz w:val="20"/>
        </w:rPr>
      </w:pPr>
    </w:p>
    <w:p w:rsidR="00A154E5" w:rsidRPr="00F53A08" w:rsidP="00F53A08">
      <w:pPr>
        <w:spacing w:before="104"/>
        <w:ind w:left="120"/>
        <w:rPr>
          <w:rFonts w:ascii="Calibri"/>
          <w:sz w:val="18"/>
        </w:rPr>
      </w:pPr>
      <w:r>
        <w:t xml:space="preserve">5 Standards New Zealand (2004) NZS 1170.5:2004 Structural Design Actions Part 5: Earthquake actions New Zealand.</w:t>
      </w:r>
    </w:p>
    <w:p>
      <w:r>
        <w:br w:type="page"/>
      </w:r>
    </w:p>
    <w:p>
      <w:pPr/>
      <w:r>
        <w:br w:type="page"/>
      </w:r>
    </w:p>
    <w:sectPr>
      <w:footerReference w:type="default" r:id="rId8"/>
      <w:pgSz w:w="11910" w:h="16840" w:orient="portrait"/>
      <w:pgMar w:top="140" w:right="300" w:bottom="0" w:left="700" w:header="0" w:footer="0" w:gutter="0"/>
      <w:cols w:num="1" w:space="720">
        <w:col w:w="10910" w:space="72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mment w:id="0" w:author=" [MAJOR] Grammar and Spelling Check" w:date="2025-06-03T16:04:33Z" w:initials="AI">
    <w:p w14:paraId="EBAAF1F7">
      <w:r>
        <w:t xml:space="preserve">The sentence 'ClientCorp Ltd will also provide this report to build partners to inforft them in assessing the suitability of the land for buildings.' is grammatically incorrect. Consider rephrasing for clarity, such as: 'ClientCorp Ltd will also provide this report to building partners to inform them about assessing the suitability of the land for buildings.'</w:t>
      </w:r>
    </w:p>
  </w:comment>
  <w:comment w:id="1" w:author=" [MAJOR] Grammar and Spelling Check" w:date="2025-06-03T16:04:33Z" w:initials="AI">
    <w:p w14:paraId="8A2C49CF">
      <w:r>
        <w:t xml:space="preserve">Correct the spelling error from 'inforft' to 'inform'.</w:t>
      </w:r>
    </w:p>
  </w:comment>
  <w:comment w:id="2" w:author=" [CRITICAL] Terminology Consistency" w:date="2025-06-03T16:04:45Z" w:initials="AI">
    <w:p w14:paraId="481723FF">
      <w:r>
        <w:t xml:space="preserve">The report uses both 'volcanic ash' and 'Auckland volcanic field ash' to refer to the same material. Standardize to one term, preferably 'Auckland volcanic field ash' for clarity.</w:t>
      </w:r>
    </w:p>
  </w:comment>
  <w:comment w:id="3" w:author=" [MAJOR] Grammar and Spelling Check" w:date="2025-06-03T16:04:33Z" w:initials="AI">
    <w:p w14:paraId="33BF83F7">
      <w:r>
        <w:t xml:space="preserve">Correct the spelling error from 'reftediation' to 'remediation'.</w:t>
      </w:r>
    </w:p>
  </w:comment>
  <w:comment w:id="4" w:author=" [MAJOR] Grammar and Spelling Check" w:date="2025-06-03T16:04:33Z" w:initials="AI">
    <w:p w14:paraId="A0A3CED7">
      <w:r>
        <w:t xml:space="preserve">The phrase 'Land Remediation Investigation Report: Land Remediation Investigation Report:' is repeated. Remove the redundant repetition.</w:t>
      </w:r>
    </w:p>
  </w:comment>
  <w:comment w:id="5" w:author=" [MAJOR] Grammar and Spelling Check" w:date="2025-06-03T16:04:33Z" w:initials="AI">
    <w:p w14:paraId="EAD976A3">
      <w:r>
        <w:t xml:space="preserve">Correct the spelling error from 'developftent' to 'development'.</w:t>
      </w:r>
    </w:p>
  </w:comment>
  <w:comment w:id="6" w:author=" [MAJOR] Grammar and Spelling Check" w:date="2025-06-03T16:04:33Z" w:initials="AI">
    <w:p w14:paraId="1E22DFEA">
      <w:r>
        <w:t xml:space="preserve">Correct the spelling error from 'iftmediate' to 'immediate'.</w:t>
      </w:r>
    </w:p>
  </w:comment>
  <w:comment w:id="7" w:author=" [MINOR] Units and Symbols Consistency" w:date="2025-06-03T16:04:39Z" w:initials="AI">
    <w:p w14:paraId="1D4EC20F">
      <w:r>
        <w:t xml:space="preserve">Inconsistent unit: 'psi' should be 'kPa' to maintain consistency with the rest of the report.</w:t>
      </w:r>
    </w:p>
  </w:comment>
  <w:comment w:id="8" w:author=" [MAJOR] Grammar and Spelling Check" w:date="2025-06-03T16:04:34Z" w:initials="AI">
    <w:p w14:paraId="5CC5056D">
      <w:r>
        <w:t xml:space="preserve">Correct the spelling error from 'Coftpressible' to 'Compressible'.</w:t>
      </w:r>
    </w:p>
  </w:comment>
  <w:comment w:id="9" w:author=" [MAJOR] Grammar and Spelling Check" w:date="2025-06-03T16:04:34Z" w:initials="AI">
    <w:p w14:paraId="DFE2B616">
      <w:r>
        <w:t xml:space="preserve">Correct the spelling error from 'paveftents' to 'pavements'.</w:t>
      </w:r>
    </w:p>
  </w:comment>
  <w:comment w:id="11" w:author=" [MAJOR] Grammar and Spelling Check" w:date="2025-06-03T16:04:34Z" w:initials="AI">
    <w:p w14:paraId="0AE07B4A">
      <w:r>
        <w:t xml:space="preserve">In the sentence 'It is likely that the soils at the foundation elevation will be prone to shrinkage and swelling when exposed to changes in ftoisture content.', 'ftoisture' should be 'moisture'.</w:t>
      </w:r>
    </w:p>
  </w:comment>
  <w:comment w:id="10" w:author=" [MAJOR] Grammar and Spelling Check" w:date="2025-06-03T16:04:34Z" w:initials="AI">
    <w:p w14:paraId="6BBC676C">
      <w:r>
        <w:t xml:space="preserve">Correct the spelling error from 'ftoisture' to 'moisture'.</w:t>
      </w:r>
    </w:p>
  </w:comment>
  <w:comment w:id="12" w:author=" [MAJOR] Grammar and Spelling Check" w:date="2025-06-03T16:04:34Z" w:initials="AI">
    <w:p w14:paraId="79888FAD">
      <w:r>
        <w:t xml:space="preserve">Correct the spelling error from 'ftinimum' to 'minimum'.</w:t>
      </w:r>
    </w:p>
  </w:comment>
  <w:comment w:id="13" w:author=" [MAJOR] Grammar and Spelling Check" w:date="2025-06-03T16:04:34Z" w:initials="AI">
    <w:p w14:paraId="D7949ED8">
      <w:r>
        <w:t xml:space="preserve">Correct the spelling error from 'daftage' to 'damage'.</w:t>
      </w:r>
    </w:p>
  </w:comment>
  <w:comment w:id="14" w:author=" [MAJOR] Grammar and Spelling Check" w:date="2025-06-03T16:04:34Z" w:initials="AI">
    <w:p w14:paraId="61BD0E00">
      <w:r>
        <w:t xml:space="preserve">Correct the spelling error from 'Noveftber' to 'November'.</w:t>
      </w:r>
    </w:p>
  </w:comment>
  <w:comment w:id="15" w:author=" [CRITICAL] Acronym Definitions and Usage" w:date="2025-06-03T16:04:57Z" w:initials="AI">
    <w:p w14:paraId="9D01CB84">
      <w:r>
        <w:t xml:space="preserve">The acronym 'SPR' is used without being defined. Please define it at its first use.</w:t>
      </w:r>
    </w:p>
  </w:comment>
  <w:comment w:id="16" w:author=" [CRITICAL] Acronym Definitions and Usage" w:date="2025-06-03T16:04:57Z" w:initials="AI">
    <w:p w14:paraId="24722EBD">
      <w:r>
        <w:t xml:space="preserve">The acronym 'RCC' is used without being defined. Please define it at its first use.</w:t>
      </w:r>
    </w:p>
  </w:comment>
  <w:comment w:id="17" w:author=" [CRITICAL] Acronym Definitions and Usage" w:date="2025-06-03T16:04:57Z" w:initials="AI">
    <w:p w14:paraId="31943015">
      <w:r>
        <w:t xml:space="preserve">The acronym 'GAP' is used without being defined. Please define it at its first use.</w:t>
      </w:r>
    </w:p>
  </w:comment>
  <w:comment w:id="18" w:author=" [CRITICAL] Terminology Consistency" w:date="2025-06-03T16:04:45Z" w:initials="AI">
    <w:p w14:paraId="DD1980D0">
      <w:r>
        <w:t xml:space="preserve">The report uses both 'site-won soil' and 'site-won volcanic soils' to refer to the same concept. Standardize to one term, preferably 'site-won soil'.</w:t>
      </w:r>
    </w:p>
  </w:comment>
  <w:comment w:id="19" w:author=" [MAJOR] Grammar and Spelling Check" w:date="2025-06-03T16:04:34Z" w:initials="AI">
    <w:p w14:paraId="1924517E">
      <w:r>
        <w:t xml:space="preserve">Correct the spelling error from 'inforftation' to 'information'.</w:t>
      </w:r>
    </w:p>
  </w:comment>
  <w:comment w:id="20" w:author=" [CRITICAL] Acronym Definitions and Usage" w:date="2025-06-03T16:04:57Z" w:initials="AI">
    <w:p w14:paraId="D13AAD8B">
      <w:r>
        <w:t xml:space="preserve">The acronym 'ULS' is used without being defined. Please define it at its first use, e.g., 'ultimate limit state (ULS)'.</w:t>
      </w:r>
    </w:p>
  </w:comment>
  <w:comment w:id="21" w:author=" [MINOR] Units and Symbols Consistency" w:date="2025-06-03T16:04:39Z" w:initials="AI">
    <w:p w14:paraId="D36295E9">
      <w:r>
        <w:t xml:space="preserve">Inconsistent unit: 'psi' should be 'kPa' to maintain consistency with the rest of the report.</w:t>
      </w:r>
    </w:p>
  </w:comment>
  <w:comment w:id="22" w:author=" [MINOR] Units and Symbols Consistency" w:date="2025-06-03T16:04:39Z" w:initials="AI">
    <w:p w14:paraId="796B091D">
      <w:r>
        <w:t xml:space="preserve">Inconsistent unit: 'psi' should be 'kPa' to maintain consistency with the rest of the report.</w:t>
      </w:r>
    </w:p>
  </w:comment>
  <w:comment w:id="23" w:author=" [MAJOR] Grammar and Spelling Check" w:date="2025-06-03T16:04:34Z" w:initials="AI">
    <w:p w14:paraId="1F002312">
      <w:r>
        <w:t xml:space="preserve">In the sentence 'For structures of greater than 20m length constructed on variable ground we recommend construction joints should be used to ftitigate the effects of differential foundation settlement.', 'ftitigate' should be 'mitigate'.</w:t>
      </w:r>
    </w:p>
  </w:comment>
  <w:comment w:id="24" w:author=" [CRITICAL] Terminology Consistency" w:date="2025-06-03T16:04:45Z" w:initials="AI">
    <w:p w14:paraId="DDC71002">
      <w:r>
        <w:t xml:space="preserve">The report uses both 'expansive soils' and 'reactive soils' to refer to the same concept. Standardize to one term, preferably 'expansive soils'.</w:t>
      </w:r>
    </w:p>
  </w:comment>
  <w:comment w:id="25" w:author=" [CRITICAL] Acronym Definitions and Usage" w:date="2025-06-03T16:04:57Z" w:initials="AI">
    <w:p w14:paraId="CFFD90F7">
      <w:r>
        <w:t xml:space="preserve">The acronym 'SED' is used without being defined. Please define it at its first use.</w:t>
      </w:r>
    </w:p>
  </w:comment>
  <w:comment w:id="26" w:author=" [MAJOR] Grammar and Spelling Check" w:date="2025-06-03T16:04:34Z" w:initials="AI">
    <w:p w14:paraId="0655B2A7">
      <w:r>
        <w:t xml:space="preserve">Correct the spelling error from 'placeftent' to 'placement'.</w:t>
      </w:r>
    </w:p>
  </w:comment>
  <w:comment w:id="27" w:author=" [MAJOR] Grammar and Spelling Check" w:date="2025-06-03T16:04:34Z" w:initials="AI">
    <w:p w14:paraId="BE4DA32D">
      <w:r>
        <w:t xml:space="preserve">Correct the spelling error from 'parafteters' to 'parameters'.</w:t>
      </w:r>
    </w:p>
  </w:comment>
  <w:comment w:id="28" w:author=" [MAJOR] Grammar and Spelling Check" w:date="2025-06-03T16:04:34Z" w:initials="AI">
    <w:p w14:paraId="9C2A8C24">
      <w:r>
        <w:t xml:space="preserve">Correct the spelling error from 'Assufting' to 'Assuming'.</w:t>
      </w:r>
    </w:p>
  </w:comment>
  <w:comment w:id="29" w:author=" [CRITICAL] Acronym Definitions and Usage" w:date="2025-06-03T16:04:57Z" w:initials="AI">
    <w:p w14:paraId="C11BA28D">
      <w:r>
        <w:t xml:space="preserve">The acronym 'CBR' is used without being defined. Please define it at its first use, e.g., 'California Bearing Ratio (CBR)'.</w:t>
      </w:r>
    </w:p>
  </w:comment>
  <w:comment w:id="30" w:author=" [MAJOR] Grammar and Spelling Check" w:date="2025-06-03T16:04:34Z" w:initials="AI">
    <w:p w14:paraId="51B0E551">
      <w:r>
        <w:t xml:space="preserve">Correct the spelling error from 'preliftinary' to 'preliminary'.</w:t>
      </w:r>
    </w:p>
  </w:comment>
  <w:comment w:id="31" w:author=" [MAJOR] Grammar and Spelling Check" w:date="2025-06-03T16:04:34Z" w:initials="AI">
    <w:p w14:paraId="725708FD">
      <w:r>
        <w:t xml:space="preserve">Correct the spelling error from 'forft' to 'form'.</w:t>
      </w:r>
    </w:p>
  </w:comment>
  <w:comment w:id="32" w:author=" [CRITICAL] Acronym Definitions and Usage" w:date="2025-06-03T16:04:57Z" w:initials="AI">
    <w:p w14:paraId="847E7402">
      <w:r>
        <w:t xml:space="preserve">The acronym 'PS4' is used without being defined. Please define it at its first 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commentEx w15:paraId="EBAAF1F7" w15:done="0"/>
  <w15:commentEx w15:paraId="8A2C49CF" w15:done="0"/>
  <w15:commentEx w15:paraId="481723FF" w15:done="0"/>
  <w15:commentEx w15:paraId="33BF83F7" w15:done="0"/>
  <w15:commentEx w15:paraId="A0A3CED7" w15:done="0"/>
  <w15:commentEx w15:paraId="EAD976A3" w15:done="0"/>
  <w15:commentEx w15:paraId="1E22DFEA" w15:done="0"/>
  <w15:commentEx w15:paraId="1D4EC20F" w15:done="0"/>
  <w15:commentEx w15:paraId="5CC5056D" w15:done="0"/>
  <w15:commentEx w15:paraId="DFE2B616" w15:done="0"/>
  <w15:commentEx w15:paraId="0AE07B4A" w15:done="0"/>
  <w15:commentEx w15:paraId="6BBC676C" w15:done="0"/>
  <w15:commentEx w15:paraId="79888FAD" w15:done="0"/>
  <w15:commentEx w15:paraId="D7949ED8" w15:done="0"/>
  <w15:commentEx w15:paraId="61BD0E00" w15:done="0"/>
  <w15:commentEx w15:paraId="9D01CB84" w15:done="0"/>
  <w15:commentEx w15:paraId="24722EBD" w15:done="0"/>
  <w15:commentEx w15:paraId="31943015" w15:done="0"/>
  <w15:commentEx w15:paraId="DD1980D0" w15:done="0"/>
  <w15:commentEx w15:paraId="1924517E" w15:done="0"/>
  <w15:commentEx w15:paraId="D13AAD8B" w15:done="0"/>
  <w15:commentEx w15:paraId="D36295E9" w15:done="0"/>
  <w15:commentEx w15:paraId="796B091D" w15:done="0"/>
  <w15:commentEx w15:paraId="1F002312" w15:done="0"/>
  <w15:commentEx w15:paraId="DDC71002" w15:done="0"/>
  <w15:commentEx w15:paraId="CFFD90F7" w15:done="0"/>
  <w15:commentEx w15:paraId="0655B2A7" w15:done="0"/>
  <w15:commentEx w15:paraId="BE4DA32D" w15:done="0"/>
  <w15:commentEx w15:paraId="9C2A8C24" w15:done="0"/>
  <w15:commentEx w15:paraId="C11BA28D" w15:done="0"/>
  <w15:commentEx w15:paraId="51B0E551" w15:done="0"/>
  <w15:commentEx w15:paraId="725708FD" w15:done="0"/>
  <w15:commentEx w15:paraId="847E740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rbel">
    <w:altName w:val="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154E5">
    <w:pPr>
      <w:pStyle w:val="BodyText"/>
      <w:spacing w:line="14" w:lineRule="auto"/>
      <w:rPr>
        <w:sz w:val="20"/>
      </w:rPr>
    </w:pPr>
    <w:r>
      <w:rPr>
        <w:noProof/>
      </w:rPr>
      <mc:AlternateContent>
        <mc:Choice Requires="wps">
          <w:drawing>
            <wp:anchor distT="0" distB="0" distL="0" distR="0" simplePos="0" relativeHeight="251658240" behindDoc="1" locked="0" layoutInCell="1" allowOverlap="1">
              <wp:simplePos x="0" y="0"/>
              <wp:positionH relativeFrom="page">
                <wp:posOffset>685800</wp:posOffset>
              </wp:positionH>
              <wp:positionV relativeFrom="page">
                <wp:posOffset>10191020</wp:posOffset>
              </wp:positionV>
              <wp:extent cx="1181100" cy="177800"/>
              <wp:effectExtent l="0" t="0" r="0" b="0"/>
              <wp:wrapNone/>
              <wp:docPr id="16" name="Graphic 16"/>
              <wp:cNvGraphicFramePr/>
              <a:graphic xmlns:a="http://schemas.openxmlformats.org/drawingml/2006/main">
                <a:graphicData uri="http://schemas.microsoft.com/office/word/2010/wordprocessingShape">
                  <wps:wsp xmlns:wps="http://schemas.microsoft.com/office/word/2010/wordprocessingShape">
                    <wps:cNvSpPr/>
                    <wps:spPr>
                      <a:xfrm>
                        <a:off x="0" y="0"/>
                        <a:ext cx="1181100" cy="177800"/>
                      </a:xfrm>
                      <a:custGeom>
                        <a:avLst/>
                        <a:gdLst/>
                        <a:rect l="l" t="t" r="r" b="b"/>
                        <a:pathLst>
                          <a:path fill="norm" h="177800" w="1181100" stroke="1">
                            <a:moveTo>
                              <a:pt x="1180644" y="54336"/>
                            </a:moveTo>
                            <a:lnTo>
                              <a:pt x="1110353" y="54336"/>
                            </a:lnTo>
                            <a:lnTo>
                              <a:pt x="1110353" y="174889"/>
                            </a:lnTo>
                            <a:lnTo>
                              <a:pt x="1180644" y="174889"/>
                            </a:lnTo>
                            <a:lnTo>
                              <a:pt x="1180644" y="54336"/>
                            </a:lnTo>
                            <a:close/>
                          </a:path>
                          <a:path fill="norm" h="177800" w="1181100" stroke="1">
                            <a:moveTo>
                              <a:pt x="1180644" y="0"/>
                            </a:moveTo>
                            <a:lnTo>
                              <a:pt x="1110353" y="0"/>
                            </a:lnTo>
                            <a:lnTo>
                              <a:pt x="1110353" y="18112"/>
                            </a:lnTo>
                            <a:lnTo>
                              <a:pt x="1180644" y="49528"/>
                            </a:lnTo>
                            <a:lnTo>
                              <a:pt x="1180644" y="0"/>
                            </a:lnTo>
                            <a:close/>
                          </a:path>
                          <a:path fill="norm" h="177800" w="1181100" stroke="1">
                            <a:moveTo>
                              <a:pt x="971036" y="0"/>
                            </a:moveTo>
                            <a:lnTo>
                              <a:pt x="899322" y="0"/>
                            </a:lnTo>
                            <a:lnTo>
                              <a:pt x="899322" y="174889"/>
                            </a:lnTo>
                            <a:lnTo>
                              <a:pt x="971036" y="174889"/>
                            </a:lnTo>
                            <a:lnTo>
                              <a:pt x="971036" y="79870"/>
                            </a:lnTo>
                            <a:lnTo>
                              <a:pt x="977555" y="78091"/>
                            </a:lnTo>
                            <a:lnTo>
                              <a:pt x="984391" y="76901"/>
                            </a:lnTo>
                            <a:lnTo>
                              <a:pt x="1079797" y="76901"/>
                            </a:lnTo>
                            <a:lnTo>
                              <a:pt x="1071971" y="66807"/>
                            </a:lnTo>
                            <a:lnTo>
                              <a:pt x="971036" y="66807"/>
                            </a:lnTo>
                            <a:lnTo>
                              <a:pt x="971036" y="0"/>
                            </a:lnTo>
                            <a:close/>
                          </a:path>
                          <a:path fill="norm" h="177800" w="1181100" stroke="1">
                            <a:moveTo>
                              <a:pt x="1079797" y="76901"/>
                            </a:moveTo>
                            <a:lnTo>
                              <a:pt x="991503" y="76901"/>
                            </a:lnTo>
                            <a:lnTo>
                              <a:pt x="1001316" y="78091"/>
                            </a:lnTo>
                            <a:lnTo>
                              <a:pt x="1007791" y="81838"/>
                            </a:lnTo>
                            <a:lnTo>
                              <a:pt x="1011405" y="88552"/>
                            </a:lnTo>
                            <a:lnTo>
                              <a:pt x="1012490" y="98283"/>
                            </a:lnTo>
                            <a:lnTo>
                              <a:pt x="1012523" y="174889"/>
                            </a:lnTo>
                            <a:lnTo>
                              <a:pt x="1084276" y="174889"/>
                            </a:lnTo>
                            <a:lnTo>
                              <a:pt x="1084276" y="98283"/>
                            </a:lnTo>
                            <a:lnTo>
                              <a:pt x="1080547" y="78091"/>
                            </a:lnTo>
                            <a:lnTo>
                              <a:pt x="1080493" y="77798"/>
                            </a:lnTo>
                            <a:lnTo>
                              <a:pt x="1079797" y="76901"/>
                            </a:lnTo>
                            <a:close/>
                          </a:path>
                          <a:path fill="norm" h="177800" w="1181100" stroke="1">
                            <a:moveTo>
                              <a:pt x="1023507" y="51367"/>
                            </a:moveTo>
                            <a:lnTo>
                              <a:pt x="1007635" y="52527"/>
                            </a:lnTo>
                            <a:lnTo>
                              <a:pt x="993049" y="55746"/>
                            </a:lnTo>
                            <a:lnTo>
                              <a:pt x="980573" y="60636"/>
                            </a:lnTo>
                            <a:lnTo>
                              <a:pt x="971036" y="66807"/>
                            </a:lnTo>
                            <a:lnTo>
                              <a:pt x="1071971" y="66807"/>
                            </a:lnTo>
                            <a:lnTo>
                              <a:pt x="1069123" y="63133"/>
                            </a:lnTo>
                            <a:lnTo>
                              <a:pt x="1050138" y="54313"/>
                            </a:lnTo>
                            <a:lnTo>
                              <a:pt x="1023507" y="51367"/>
                            </a:lnTo>
                            <a:close/>
                          </a:path>
                          <a:path fill="norm" h="177800" w="1181100" stroke="1">
                            <a:moveTo>
                              <a:pt x="864286" y="71263"/>
                            </a:moveTo>
                            <a:lnTo>
                              <a:pt x="768894" y="71263"/>
                            </a:lnTo>
                            <a:lnTo>
                              <a:pt x="778723" y="71536"/>
                            </a:lnTo>
                            <a:lnTo>
                              <a:pt x="786833" y="72338"/>
                            </a:lnTo>
                            <a:lnTo>
                              <a:pt x="793164" y="73641"/>
                            </a:lnTo>
                            <a:lnTo>
                              <a:pt x="797659" y="75418"/>
                            </a:lnTo>
                            <a:lnTo>
                              <a:pt x="802677" y="78091"/>
                            </a:lnTo>
                            <a:lnTo>
                              <a:pt x="805048" y="83733"/>
                            </a:lnTo>
                            <a:lnTo>
                              <a:pt x="805048" y="100655"/>
                            </a:lnTo>
                            <a:lnTo>
                              <a:pt x="768578" y="100655"/>
                            </a:lnTo>
                            <a:lnTo>
                              <a:pt x="739639" y="102933"/>
                            </a:lnTo>
                            <a:lnTo>
                              <a:pt x="719312" y="109971"/>
                            </a:lnTo>
                            <a:lnTo>
                              <a:pt x="707320" y="122076"/>
                            </a:lnTo>
                            <a:lnTo>
                              <a:pt x="703384" y="139553"/>
                            </a:lnTo>
                            <a:lnTo>
                              <a:pt x="707093" y="155639"/>
                            </a:lnTo>
                            <a:lnTo>
                              <a:pt x="717944" y="167577"/>
                            </a:lnTo>
                            <a:lnTo>
                              <a:pt x="735522" y="175005"/>
                            </a:lnTo>
                            <a:lnTo>
                              <a:pt x="759412" y="177561"/>
                            </a:lnTo>
                            <a:lnTo>
                              <a:pt x="772076" y="176902"/>
                            </a:lnTo>
                            <a:lnTo>
                              <a:pt x="783635" y="175005"/>
                            </a:lnTo>
                            <a:lnTo>
                              <a:pt x="794872" y="171799"/>
                            </a:lnTo>
                            <a:lnTo>
                              <a:pt x="804787" y="167577"/>
                            </a:lnTo>
                            <a:lnTo>
                              <a:pt x="873245" y="167577"/>
                            </a:lnTo>
                            <a:lnTo>
                              <a:pt x="873245" y="157370"/>
                            </a:lnTo>
                            <a:lnTo>
                              <a:pt x="790547" y="157370"/>
                            </a:lnTo>
                            <a:lnTo>
                              <a:pt x="781943" y="156340"/>
                            </a:lnTo>
                            <a:lnTo>
                              <a:pt x="776036" y="152916"/>
                            </a:lnTo>
                            <a:lnTo>
                              <a:pt x="772633" y="146598"/>
                            </a:lnTo>
                            <a:lnTo>
                              <a:pt x="771542" y="136884"/>
                            </a:lnTo>
                            <a:lnTo>
                              <a:pt x="772633" y="127121"/>
                            </a:lnTo>
                            <a:lnTo>
                              <a:pt x="776036" y="120700"/>
                            </a:lnTo>
                            <a:lnTo>
                              <a:pt x="781943" y="117175"/>
                            </a:lnTo>
                            <a:lnTo>
                              <a:pt x="790547" y="116099"/>
                            </a:lnTo>
                            <a:lnTo>
                              <a:pt x="873245" y="116099"/>
                            </a:lnTo>
                            <a:lnTo>
                              <a:pt x="873245" y="96500"/>
                            </a:lnTo>
                            <a:lnTo>
                              <a:pt x="872026" y="85579"/>
                            </a:lnTo>
                            <a:lnTo>
                              <a:pt x="868390" y="76383"/>
                            </a:lnTo>
                            <a:lnTo>
                              <a:pt x="864286" y="71263"/>
                            </a:lnTo>
                            <a:close/>
                          </a:path>
                          <a:path fill="norm" h="177800" w="1181100" stroke="1">
                            <a:moveTo>
                              <a:pt x="873245" y="167577"/>
                            </a:moveTo>
                            <a:lnTo>
                              <a:pt x="805048" y="167577"/>
                            </a:lnTo>
                            <a:lnTo>
                              <a:pt x="805048" y="175005"/>
                            </a:lnTo>
                            <a:lnTo>
                              <a:pt x="873245" y="175005"/>
                            </a:lnTo>
                            <a:lnTo>
                              <a:pt x="873245" y="167577"/>
                            </a:lnTo>
                            <a:close/>
                          </a:path>
                          <a:path fill="norm" h="177800" w="1181100" stroke="1">
                            <a:moveTo>
                              <a:pt x="873245" y="116099"/>
                            </a:moveTo>
                            <a:lnTo>
                              <a:pt x="805048" y="116099"/>
                            </a:lnTo>
                            <a:lnTo>
                              <a:pt x="805048" y="155885"/>
                            </a:lnTo>
                            <a:lnTo>
                              <a:pt x="801215" y="156776"/>
                            </a:lnTo>
                            <a:lnTo>
                              <a:pt x="796474" y="157370"/>
                            </a:lnTo>
                            <a:lnTo>
                              <a:pt x="873245" y="157370"/>
                            </a:lnTo>
                            <a:lnTo>
                              <a:pt x="873245" y="116099"/>
                            </a:lnTo>
                            <a:close/>
                          </a:path>
                          <a:path fill="norm" h="177800" w="1181100" stroke="1">
                            <a:moveTo>
                              <a:pt x="789045" y="52553"/>
                            </a:moveTo>
                            <a:lnTo>
                              <a:pt x="773372" y="52837"/>
                            </a:lnTo>
                            <a:lnTo>
                              <a:pt x="757446" y="53705"/>
                            </a:lnTo>
                            <a:lnTo>
                              <a:pt x="741239" y="55185"/>
                            </a:lnTo>
                            <a:lnTo>
                              <a:pt x="724721" y="57306"/>
                            </a:lnTo>
                            <a:lnTo>
                              <a:pt x="724721" y="73931"/>
                            </a:lnTo>
                            <a:lnTo>
                              <a:pt x="737162" y="72764"/>
                            </a:lnTo>
                            <a:lnTo>
                              <a:pt x="748689" y="71930"/>
                            </a:lnTo>
                            <a:lnTo>
                              <a:pt x="757020" y="71536"/>
                            </a:lnTo>
                            <a:lnTo>
                              <a:pt x="753126" y="71536"/>
                            </a:lnTo>
                            <a:lnTo>
                              <a:pt x="768894" y="71263"/>
                            </a:lnTo>
                            <a:lnTo>
                              <a:pt x="864286" y="71263"/>
                            </a:lnTo>
                            <a:lnTo>
                              <a:pt x="862360" y="68858"/>
                            </a:lnTo>
                            <a:lnTo>
                              <a:pt x="853963" y="62948"/>
                            </a:lnTo>
                            <a:lnTo>
                              <a:pt x="842730" y="58316"/>
                            </a:lnTo>
                            <a:lnTo>
                              <a:pt x="828658" y="55185"/>
                            </a:lnTo>
                            <a:lnTo>
                              <a:pt x="829189" y="55185"/>
                            </a:lnTo>
                            <a:lnTo>
                              <a:pt x="810279" y="53175"/>
                            </a:lnTo>
                            <a:lnTo>
                              <a:pt x="789045" y="52553"/>
                            </a:lnTo>
                            <a:close/>
                          </a:path>
                          <a:path fill="norm" h="177800" w="1181100" stroke="1">
                            <a:moveTo>
                              <a:pt x="656247" y="71856"/>
                            </a:moveTo>
                            <a:lnTo>
                              <a:pt x="584534" y="71856"/>
                            </a:lnTo>
                            <a:lnTo>
                              <a:pt x="584534" y="136884"/>
                            </a:lnTo>
                            <a:lnTo>
                              <a:pt x="605784" y="172035"/>
                            </a:lnTo>
                            <a:lnTo>
                              <a:pt x="640561" y="176670"/>
                            </a:lnTo>
                            <a:lnTo>
                              <a:pt x="653341" y="176443"/>
                            </a:lnTo>
                            <a:lnTo>
                              <a:pt x="665517" y="175742"/>
                            </a:lnTo>
                            <a:lnTo>
                              <a:pt x="676286" y="174629"/>
                            </a:lnTo>
                            <a:lnTo>
                              <a:pt x="676572" y="174629"/>
                            </a:lnTo>
                            <a:lnTo>
                              <a:pt x="688251" y="172810"/>
                            </a:lnTo>
                            <a:lnTo>
                              <a:pt x="688251" y="157370"/>
                            </a:lnTo>
                            <a:lnTo>
                              <a:pt x="660396" y="157370"/>
                            </a:lnTo>
                            <a:lnTo>
                              <a:pt x="656247" y="154698"/>
                            </a:lnTo>
                            <a:lnTo>
                              <a:pt x="656247" y="71856"/>
                            </a:lnTo>
                            <a:close/>
                          </a:path>
                          <a:path fill="norm" h="177800" w="1181100" stroke="1">
                            <a:moveTo>
                              <a:pt x="688251" y="156182"/>
                            </a:moveTo>
                            <a:lnTo>
                              <a:pt x="682048" y="157073"/>
                            </a:lnTo>
                            <a:lnTo>
                              <a:pt x="677899" y="157370"/>
                            </a:lnTo>
                            <a:lnTo>
                              <a:pt x="688251" y="157370"/>
                            </a:lnTo>
                            <a:lnTo>
                              <a:pt x="688251" y="156182"/>
                            </a:lnTo>
                            <a:close/>
                          </a:path>
                          <a:path fill="norm" h="177800" w="1181100" stroke="1">
                            <a:moveTo>
                              <a:pt x="688251" y="54336"/>
                            </a:moveTo>
                            <a:lnTo>
                              <a:pt x="564659" y="54336"/>
                            </a:lnTo>
                            <a:lnTo>
                              <a:pt x="564659" y="71856"/>
                            </a:lnTo>
                            <a:lnTo>
                              <a:pt x="688251" y="71856"/>
                            </a:lnTo>
                            <a:lnTo>
                              <a:pt x="688251" y="54336"/>
                            </a:lnTo>
                            <a:close/>
                          </a:path>
                          <a:path fill="norm" h="177800" w="1181100" stroke="1">
                            <a:moveTo>
                              <a:pt x="656247" y="20785"/>
                            </a:moveTo>
                            <a:lnTo>
                              <a:pt x="584534" y="20785"/>
                            </a:lnTo>
                            <a:lnTo>
                              <a:pt x="584534" y="54336"/>
                            </a:lnTo>
                            <a:lnTo>
                              <a:pt x="656247" y="54336"/>
                            </a:lnTo>
                            <a:lnTo>
                              <a:pt x="656247" y="20785"/>
                            </a:lnTo>
                            <a:close/>
                          </a:path>
                          <a:path fill="norm" h="177800" w="1181100" stroke="1">
                            <a:moveTo>
                              <a:pt x="548064" y="54336"/>
                            </a:moveTo>
                            <a:lnTo>
                              <a:pt x="476351" y="54336"/>
                            </a:lnTo>
                            <a:lnTo>
                              <a:pt x="476351" y="174889"/>
                            </a:lnTo>
                            <a:lnTo>
                              <a:pt x="548064" y="174889"/>
                            </a:lnTo>
                            <a:lnTo>
                              <a:pt x="548064" y="54336"/>
                            </a:lnTo>
                            <a:close/>
                          </a:path>
                          <a:path fill="norm" h="177800" w="1181100" stroke="1">
                            <a:moveTo>
                              <a:pt x="548064" y="0"/>
                            </a:moveTo>
                            <a:lnTo>
                              <a:pt x="476351" y="0"/>
                            </a:lnTo>
                            <a:lnTo>
                              <a:pt x="476351" y="18112"/>
                            </a:lnTo>
                            <a:lnTo>
                              <a:pt x="548064" y="50181"/>
                            </a:lnTo>
                            <a:lnTo>
                              <a:pt x="548064" y="0"/>
                            </a:lnTo>
                            <a:close/>
                          </a:path>
                          <a:path fill="norm" h="177800" w="1181100" stroke="1">
                            <a:moveTo>
                              <a:pt x="403413" y="54336"/>
                            </a:moveTo>
                            <a:lnTo>
                              <a:pt x="335239" y="54336"/>
                            </a:lnTo>
                            <a:lnTo>
                              <a:pt x="335239" y="174889"/>
                            </a:lnTo>
                            <a:lnTo>
                              <a:pt x="406969" y="174889"/>
                            </a:lnTo>
                            <a:lnTo>
                              <a:pt x="406969" y="78091"/>
                            </a:lnTo>
                            <a:lnTo>
                              <a:pt x="415205" y="76313"/>
                            </a:lnTo>
                            <a:lnTo>
                              <a:pt x="424349" y="75009"/>
                            </a:lnTo>
                            <a:lnTo>
                              <a:pt x="434102" y="74232"/>
                            </a:lnTo>
                            <a:lnTo>
                              <a:pt x="433366" y="74232"/>
                            </a:lnTo>
                            <a:lnTo>
                              <a:pt x="445492" y="73931"/>
                            </a:lnTo>
                            <a:lnTo>
                              <a:pt x="461811" y="73931"/>
                            </a:lnTo>
                            <a:lnTo>
                              <a:pt x="461811" y="66214"/>
                            </a:lnTo>
                            <a:lnTo>
                              <a:pt x="403413" y="66214"/>
                            </a:lnTo>
                            <a:lnTo>
                              <a:pt x="403413" y="54336"/>
                            </a:lnTo>
                            <a:close/>
                          </a:path>
                          <a:path fill="norm" h="177800" w="1181100" stroke="1">
                            <a:moveTo>
                              <a:pt x="461811" y="73931"/>
                            </a:moveTo>
                            <a:lnTo>
                              <a:pt x="460033" y="73931"/>
                            </a:lnTo>
                            <a:lnTo>
                              <a:pt x="461811" y="74232"/>
                            </a:lnTo>
                            <a:lnTo>
                              <a:pt x="461811" y="73931"/>
                            </a:lnTo>
                            <a:close/>
                          </a:path>
                          <a:path fill="norm" h="177800" w="1181100" stroke="1">
                            <a:moveTo>
                              <a:pt x="447270" y="53743"/>
                            </a:moveTo>
                            <a:lnTo>
                              <a:pt x="439882" y="53743"/>
                            </a:lnTo>
                            <a:lnTo>
                              <a:pt x="426620" y="54633"/>
                            </a:lnTo>
                            <a:lnTo>
                              <a:pt x="427796" y="54633"/>
                            </a:lnTo>
                            <a:lnTo>
                              <a:pt x="418313" y="56860"/>
                            </a:lnTo>
                            <a:lnTo>
                              <a:pt x="410028" y="60757"/>
                            </a:lnTo>
                            <a:lnTo>
                              <a:pt x="403413" y="66214"/>
                            </a:lnTo>
                            <a:lnTo>
                              <a:pt x="461811" y="66214"/>
                            </a:lnTo>
                            <a:lnTo>
                              <a:pt x="461811" y="56713"/>
                            </a:lnTo>
                            <a:lnTo>
                              <a:pt x="454382" y="54633"/>
                            </a:lnTo>
                            <a:lnTo>
                              <a:pt x="447270" y="53743"/>
                            </a:lnTo>
                            <a:close/>
                          </a:path>
                          <a:path fill="norm" h="177800" w="1181100" stroke="1">
                            <a:moveTo>
                              <a:pt x="308269" y="54336"/>
                            </a:moveTo>
                            <a:lnTo>
                              <a:pt x="236535" y="54336"/>
                            </a:lnTo>
                            <a:lnTo>
                              <a:pt x="236535" y="174889"/>
                            </a:lnTo>
                            <a:lnTo>
                              <a:pt x="308269" y="174889"/>
                            </a:lnTo>
                            <a:lnTo>
                              <a:pt x="308269" y="54336"/>
                            </a:lnTo>
                            <a:close/>
                          </a:path>
                          <a:path fill="norm" h="177800" w="1181100" stroke="1">
                            <a:moveTo>
                              <a:pt x="308269" y="0"/>
                            </a:moveTo>
                            <a:lnTo>
                              <a:pt x="236535" y="0"/>
                            </a:lnTo>
                            <a:lnTo>
                              <a:pt x="236535" y="18112"/>
                            </a:lnTo>
                            <a:lnTo>
                              <a:pt x="308269" y="50181"/>
                            </a:lnTo>
                            <a:lnTo>
                              <a:pt x="308269" y="0"/>
                            </a:lnTo>
                            <a:close/>
                          </a:path>
                          <a:path fill="norm" h="177800" w="1181100" stroke="1">
                            <a:moveTo>
                              <a:pt x="159491" y="0"/>
                            </a:moveTo>
                            <a:lnTo>
                              <a:pt x="0" y="0"/>
                            </a:lnTo>
                            <a:lnTo>
                              <a:pt x="0" y="174889"/>
                            </a:lnTo>
                            <a:lnTo>
                              <a:pt x="74696" y="174889"/>
                            </a:lnTo>
                            <a:lnTo>
                              <a:pt x="74696" y="115205"/>
                            </a:lnTo>
                            <a:lnTo>
                              <a:pt x="131605" y="115205"/>
                            </a:lnTo>
                            <a:lnTo>
                              <a:pt x="168032" y="111123"/>
                            </a:lnTo>
                            <a:lnTo>
                              <a:pt x="194705" y="99246"/>
                            </a:lnTo>
                            <a:lnTo>
                              <a:pt x="197314" y="96203"/>
                            </a:lnTo>
                            <a:lnTo>
                              <a:pt x="74696" y="96203"/>
                            </a:lnTo>
                            <a:lnTo>
                              <a:pt x="74696" y="16032"/>
                            </a:lnTo>
                            <a:lnTo>
                              <a:pt x="199410" y="16032"/>
                            </a:lnTo>
                            <a:lnTo>
                              <a:pt x="195298" y="11467"/>
                            </a:lnTo>
                            <a:lnTo>
                              <a:pt x="168532" y="848"/>
                            </a:lnTo>
                            <a:lnTo>
                              <a:pt x="159491" y="0"/>
                            </a:lnTo>
                            <a:close/>
                          </a:path>
                          <a:path fill="norm" h="177800" w="1181100" stroke="1">
                            <a:moveTo>
                              <a:pt x="199410" y="16032"/>
                            </a:moveTo>
                            <a:lnTo>
                              <a:pt x="109375" y="16032"/>
                            </a:lnTo>
                            <a:lnTo>
                              <a:pt x="117263" y="16584"/>
                            </a:lnTo>
                            <a:lnTo>
                              <a:pt x="124011" y="18222"/>
                            </a:lnTo>
                            <a:lnTo>
                              <a:pt x="141324" y="54336"/>
                            </a:lnTo>
                            <a:lnTo>
                              <a:pt x="141388" y="55819"/>
                            </a:lnTo>
                            <a:lnTo>
                              <a:pt x="139595" y="75158"/>
                            </a:lnTo>
                            <a:lnTo>
                              <a:pt x="133940" y="87592"/>
                            </a:lnTo>
                            <a:lnTo>
                              <a:pt x="124005" y="94236"/>
                            </a:lnTo>
                            <a:lnTo>
                              <a:pt x="109375" y="96203"/>
                            </a:lnTo>
                            <a:lnTo>
                              <a:pt x="197314" y="96203"/>
                            </a:lnTo>
                            <a:lnTo>
                              <a:pt x="211096" y="80132"/>
                            </a:lnTo>
                            <a:lnTo>
                              <a:pt x="216677" y="54336"/>
                            </a:lnTo>
                            <a:lnTo>
                              <a:pt x="211416" y="29640"/>
                            </a:lnTo>
                            <a:lnTo>
                              <a:pt x="211337" y="29269"/>
                            </a:lnTo>
                            <a:lnTo>
                              <a:pt x="199410" y="16032"/>
                            </a:lnTo>
                            <a:close/>
                          </a:path>
                        </a:pathLst>
                      </a:custGeom>
                      <a:solidFill>
                        <a:srgbClr val="48B658"/>
                      </a:solidFill>
                    </wps:spPr>
                    <wps:bodyPr wrap="square" lIns="0" tIns="0" rIns="0" bIns="0" rtlCol="0">
                      <a:prstTxWarp prst="textNoShape">
                        <a:avLst/>
                      </a:prstTxWarp>
                    </wps:bodyPr>
                  </wps:wsp>
                </a:graphicData>
              </a:graphic>
            </wp:anchor>
          </w:drawing>
        </mc:Choice>
        <mc:Fallback>
          <w:pict>
            <v:shape id="Graphic 16" o:spid="_x0000_s2049" style="width:93pt;height:14pt;margin-top:802.45pt;margin-left:54pt;mso-position-horizontal-relative:page;mso-position-vertical-relative:page;mso-wrap-distance-bottom:0;mso-wrap-distance-left:0;mso-wrap-distance-right:0;mso-wrap-distance-top:0;mso-wrap-style:square;position:absolute;v-text-anchor:top;visibility:visible;z-index:-251657216" coordsize="1181100,177800" path="m1180644,54336l1110353,54336l1110353,174889l1180644,174889l1180644,54336xem1180644,l1110353,l1110353,18112l1180644,49528l1180644,xem971036,l899322,l899322,174889l971036,174889l971036,79870l977555,78091l984391,76901l1079797,76901l1071971,66807l971036,66807,971036,xem1079797,76901l991503,76901l1001316,78091l1007791,81838l1011405,88552l1012490,98283l1012523,174889l1084276,174889l1084276,98283l1080547,78091l1080493,77798l1079797,76901xem1023507,51367l1007635,52527l993049,55746l980573,60636l971036,66807l1071971,66807l1069123,63133l1050138,54313l1023507,51367xem864286,71263l768894,71263l778723,71536l786833,72338l793164,73641l797659,75418l802677,78091l805048,83733l805048,100655l768578,100655l739639,102933l719312,109971l707320,122076l703384,139553l707093,155639l717944,167577l735522,175005l759412,177561l772076,176902l783635,175005l794872,171799l804787,167577l873245,167577l873245,157370l790547,157370l781943,156340l776036,152916l772633,146598l771542,136884l772633,127121l776036,120700l781943,117175l790547,116099l873245,116099l873245,96500,872026,85579l868390,76383l864286,71263xem873245,167577l805048,167577l805048,175005l873245,175005l873245,167577xem873245,116099l805048,116099l805048,155885l801215,156776l796474,157370l873245,157370l873245,116099xem789045,52553l773372,52837l757446,53705l741239,55185l724721,57306l724721,73931l737162,72764l748689,71930l757020,71536l753126,71536l768894,71263l864286,71263l862360,68858l853963,62948l842730,58316,828658,55185l829189,55185l810279,53175l789045,52553xem656247,71856l584534,71856l584534,136884l605784,172035l640561,176670l653341,176443l665517,175742l676286,174629l676572,174629l688251,172810l688251,157370l660396,157370l656247,154698l656247,71856xem688251,156182l682048,157073l677899,157370l688251,157370l688251,156182xem688251,54336l564659,54336l564659,71856l688251,71856l688251,54336xem656247,20785l584534,20785l584534,54336l656247,54336l656247,20785xem548064,54336l476351,54336l476351,174889l548064,174889l548064,54336xem548064,l476351,l476351,18112l548064,50181,548064,xem403413,54336l335239,54336l335239,174889l406969,174889l406969,78091l415205,76313l424349,75009l434102,74232l433366,74232l445492,73931l461811,73931l461811,66214l403413,66214l403413,54336xem461811,73931l460033,73931l461811,74232l461811,73931xem447270,53743l439882,53743l426620,54633l427796,54633l418313,56860l410028,60757l403413,66214l461811,66214l461811,56713l454382,54633l447270,53743xem308269,54336l236535,54336l236535,174889l308269,174889l308269,54336xem308269,l236535,l236535,18112l308269,50181,308269,xem159491,l,,,174889l74696,174889l74696,115205l131605,115205l168032,111123,194705,99246l197314,96203l74696,96203l74696,16032l199410,16032l195298,11467l168532,848,159491,xem199410,16032l109375,16032l117263,16584l124011,18222l141324,54336l141388,55819l139595,75158l133940,87592l124005,94236l109375,96203l197314,96203,211096,80132l216677,54336l211416,29640l211337,29269l199410,16032xe" fillcolor="#48b658" stroked="f">
              <v:path arrowok="t"/>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154E5">
    <w:pPr>
      <w:pStyle w:val="BodyText"/>
      <w:spacing w:line="14" w:lineRule="auto"/>
      <w:rPr>
        <w:sz w:val="20"/>
      </w:rPr>
    </w:pPr>
    <w:r>
      <w:rPr>
        <w:noProof/>
      </w:rPr>
      <mc:AlternateContent>
        <mc:Choice Requires="wps">
          <w:drawing>
            <wp:anchor distT="0" distB="0" distL="0" distR="0" simplePos="0" relativeHeight="251660288" behindDoc="1" locked="0" layoutInCell="1" allowOverlap="1">
              <wp:simplePos x="0" y="0"/>
              <wp:positionH relativeFrom="page">
                <wp:posOffset>685800</wp:posOffset>
              </wp:positionH>
              <wp:positionV relativeFrom="page">
                <wp:posOffset>10264477</wp:posOffset>
              </wp:positionV>
              <wp:extent cx="1181100" cy="177800"/>
              <wp:effectExtent l="0" t="0" r="0" b="0"/>
              <wp:wrapNone/>
              <wp:docPr id="20" name="Graphic 20"/>
              <wp:cNvGraphicFramePr/>
              <a:graphic xmlns:a="http://schemas.openxmlformats.org/drawingml/2006/main">
                <a:graphicData uri="http://schemas.microsoft.com/office/word/2010/wordprocessingShape">
                  <wps:wsp xmlns:wps="http://schemas.microsoft.com/office/word/2010/wordprocessingShape">
                    <wps:cNvSpPr/>
                    <wps:spPr>
                      <a:xfrm>
                        <a:off x="0" y="0"/>
                        <a:ext cx="1181100" cy="177800"/>
                      </a:xfrm>
                      <a:custGeom>
                        <a:avLst/>
                        <a:gdLst/>
                        <a:rect l="l" t="t" r="r" b="b"/>
                        <a:pathLst>
                          <a:path fill="norm" h="177800" w="1181100" stroke="1">
                            <a:moveTo>
                              <a:pt x="1180644" y="54336"/>
                            </a:moveTo>
                            <a:lnTo>
                              <a:pt x="1110353" y="54336"/>
                            </a:lnTo>
                            <a:lnTo>
                              <a:pt x="1110353" y="174889"/>
                            </a:lnTo>
                            <a:lnTo>
                              <a:pt x="1180644" y="174889"/>
                            </a:lnTo>
                            <a:lnTo>
                              <a:pt x="1180644" y="54336"/>
                            </a:lnTo>
                            <a:close/>
                          </a:path>
                          <a:path fill="norm" h="177800" w="1181100" stroke="1">
                            <a:moveTo>
                              <a:pt x="1180644" y="0"/>
                            </a:moveTo>
                            <a:lnTo>
                              <a:pt x="1110353" y="0"/>
                            </a:lnTo>
                            <a:lnTo>
                              <a:pt x="1110353" y="18112"/>
                            </a:lnTo>
                            <a:lnTo>
                              <a:pt x="1180644" y="49528"/>
                            </a:lnTo>
                            <a:lnTo>
                              <a:pt x="1180644" y="0"/>
                            </a:lnTo>
                            <a:close/>
                          </a:path>
                          <a:path fill="norm" h="177800" w="1181100" stroke="1">
                            <a:moveTo>
                              <a:pt x="971036" y="0"/>
                            </a:moveTo>
                            <a:lnTo>
                              <a:pt x="899322" y="0"/>
                            </a:lnTo>
                            <a:lnTo>
                              <a:pt x="899322" y="174889"/>
                            </a:lnTo>
                            <a:lnTo>
                              <a:pt x="971036" y="174889"/>
                            </a:lnTo>
                            <a:lnTo>
                              <a:pt x="971036" y="79870"/>
                            </a:lnTo>
                            <a:lnTo>
                              <a:pt x="977555" y="78091"/>
                            </a:lnTo>
                            <a:lnTo>
                              <a:pt x="984391" y="76901"/>
                            </a:lnTo>
                            <a:lnTo>
                              <a:pt x="1079797" y="76901"/>
                            </a:lnTo>
                            <a:lnTo>
                              <a:pt x="1071971" y="66807"/>
                            </a:lnTo>
                            <a:lnTo>
                              <a:pt x="971036" y="66807"/>
                            </a:lnTo>
                            <a:lnTo>
                              <a:pt x="971036" y="0"/>
                            </a:lnTo>
                            <a:close/>
                          </a:path>
                          <a:path fill="norm" h="177800" w="1181100" stroke="1">
                            <a:moveTo>
                              <a:pt x="1079797" y="76901"/>
                            </a:moveTo>
                            <a:lnTo>
                              <a:pt x="991503" y="76901"/>
                            </a:lnTo>
                            <a:lnTo>
                              <a:pt x="1001316" y="78091"/>
                            </a:lnTo>
                            <a:lnTo>
                              <a:pt x="1007791" y="81838"/>
                            </a:lnTo>
                            <a:lnTo>
                              <a:pt x="1011405" y="88552"/>
                            </a:lnTo>
                            <a:lnTo>
                              <a:pt x="1012490" y="98283"/>
                            </a:lnTo>
                            <a:lnTo>
                              <a:pt x="1012523" y="174889"/>
                            </a:lnTo>
                            <a:lnTo>
                              <a:pt x="1084276" y="174889"/>
                            </a:lnTo>
                            <a:lnTo>
                              <a:pt x="1084276" y="98283"/>
                            </a:lnTo>
                            <a:lnTo>
                              <a:pt x="1080547" y="78091"/>
                            </a:lnTo>
                            <a:lnTo>
                              <a:pt x="1080493" y="77798"/>
                            </a:lnTo>
                            <a:lnTo>
                              <a:pt x="1079797" y="76901"/>
                            </a:lnTo>
                            <a:close/>
                          </a:path>
                          <a:path fill="norm" h="177800" w="1181100" stroke="1">
                            <a:moveTo>
                              <a:pt x="1023507" y="51367"/>
                            </a:moveTo>
                            <a:lnTo>
                              <a:pt x="1007635" y="52527"/>
                            </a:lnTo>
                            <a:lnTo>
                              <a:pt x="993049" y="55746"/>
                            </a:lnTo>
                            <a:lnTo>
                              <a:pt x="980573" y="60636"/>
                            </a:lnTo>
                            <a:lnTo>
                              <a:pt x="971036" y="66807"/>
                            </a:lnTo>
                            <a:lnTo>
                              <a:pt x="1071971" y="66807"/>
                            </a:lnTo>
                            <a:lnTo>
                              <a:pt x="1069123" y="63133"/>
                            </a:lnTo>
                            <a:lnTo>
                              <a:pt x="1050138" y="54313"/>
                            </a:lnTo>
                            <a:lnTo>
                              <a:pt x="1023507" y="51367"/>
                            </a:lnTo>
                            <a:close/>
                          </a:path>
                          <a:path fill="norm" h="177800" w="1181100" stroke="1">
                            <a:moveTo>
                              <a:pt x="864286" y="71263"/>
                            </a:moveTo>
                            <a:lnTo>
                              <a:pt x="768894" y="71263"/>
                            </a:lnTo>
                            <a:lnTo>
                              <a:pt x="778723" y="71536"/>
                            </a:lnTo>
                            <a:lnTo>
                              <a:pt x="786833" y="72338"/>
                            </a:lnTo>
                            <a:lnTo>
                              <a:pt x="793164" y="73641"/>
                            </a:lnTo>
                            <a:lnTo>
                              <a:pt x="797659" y="75418"/>
                            </a:lnTo>
                            <a:lnTo>
                              <a:pt x="802677" y="78091"/>
                            </a:lnTo>
                            <a:lnTo>
                              <a:pt x="805048" y="83733"/>
                            </a:lnTo>
                            <a:lnTo>
                              <a:pt x="805048" y="100655"/>
                            </a:lnTo>
                            <a:lnTo>
                              <a:pt x="768578" y="100655"/>
                            </a:lnTo>
                            <a:lnTo>
                              <a:pt x="739639" y="102933"/>
                            </a:lnTo>
                            <a:lnTo>
                              <a:pt x="719312" y="109971"/>
                            </a:lnTo>
                            <a:lnTo>
                              <a:pt x="707320" y="122076"/>
                            </a:lnTo>
                            <a:lnTo>
                              <a:pt x="703384" y="139553"/>
                            </a:lnTo>
                            <a:lnTo>
                              <a:pt x="707093" y="155639"/>
                            </a:lnTo>
                            <a:lnTo>
                              <a:pt x="717944" y="167577"/>
                            </a:lnTo>
                            <a:lnTo>
                              <a:pt x="735522" y="175005"/>
                            </a:lnTo>
                            <a:lnTo>
                              <a:pt x="759412" y="177561"/>
                            </a:lnTo>
                            <a:lnTo>
                              <a:pt x="772076" y="176902"/>
                            </a:lnTo>
                            <a:lnTo>
                              <a:pt x="783635" y="175005"/>
                            </a:lnTo>
                            <a:lnTo>
                              <a:pt x="794872" y="171799"/>
                            </a:lnTo>
                            <a:lnTo>
                              <a:pt x="804787" y="167577"/>
                            </a:lnTo>
                            <a:lnTo>
                              <a:pt x="873245" y="167577"/>
                            </a:lnTo>
                            <a:lnTo>
                              <a:pt x="873245" y="157370"/>
                            </a:lnTo>
                            <a:lnTo>
                              <a:pt x="790547" y="157370"/>
                            </a:lnTo>
                            <a:lnTo>
                              <a:pt x="781943" y="156340"/>
                            </a:lnTo>
                            <a:lnTo>
                              <a:pt x="776036" y="152916"/>
                            </a:lnTo>
                            <a:lnTo>
                              <a:pt x="772633" y="146598"/>
                            </a:lnTo>
                            <a:lnTo>
                              <a:pt x="771542" y="136884"/>
                            </a:lnTo>
                            <a:lnTo>
                              <a:pt x="772633" y="127121"/>
                            </a:lnTo>
                            <a:lnTo>
                              <a:pt x="776036" y="120700"/>
                            </a:lnTo>
                            <a:lnTo>
                              <a:pt x="781943" y="117175"/>
                            </a:lnTo>
                            <a:lnTo>
                              <a:pt x="790547" y="116099"/>
                            </a:lnTo>
                            <a:lnTo>
                              <a:pt x="873245" y="116099"/>
                            </a:lnTo>
                            <a:lnTo>
                              <a:pt x="873245" y="96500"/>
                            </a:lnTo>
                            <a:lnTo>
                              <a:pt x="872026" y="85579"/>
                            </a:lnTo>
                            <a:lnTo>
                              <a:pt x="868390" y="76383"/>
                            </a:lnTo>
                            <a:lnTo>
                              <a:pt x="864286" y="71263"/>
                            </a:lnTo>
                            <a:close/>
                          </a:path>
                          <a:path fill="norm" h="177800" w="1181100" stroke="1">
                            <a:moveTo>
                              <a:pt x="873245" y="167577"/>
                            </a:moveTo>
                            <a:lnTo>
                              <a:pt x="805048" y="167577"/>
                            </a:lnTo>
                            <a:lnTo>
                              <a:pt x="805048" y="175005"/>
                            </a:lnTo>
                            <a:lnTo>
                              <a:pt x="873245" y="175005"/>
                            </a:lnTo>
                            <a:lnTo>
                              <a:pt x="873245" y="167577"/>
                            </a:lnTo>
                            <a:close/>
                          </a:path>
                          <a:path fill="norm" h="177800" w="1181100" stroke="1">
                            <a:moveTo>
                              <a:pt x="873245" y="116099"/>
                            </a:moveTo>
                            <a:lnTo>
                              <a:pt x="805048" y="116099"/>
                            </a:lnTo>
                            <a:lnTo>
                              <a:pt x="805048" y="155885"/>
                            </a:lnTo>
                            <a:lnTo>
                              <a:pt x="801215" y="156776"/>
                            </a:lnTo>
                            <a:lnTo>
                              <a:pt x="796474" y="157370"/>
                            </a:lnTo>
                            <a:lnTo>
                              <a:pt x="873245" y="157370"/>
                            </a:lnTo>
                            <a:lnTo>
                              <a:pt x="873245" y="116099"/>
                            </a:lnTo>
                            <a:close/>
                          </a:path>
                          <a:path fill="norm" h="177800" w="1181100" stroke="1">
                            <a:moveTo>
                              <a:pt x="789045" y="52553"/>
                            </a:moveTo>
                            <a:lnTo>
                              <a:pt x="773372" y="52837"/>
                            </a:lnTo>
                            <a:lnTo>
                              <a:pt x="757446" y="53705"/>
                            </a:lnTo>
                            <a:lnTo>
                              <a:pt x="741239" y="55185"/>
                            </a:lnTo>
                            <a:lnTo>
                              <a:pt x="724721" y="57306"/>
                            </a:lnTo>
                            <a:lnTo>
                              <a:pt x="724721" y="73931"/>
                            </a:lnTo>
                            <a:lnTo>
                              <a:pt x="737162" y="72764"/>
                            </a:lnTo>
                            <a:lnTo>
                              <a:pt x="748689" y="71930"/>
                            </a:lnTo>
                            <a:lnTo>
                              <a:pt x="757020" y="71536"/>
                            </a:lnTo>
                            <a:lnTo>
                              <a:pt x="753126" y="71536"/>
                            </a:lnTo>
                            <a:lnTo>
                              <a:pt x="768894" y="71263"/>
                            </a:lnTo>
                            <a:lnTo>
                              <a:pt x="864286" y="71263"/>
                            </a:lnTo>
                            <a:lnTo>
                              <a:pt x="862360" y="68858"/>
                            </a:lnTo>
                            <a:lnTo>
                              <a:pt x="853963" y="62948"/>
                            </a:lnTo>
                            <a:lnTo>
                              <a:pt x="842730" y="58316"/>
                            </a:lnTo>
                            <a:lnTo>
                              <a:pt x="828658" y="55185"/>
                            </a:lnTo>
                            <a:lnTo>
                              <a:pt x="829189" y="55185"/>
                            </a:lnTo>
                            <a:lnTo>
                              <a:pt x="810279" y="53175"/>
                            </a:lnTo>
                            <a:lnTo>
                              <a:pt x="789045" y="52553"/>
                            </a:lnTo>
                            <a:close/>
                          </a:path>
                          <a:path fill="norm" h="177800" w="1181100" stroke="1">
                            <a:moveTo>
                              <a:pt x="656247" y="71856"/>
                            </a:moveTo>
                            <a:lnTo>
                              <a:pt x="584534" y="71856"/>
                            </a:lnTo>
                            <a:lnTo>
                              <a:pt x="584534" y="136884"/>
                            </a:lnTo>
                            <a:lnTo>
                              <a:pt x="605784" y="172035"/>
                            </a:lnTo>
                            <a:lnTo>
                              <a:pt x="640561" y="176670"/>
                            </a:lnTo>
                            <a:lnTo>
                              <a:pt x="653341" y="176443"/>
                            </a:lnTo>
                            <a:lnTo>
                              <a:pt x="665517" y="175742"/>
                            </a:lnTo>
                            <a:lnTo>
                              <a:pt x="676286" y="174629"/>
                            </a:lnTo>
                            <a:lnTo>
                              <a:pt x="676572" y="174629"/>
                            </a:lnTo>
                            <a:lnTo>
                              <a:pt x="688251" y="172810"/>
                            </a:lnTo>
                            <a:lnTo>
                              <a:pt x="688251" y="157370"/>
                            </a:lnTo>
                            <a:lnTo>
                              <a:pt x="660396" y="157370"/>
                            </a:lnTo>
                            <a:lnTo>
                              <a:pt x="656247" y="154698"/>
                            </a:lnTo>
                            <a:lnTo>
                              <a:pt x="656247" y="71856"/>
                            </a:lnTo>
                            <a:close/>
                          </a:path>
                          <a:path fill="norm" h="177800" w="1181100" stroke="1">
                            <a:moveTo>
                              <a:pt x="688251" y="156182"/>
                            </a:moveTo>
                            <a:lnTo>
                              <a:pt x="682048" y="157073"/>
                            </a:lnTo>
                            <a:lnTo>
                              <a:pt x="677899" y="157370"/>
                            </a:lnTo>
                            <a:lnTo>
                              <a:pt x="688251" y="157370"/>
                            </a:lnTo>
                            <a:lnTo>
                              <a:pt x="688251" y="156182"/>
                            </a:lnTo>
                            <a:close/>
                          </a:path>
                          <a:path fill="norm" h="177800" w="1181100" stroke="1">
                            <a:moveTo>
                              <a:pt x="688251" y="54336"/>
                            </a:moveTo>
                            <a:lnTo>
                              <a:pt x="564659" y="54336"/>
                            </a:lnTo>
                            <a:lnTo>
                              <a:pt x="564659" y="71856"/>
                            </a:lnTo>
                            <a:lnTo>
                              <a:pt x="688251" y="71856"/>
                            </a:lnTo>
                            <a:lnTo>
                              <a:pt x="688251" y="54336"/>
                            </a:lnTo>
                            <a:close/>
                          </a:path>
                          <a:path fill="norm" h="177800" w="1181100" stroke="1">
                            <a:moveTo>
                              <a:pt x="656247" y="20785"/>
                            </a:moveTo>
                            <a:lnTo>
                              <a:pt x="584534" y="20785"/>
                            </a:lnTo>
                            <a:lnTo>
                              <a:pt x="584534" y="54336"/>
                            </a:lnTo>
                            <a:lnTo>
                              <a:pt x="656247" y="54336"/>
                            </a:lnTo>
                            <a:lnTo>
                              <a:pt x="656247" y="20785"/>
                            </a:lnTo>
                            <a:close/>
                          </a:path>
                          <a:path fill="norm" h="177800" w="1181100" stroke="1">
                            <a:moveTo>
                              <a:pt x="548064" y="54336"/>
                            </a:moveTo>
                            <a:lnTo>
                              <a:pt x="476351" y="54336"/>
                            </a:lnTo>
                            <a:lnTo>
                              <a:pt x="476351" y="174889"/>
                            </a:lnTo>
                            <a:lnTo>
                              <a:pt x="548064" y="174889"/>
                            </a:lnTo>
                            <a:lnTo>
                              <a:pt x="548064" y="54336"/>
                            </a:lnTo>
                            <a:close/>
                          </a:path>
                          <a:path fill="norm" h="177800" w="1181100" stroke="1">
                            <a:moveTo>
                              <a:pt x="548064" y="0"/>
                            </a:moveTo>
                            <a:lnTo>
                              <a:pt x="476351" y="0"/>
                            </a:lnTo>
                            <a:lnTo>
                              <a:pt x="476351" y="18112"/>
                            </a:lnTo>
                            <a:lnTo>
                              <a:pt x="548064" y="50181"/>
                            </a:lnTo>
                            <a:lnTo>
                              <a:pt x="548064" y="0"/>
                            </a:lnTo>
                            <a:close/>
                          </a:path>
                          <a:path fill="norm" h="177800" w="1181100" stroke="1">
                            <a:moveTo>
                              <a:pt x="403413" y="54336"/>
                            </a:moveTo>
                            <a:lnTo>
                              <a:pt x="335239" y="54336"/>
                            </a:lnTo>
                            <a:lnTo>
                              <a:pt x="335239" y="174889"/>
                            </a:lnTo>
                            <a:lnTo>
                              <a:pt x="406969" y="174889"/>
                            </a:lnTo>
                            <a:lnTo>
                              <a:pt x="406969" y="78091"/>
                            </a:lnTo>
                            <a:lnTo>
                              <a:pt x="415205" y="76313"/>
                            </a:lnTo>
                            <a:lnTo>
                              <a:pt x="424349" y="75009"/>
                            </a:lnTo>
                            <a:lnTo>
                              <a:pt x="434102" y="74232"/>
                            </a:lnTo>
                            <a:lnTo>
                              <a:pt x="433366" y="74232"/>
                            </a:lnTo>
                            <a:lnTo>
                              <a:pt x="445492" y="73931"/>
                            </a:lnTo>
                            <a:lnTo>
                              <a:pt x="461811" y="73931"/>
                            </a:lnTo>
                            <a:lnTo>
                              <a:pt x="461811" y="66214"/>
                            </a:lnTo>
                            <a:lnTo>
                              <a:pt x="403413" y="66214"/>
                            </a:lnTo>
                            <a:lnTo>
                              <a:pt x="403413" y="54336"/>
                            </a:lnTo>
                            <a:close/>
                          </a:path>
                          <a:path fill="norm" h="177800" w="1181100" stroke="1">
                            <a:moveTo>
                              <a:pt x="461811" y="73931"/>
                            </a:moveTo>
                            <a:lnTo>
                              <a:pt x="460033" y="73931"/>
                            </a:lnTo>
                            <a:lnTo>
                              <a:pt x="461811" y="74232"/>
                            </a:lnTo>
                            <a:lnTo>
                              <a:pt x="461811" y="73931"/>
                            </a:lnTo>
                            <a:close/>
                          </a:path>
                          <a:path fill="norm" h="177800" w="1181100" stroke="1">
                            <a:moveTo>
                              <a:pt x="447270" y="53743"/>
                            </a:moveTo>
                            <a:lnTo>
                              <a:pt x="439882" y="53743"/>
                            </a:lnTo>
                            <a:lnTo>
                              <a:pt x="426620" y="54633"/>
                            </a:lnTo>
                            <a:lnTo>
                              <a:pt x="427796" y="54633"/>
                            </a:lnTo>
                            <a:lnTo>
                              <a:pt x="418313" y="56860"/>
                            </a:lnTo>
                            <a:lnTo>
                              <a:pt x="410028" y="60757"/>
                            </a:lnTo>
                            <a:lnTo>
                              <a:pt x="403413" y="66214"/>
                            </a:lnTo>
                            <a:lnTo>
                              <a:pt x="461811" y="66214"/>
                            </a:lnTo>
                            <a:lnTo>
                              <a:pt x="461811" y="56713"/>
                            </a:lnTo>
                            <a:lnTo>
                              <a:pt x="454382" y="54633"/>
                            </a:lnTo>
                            <a:lnTo>
                              <a:pt x="447270" y="53743"/>
                            </a:lnTo>
                            <a:close/>
                          </a:path>
                          <a:path fill="norm" h="177800" w="1181100" stroke="1">
                            <a:moveTo>
                              <a:pt x="308269" y="54336"/>
                            </a:moveTo>
                            <a:lnTo>
                              <a:pt x="236535" y="54336"/>
                            </a:lnTo>
                            <a:lnTo>
                              <a:pt x="236535" y="174889"/>
                            </a:lnTo>
                            <a:lnTo>
                              <a:pt x="308269" y="174889"/>
                            </a:lnTo>
                            <a:lnTo>
                              <a:pt x="308269" y="54336"/>
                            </a:lnTo>
                            <a:close/>
                          </a:path>
                          <a:path fill="norm" h="177800" w="1181100" stroke="1">
                            <a:moveTo>
                              <a:pt x="308269" y="0"/>
                            </a:moveTo>
                            <a:lnTo>
                              <a:pt x="236535" y="0"/>
                            </a:lnTo>
                            <a:lnTo>
                              <a:pt x="236535" y="18112"/>
                            </a:lnTo>
                            <a:lnTo>
                              <a:pt x="308269" y="50181"/>
                            </a:lnTo>
                            <a:lnTo>
                              <a:pt x="308269" y="0"/>
                            </a:lnTo>
                            <a:close/>
                          </a:path>
                          <a:path fill="norm" h="177800" w="1181100" stroke="1">
                            <a:moveTo>
                              <a:pt x="159491" y="0"/>
                            </a:moveTo>
                            <a:lnTo>
                              <a:pt x="0" y="0"/>
                            </a:lnTo>
                            <a:lnTo>
                              <a:pt x="0" y="174889"/>
                            </a:lnTo>
                            <a:lnTo>
                              <a:pt x="74696" y="174889"/>
                            </a:lnTo>
                            <a:lnTo>
                              <a:pt x="74696" y="115205"/>
                            </a:lnTo>
                            <a:lnTo>
                              <a:pt x="131605" y="115205"/>
                            </a:lnTo>
                            <a:lnTo>
                              <a:pt x="168032" y="111123"/>
                            </a:lnTo>
                            <a:lnTo>
                              <a:pt x="194705" y="99246"/>
                            </a:lnTo>
                            <a:lnTo>
                              <a:pt x="197314" y="96203"/>
                            </a:lnTo>
                            <a:lnTo>
                              <a:pt x="74696" y="96203"/>
                            </a:lnTo>
                            <a:lnTo>
                              <a:pt x="74696" y="16032"/>
                            </a:lnTo>
                            <a:lnTo>
                              <a:pt x="199410" y="16032"/>
                            </a:lnTo>
                            <a:lnTo>
                              <a:pt x="195298" y="11467"/>
                            </a:lnTo>
                            <a:lnTo>
                              <a:pt x="168532" y="848"/>
                            </a:lnTo>
                            <a:lnTo>
                              <a:pt x="159491" y="0"/>
                            </a:lnTo>
                            <a:close/>
                          </a:path>
                          <a:path fill="norm" h="177800" w="1181100" stroke="1">
                            <a:moveTo>
                              <a:pt x="199410" y="16032"/>
                            </a:moveTo>
                            <a:lnTo>
                              <a:pt x="109375" y="16032"/>
                            </a:lnTo>
                            <a:lnTo>
                              <a:pt x="117263" y="16584"/>
                            </a:lnTo>
                            <a:lnTo>
                              <a:pt x="124011" y="18222"/>
                            </a:lnTo>
                            <a:lnTo>
                              <a:pt x="141324" y="54336"/>
                            </a:lnTo>
                            <a:lnTo>
                              <a:pt x="141388" y="55819"/>
                            </a:lnTo>
                            <a:lnTo>
                              <a:pt x="139595" y="75158"/>
                            </a:lnTo>
                            <a:lnTo>
                              <a:pt x="133940" y="87592"/>
                            </a:lnTo>
                            <a:lnTo>
                              <a:pt x="124005" y="94236"/>
                            </a:lnTo>
                            <a:lnTo>
                              <a:pt x="109375" y="96203"/>
                            </a:lnTo>
                            <a:lnTo>
                              <a:pt x="197314" y="96203"/>
                            </a:lnTo>
                            <a:lnTo>
                              <a:pt x="211096" y="80132"/>
                            </a:lnTo>
                            <a:lnTo>
                              <a:pt x="216677" y="54336"/>
                            </a:lnTo>
                            <a:lnTo>
                              <a:pt x="211416" y="29640"/>
                            </a:lnTo>
                            <a:lnTo>
                              <a:pt x="211337" y="29269"/>
                            </a:lnTo>
                            <a:lnTo>
                              <a:pt x="199410" y="16032"/>
                            </a:lnTo>
                            <a:close/>
                          </a:path>
                        </a:pathLst>
                      </a:custGeom>
                      <a:solidFill>
                        <a:srgbClr val="48B658"/>
                      </a:solidFill>
                    </wps:spPr>
                    <wps:bodyPr wrap="square" lIns="0" tIns="0" rIns="0" bIns="0" rtlCol="0">
                      <a:prstTxWarp prst="textNoShape">
                        <a:avLst/>
                      </a:prstTxWarp>
                    </wps:bodyPr>
                  </wps:wsp>
                </a:graphicData>
              </a:graphic>
            </wp:anchor>
          </w:drawing>
        </mc:Choice>
        <mc:Fallback>
          <w:pict>
            <v:shape id="Graphic 20" o:spid="_x0000_s2050" style="width:93pt;height:14pt;margin-top:808.25pt;margin-left:54pt;mso-position-horizontal-relative:page;mso-position-vertical-relative:page;mso-wrap-distance-bottom:0;mso-wrap-distance-left:0;mso-wrap-distance-right:0;mso-wrap-distance-top:0;mso-wrap-style:square;position:absolute;v-text-anchor:top;visibility:visible;z-index:-251655168" coordsize="1181100,177800" path="m1180644,54336l1110353,54336l1110353,174889l1180644,174889l1180644,54336xem1180644,l1110353,l1110353,18112l1180644,49528l1180644,xem971036,l899322,l899322,174889l971036,174889l971036,79870l977555,78091l984391,76901l1079797,76901l1071971,66807l971036,66807,971036,xem1079797,76901l991503,76901l1001316,78091l1007791,81838l1011405,88552l1012490,98283l1012523,174889l1084276,174889l1084276,98283l1080547,78091l1080493,77798l1079797,76901xem1023507,51367l1007635,52527l993049,55746l980573,60636l971036,66807l1071971,66807l1069123,63133l1050138,54313l1023507,51367xem864286,71263l768894,71263l778723,71536l786833,72338l793164,73641l797659,75418l802677,78091l805048,83733l805048,100655l768578,100655l739639,102933l719312,109971l707320,122076l703384,139553l707093,155639l717944,167577l735522,175005l759412,177561l772076,176902l783635,175005l794872,171799l804787,167577l873245,167577l873245,157370l790547,157370l781943,156340l776036,152916l772633,146598l771542,136884l772633,127121l776036,120700l781943,117175l790547,116099l873245,116099l873245,96500,872026,85579l868390,76383l864286,71263xem873245,167577l805048,167577l805048,175005l873245,175005l873245,167577xem873245,116099l805048,116099l805048,155885l801215,156776l796474,157370l873245,157370l873245,116099xem789045,52553l773372,52837l757446,53705l741239,55185l724721,57306l724721,73931l737162,72764l748689,71930l757020,71536l753126,71536l768894,71263l864286,71263l862360,68858l853963,62948l842730,58316,828658,55185l829189,55185l810279,53175l789045,52553xem656247,71856l584534,71856l584534,136884l605784,172035l640561,176670l653341,176443l665517,175742l676286,174629l676572,174629l688251,172810l688251,157370l660396,157370l656247,154698l656247,71856xem688251,156182l682048,157073l677899,157370l688251,157370l688251,156182xem688251,54336l564659,54336l564659,71856l688251,71856l688251,54336xem656247,20785l584534,20785l584534,54336l656247,54336l656247,20785xem548064,54336l476351,54336l476351,174889l548064,174889l548064,54336xem548064,l476351,l476351,18112l548064,50181,548064,xem403413,54336l335239,54336l335239,174889l406969,174889l406969,78091l415205,76313l424349,75009l434102,74232l433366,74232l445492,73931l461811,73931l461811,66214l403413,66214l403413,54336xem461811,73931l460033,73931l461811,74232l461811,73931xem447270,53743l439882,53743l426620,54633l427796,54633l418313,56860l410028,60757l403413,66214l461811,66214l461811,56713l454382,54633l447270,53743xem308269,54336l236535,54336l236535,174889l308269,174889l308269,54336xem308269,l236535,l236535,18112l308269,50181,308269,xem159491,l,,,174889l74696,174889l74696,115205l131605,115205l168032,111123,194705,99246l197314,96203l74696,96203l74696,16032l199410,16032l195298,11467l168532,848,159491,xem199410,16032l109375,16032l117263,16584l124011,18222l141324,54336l141388,55819l139595,75158l133940,87592l124005,94236l109375,96203l197314,96203,211096,80132l216677,54336l211416,29640l211337,29269l199410,16032xe" fillcolor="#48b658" stroked="f">
              <v:path arrowok="t"/>
            </v:shape>
          </w:pict>
        </mc:Fallback>
      </mc:AlternateContent>
    </w:r>
    <w:r>
      <w:rPr>
        <w:noProof/>
      </w:rPr>
      <mc:AlternateContent>
        <mc:Choice Requires="wps">
          <w:drawing>
            <wp:anchor distT="0" distB="0" distL="0" distR="0" simplePos="0" relativeHeight="251662336" behindDoc="1" locked="0" layoutInCell="1" allowOverlap="1">
              <wp:simplePos x="0" y="0"/>
              <wp:positionH relativeFrom="page">
                <wp:posOffset>4488560</wp:posOffset>
              </wp:positionH>
              <wp:positionV relativeFrom="page">
                <wp:posOffset>9947478</wp:posOffset>
              </wp:positionV>
              <wp:extent cx="2402205" cy="520700"/>
              <wp:effectExtent l="0" t="0" r="0" b="0"/>
              <wp:wrapNone/>
              <wp:docPr id="21" name="Textbox 21"/>
              <wp:cNvGraphicFramePr/>
              <a:graphic xmlns:a="http://schemas.openxmlformats.org/drawingml/2006/main">
                <a:graphicData uri="http://schemas.microsoft.com/office/word/2010/wordprocessingShape">
                  <wps:wsp xmlns:wps="http://schemas.microsoft.com/office/word/2010/wordprocessingShape">
                    <wps:cNvSpPr txBox="1"/>
                    <wps:spPr>
                      <a:xfrm>
                        <a:off x="0" y="0"/>
                        <a:ext cx="2402205" cy="520700"/>
                      </a:xfrm>
                      <a:prstGeom prst="rect">
                        <a:avLst/>
                      </a:prstGeom>
                    </wps:spPr>
                    <wps:txbx>
                      <w:txbxContent>
                        <w:p w:rsidR="00A154E5">
                          <w:pPr>
                            <w:spacing w:line="203" w:lineRule="exact"/>
                            <w:ind w:right="26"/>
                            <w:jc w:val="right"/>
                            <w:rPr>
                              <w:rFonts w:ascii="Calibri"/>
                              <w:b/>
                              <w:sz w:val="18"/>
                            </w:rPr>
                          </w:pPr>
                          <w:r>
                            <w:rPr>
                              <w:rFonts w:ascii="Calibri"/>
                              <w:b/>
                              <w:sz w:val="18"/>
                            </w:rPr>
                            <w:t xml:space="preserve">Geotechnical</w:t>
                          </w:r>
                          <w:r>
                            <w:rPr>
                              <w:rFonts w:ascii="Calibri"/>
                              <w:b/>
                              <w:spacing w:val="-6"/>
                              <w:sz w:val="18"/>
                            </w:rPr>
                            <w:t xml:space="preserve"> </w:t>
                          </w:r>
                          <w:r>
                            <w:rPr>
                              <w:rFonts w:ascii="Calibri"/>
                              <w:b/>
                              <w:sz w:val="18"/>
                            </w:rPr>
                            <w:t xml:space="preserve">Report</w:t>
                          </w:r>
                          <w:r>
                            <w:rPr>
                              <w:rFonts w:ascii="Calibri"/>
                              <w:b/>
                              <w:spacing w:val="-3"/>
                              <w:sz w:val="18"/>
                            </w:rPr>
                            <w:t xml:space="preserve"> </w:t>
                          </w:r>
                          <w:r>
                            <w:rPr>
                              <w:rFonts w:ascii="Calibri"/>
                              <w:b/>
                              <w:sz w:val="18"/>
                            </w:rPr>
                            <w:t xml:space="preserve">for</w:t>
                          </w:r>
                          <w:r>
                            <w:rPr>
                              <w:rFonts w:ascii="Calibri"/>
                              <w:b/>
                              <w:spacing w:val="-3"/>
                              <w:sz w:val="18"/>
                            </w:rPr>
                            <w:t xml:space="preserve"> </w:t>
                          </w:r>
                          <w:r>
                            <w:rPr>
                              <w:rFonts w:ascii="Calibri"/>
                              <w:b/>
                              <w:sz w:val="18"/>
                            </w:rPr>
                            <w:t xml:space="preserve">Subdivision</w:t>
                          </w:r>
                          <w:r>
                            <w:rPr>
                              <w:rFonts w:ascii="Calibri"/>
                              <w:b/>
                              <w:spacing w:val="-4"/>
                              <w:sz w:val="18"/>
                            </w:rPr>
                            <w:t xml:space="preserve"> </w:t>
                          </w:r>
                          <w:r>
                            <w:rPr>
                              <w:rFonts w:ascii="Calibri"/>
                              <w:b/>
                              <w:spacing w:val="-2"/>
                              <w:sz w:val="18"/>
                            </w:rPr>
                            <w:t xml:space="preserve">Development</w:t>
                          </w:r>
                        </w:p>
                        <w:p w:rsidR="00A154E5">
                          <w:pPr>
                            <w:spacing w:before="80"/>
                            <w:ind w:right="20"/>
                            <w:jc w:val="right"/>
                            <w:rPr>
                              <w:rFonts w:ascii="Calibri"/>
                              <w:b/>
                              <w:sz w:val="18"/>
                            </w:rPr>
                          </w:pPr>
                          <w:r>
                            <w:rPr>
                              <w:rFonts w:ascii="Calibri"/>
                              <w:b/>
                              <w:sz w:val="18"/>
                            </w:rPr>
                            <w:t xml:space="preserve">Superlot</w:t>
                          </w:r>
                          <w:r>
                            <w:rPr>
                              <w:rFonts w:ascii="Calibri"/>
                              <w:b/>
                              <w:spacing w:val="-1"/>
                              <w:sz w:val="18"/>
                            </w:rPr>
                            <w:t xml:space="preserve"> </w:t>
                          </w:r>
                          <w:r>
                            <w:rPr>
                              <w:rFonts w:ascii="Calibri"/>
                              <w:b/>
                              <w:sz w:val="18"/>
                            </w:rPr>
                            <w:t xml:space="preserve">ZX-001</w:t>
                          </w:r>
                          <w:r>
                            <w:rPr>
                              <w:rFonts w:ascii="Calibri"/>
                              <w:b/>
                              <w:spacing w:val="38"/>
                              <w:sz w:val="18"/>
                            </w:rPr>
                            <w:t xml:space="preserve"> </w:t>
                          </w:r>
                          <w:r>
                            <w:rPr>
                              <w:rFonts w:ascii="Calibri"/>
                              <w:b/>
                              <w:sz w:val="18"/>
                            </w:rPr>
                            <w:t xml:space="preserve">|</w:t>
                          </w:r>
                          <w:r>
                            <w:rPr>
                              <w:rFonts w:ascii="Calibri"/>
                              <w:b/>
                              <w:spacing w:val="39"/>
                              <w:sz w:val="18"/>
                            </w:rPr>
                            <w:t xml:space="preserve"> </w:t>
                          </w:r>
                          <w:r>
                            <w:rPr>
                              <w:rFonts w:ascii="Calibri"/>
                              <w:b/>
                              <w:sz w:val="18"/>
                            </w:rPr>
                            <w:t xml:space="preserve">October 2019</w:t>
                          </w:r>
                          <w:r>
                            <w:rPr>
                              <w:rFonts w:ascii="Calibri"/>
                              <w:b/>
                              <w:spacing w:val="39"/>
                              <w:sz w:val="18"/>
                            </w:rPr>
                            <w:t xml:space="preserve"> </w:t>
                          </w:r>
                          <w:r>
                            <w:rPr>
                              <w:rFonts w:ascii="Calibri"/>
                              <w:b/>
                              <w:sz w:val="18"/>
                            </w:rPr>
                            <w:t xml:space="preserve">|</w:t>
                          </w:r>
                          <w:r>
                            <w:rPr>
                              <w:rFonts w:ascii="Calibri"/>
                              <w:b/>
                              <w:spacing w:val="39"/>
                              <w:sz w:val="18"/>
                            </w:rPr>
                            <w:t xml:space="preserve"> </w:t>
                          </w:r>
                          <w:r>
                            <w:rPr>
                              <w:rFonts w:ascii="Calibri"/>
                              <w:b/>
                              <w:sz w:val="18"/>
                            </w:rPr>
                            <w:t xml:space="preserve">Version</w:t>
                          </w:r>
                          <w:r>
                            <w:rPr>
                              <w:rFonts w:ascii="Calibri"/>
                              <w:b/>
                              <w:spacing w:val="-1"/>
                              <w:sz w:val="18"/>
                            </w:rPr>
                            <w:t xml:space="preserve"> </w:t>
                          </w:r>
                          <w:r>
                            <w:rPr>
                              <w:rFonts w:ascii="Calibri"/>
                              <w:b/>
                              <w:spacing w:val="-5"/>
                              <w:sz w:val="18"/>
                            </w:rPr>
                            <w:t xml:space="preserve">1.0</w:t>
                          </w:r>
                        </w:p>
                        <w:p w:rsidR="00A154E5">
                          <w:pPr>
                            <w:spacing w:before="80"/>
                            <w:ind w:right="18"/>
                            <w:jc w:val="right"/>
                            <w:rPr>
                              <w:rFonts w:ascii="Calibri"/>
                              <w:b/>
                              <w:sz w:val="18"/>
                            </w:rPr>
                          </w:pPr>
                          <w:r>
                            <w:rPr>
                              <w:rFonts w:ascii="Calibri"/>
                              <w:b/>
                              <w:sz w:val="18"/>
                            </w:rPr>
                            <w:t xml:space="preserve">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 xml:space="preserve">10</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 xml:space="preserve">21</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1" o:spid="_x0000_s2051" type="#_x0000_t202" style="width:189.15pt;height:41pt;margin-top:783.25pt;margin-left:353.45pt;mso-position-horizontal-relative:page;mso-position-vertical-relative:page;mso-wrap-distance-bottom:0;mso-wrap-distance-left:0;mso-wrap-distance-right:0;mso-wrap-distance-top:0;mso-wrap-style:square;position:absolute;v-text-anchor:top;visibility:visible;z-index:-251653120" filled="f" stroked="f">
              <v:textbox inset="0,0,0,0">
                <w:txbxContent>
                  <w:p w:rsidR="00A154E5">
                    <w:pPr>
                      <w:spacing w:line="203" w:lineRule="exact"/>
                      <w:ind w:right="26"/>
                      <w:jc w:val="right"/>
                      <w:rPr>
                        <w:rFonts w:ascii="Calibri"/>
                        <w:b/>
                        <w:sz w:val="18"/>
                      </w:rPr>
                    </w:pPr>
                    <w:r>
                      <w:rPr>
                        <w:rFonts w:ascii="Calibri"/>
                        <w:b/>
                        <w:sz w:val="18"/>
                      </w:rPr>
                      <w:t xml:space="preserve">Geotechnical</w:t>
                    </w:r>
                    <w:r>
                      <w:rPr>
                        <w:rFonts w:ascii="Calibri"/>
                        <w:b/>
                        <w:spacing w:val="-6"/>
                        <w:sz w:val="18"/>
                      </w:rPr>
                      <w:t xml:space="preserve"> </w:t>
                    </w:r>
                    <w:r>
                      <w:rPr>
                        <w:rFonts w:ascii="Calibri"/>
                        <w:b/>
                        <w:sz w:val="18"/>
                      </w:rPr>
                      <w:t xml:space="preserve">Report</w:t>
                    </w:r>
                    <w:r>
                      <w:rPr>
                        <w:rFonts w:ascii="Calibri"/>
                        <w:b/>
                        <w:spacing w:val="-3"/>
                        <w:sz w:val="18"/>
                      </w:rPr>
                      <w:t xml:space="preserve"> </w:t>
                    </w:r>
                    <w:r>
                      <w:rPr>
                        <w:rFonts w:ascii="Calibri"/>
                        <w:b/>
                        <w:sz w:val="18"/>
                      </w:rPr>
                      <w:t xml:space="preserve">for</w:t>
                    </w:r>
                    <w:r>
                      <w:rPr>
                        <w:rFonts w:ascii="Calibri"/>
                        <w:b/>
                        <w:spacing w:val="-3"/>
                        <w:sz w:val="18"/>
                      </w:rPr>
                      <w:t xml:space="preserve"> </w:t>
                    </w:r>
                    <w:r>
                      <w:rPr>
                        <w:rFonts w:ascii="Calibri"/>
                        <w:b/>
                        <w:sz w:val="18"/>
                      </w:rPr>
                      <w:t xml:space="preserve">Subdivision</w:t>
                    </w:r>
                    <w:r>
                      <w:rPr>
                        <w:rFonts w:ascii="Calibri"/>
                        <w:b/>
                        <w:spacing w:val="-4"/>
                        <w:sz w:val="18"/>
                      </w:rPr>
                      <w:t xml:space="preserve"> </w:t>
                    </w:r>
                    <w:r>
                      <w:rPr>
                        <w:rFonts w:ascii="Calibri"/>
                        <w:b/>
                        <w:spacing w:val="-2"/>
                        <w:sz w:val="18"/>
                      </w:rPr>
                      <w:t xml:space="preserve">Development</w:t>
                    </w:r>
                  </w:p>
                  <w:p w:rsidR="00A154E5">
                    <w:pPr>
                      <w:spacing w:before="80"/>
                      <w:ind w:right="20"/>
                      <w:jc w:val="right"/>
                      <w:rPr>
                        <w:rFonts w:ascii="Calibri"/>
                        <w:b/>
                        <w:sz w:val="18"/>
                      </w:rPr>
                    </w:pPr>
                    <w:r>
                      <w:rPr>
                        <w:rFonts w:ascii="Calibri"/>
                        <w:b/>
                        <w:sz w:val="18"/>
                      </w:rPr>
                      <w:t xml:space="preserve">Superlot</w:t>
                    </w:r>
                    <w:r>
                      <w:rPr>
                        <w:rFonts w:ascii="Calibri"/>
                        <w:b/>
                        <w:spacing w:val="-1"/>
                        <w:sz w:val="18"/>
                      </w:rPr>
                      <w:t xml:space="preserve"> </w:t>
                    </w:r>
                    <w:r>
                      <w:rPr>
                        <w:rFonts w:ascii="Calibri"/>
                        <w:b/>
                        <w:sz w:val="18"/>
                      </w:rPr>
                      <w:t xml:space="preserve">ZX-001</w:t>
                    </w:r>
                    <w:r>
                      <w:rPr>
                        <w:rFonts w:ascii="Calibri"/>
                        <w:b/>
                        <w:spacing w:val="38"/>
                        <w:sz w:val="18"/>
                      </w:rPr>
                      <w:t xml:space="preserve"> </w:t>
                    </w:r>
                    <w:r>
                      <w:rPr>
                        <w:rFonts w:ascii="Calibri"/>
                        <w:b/>
                        <w:sz w:val="18"/>
                      </w:rPr>
                      <w:t xml:space="preserve">|</w:t>
                    </w:r>
                    <w:r>
                      <w:rPr>
                        <w:rFonts w:ascii="Calibri"/>
                        <w:b/>
                        <w:spacing w:val="39"/>
                        <w:sz w:val="18"/>
                      </w:rPr>
                      <w:t xml:space="preserve"> </w:t>
                    </w:r>
                    <w:r>
                      <w:rPr>
                        <w:rFonts w:ascii="Calibri"/>
                        <w:b/>
                        <w:sz w:val="18"/>
                      </w:rPr>
                      <w:t xml:space="preserve">October 2019</w:t>
                    </w:r>
                    <w:r>
                      <w:rPr>
                        <w:rFonts w:ascii="Calibri"/>
                        <w:b/>
                        <w:spacing w:val="39"/>
                        <w:sz w:val="18"/>
                      </w:rPr>
                      <w:t xml:space="preserve"> </w:t>
                    </w:r>
                    <w:r>
                      <w:rPr>
                        <w:rFonts w:ascii="Calibri"/>
                        <w:b/>
                        <w:sz w:val="18"/>
                      </w:rPr>
                      <w:t xml:space="preserve">|</w:t>
                    </w:r>
                    <w:r>
                      <w:rPr>
                        <w:rFonts w:ascii="Calibri"/>
                        <w:b/>
                        <w:spacing w:val="39"/>
                        <w:sz w:val="18"/>
                      </w:rPr>
                      <w:t xml:space="preserve"> </w:t>
                    </w:r>
                    <w:r>
                      <w:rPr>
                        <w:rFonts w:ascii="Calibri"/>
                        <w:b/>
                        <w:sz w:val="18"/>
                      </w:rPr>
                      <w:t xml:space="preserve">Version</w:t>
                    </w:r>
                    <w:r>
                      <w:rPr>
                        <w:rFonts w:ascii="Calibri"/>
                        <w:b/>
                        <w:spacing w:val="-1"/>
                        <w:sz w:val="18"/>
                      </w:rPr>
                      <w:t xml:space="preserve"> </w:t>
                    </w:r>
                    <w:r>
                      <w:rPr>
                        <w:rFonts w:ascii="Calibri"/>
                        <w:b/>
                        <w:spacing w:val="-5"/>
                        <w:sz w:val="18"/>
                      </w:rPr>
                      <w:t xml:space="preserve">1.0</w:t>
                    </w:r>
                  </w:p>
                  <w:p w:rsidR="00A154E5">
                    <w:pPr>
                      <w:spacing w:before="80"/>
                      <w:ind w:right="18"/>
                      <w:jc w:val="right"/>
                      <w:rPr>
                        <w:rFonts w:ascii="Calibri"/>
                        <w:b/>
                        <w:sz w:val="18"/>
                      </w:rPr>
                    </w:pPr>
                    <w:r>
                      <w:rPr>
                        <w:rFonts w:ascii="Calibri"/>
                        <w:b/>
                        <w:sz w:val="18"/>
                      </w:rPr>
                      <w:t xml:space="preserve">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 xml:space="preserve">10</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 xml:space="preserve">21</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154E5">
    <w:pPr>
      <w:pStyle w:val="BodyText"/>
      <w:spacing w:line="14" w:lineRule="auto"/>
      <w:rPr>
        <w:sz w:val="20"/>
      </w:rPr>
    </w:pPr>
    <w:r>
      <w:rPr>
        <w:noProof/>
      </w:rPr>
      <mc:AlternateContent>
        <mc:Choice Requires="wps">
          <w:drawing>
            <wp:anchor distT="0" distB="0" distL="0" distR="0" simplePos="0" relativeHeight="251664384" behindDoc="1" locked="0" layoutInCell="1" allowOverlap="1">
              <wp:simplePos x="0" y="0"/>
              <wp:positionH relativeFrom="page">
                <wp:posOffset>685800</wp:posOffset>
              </wp:positionH>
              <wp:positionV relativeFrom="page">
                <wp:posOffset>10264477</wp:posOffset>
              </wp:positionV>
              <wp:extent cx="1181100" cy="177800"/>
              <wp:effectExtent l="0" t="0" r="0" b="0"/>
              <wp:wrapNone/>
              <wp:docPr id="24" name="Graphic 24"/>
              <wp:cNvGraphicFramePr/>
              <a:graphic xmlns:a="http://schemas.openxmlformats.org/drawingml/2006/main">
                <a:graphicData uri="http://schemas.microsoft.com/office/word/2010/wordprocessingShape">
                  <wps:wsp xmlns:wps="http://schemas.microsoft.com/office/word/2010/wordprocessingShape">
                    <wps:cNvSpPr/>
                    <wps:spPr>
                      <a:xfrm>
                        <a:off x="0" y="0"/>
                        <a:ext cx="1181100" cy="177800"/>
                      </a:xfrm>
                      <a:custGeom>
                        <a:avLst/>
                        <a:gdLst/>
                        <a:rect l="l" t="t" r="r" b="b"/>
                        <a:pathLst>
                          <a:path fill="norm" h="177800" w="1181100" stroke="1">
                            <a:moveTo>
                              <a:pt x="1180644" y="54336"/>
                            </a:moveTo>
                            <a:lnTo>
                              <a:pt x="1110353" y="54336"/>
                            </a:lnTo>
                            <a:lnTo>
                              <a:pt x="1110353" y="174889"/>
                            </a:lnTo>
                            <a:lnTo>
                              <a:pt x="1180644" y="174889"/>
                            </a:lnTo>
                            <a:lnTo>
                              <a:pt x="1180644" y="54336"/>
                            </a:lnTo>
                            <a:close/>
                          </a:path>
                          <a:path fill="norm" h="177800" w="1181100" stroke="1">
                            <a:moveTo>
                              <a:pt x="1180644" y="0"/>
                            </a:moveTo>
                            <a:lnTo>
                              <a:pt x="1110353" y="0"/>
                            </a:lnTo>
                            <a:lnTo>
                              <a:pt x="1110353" y="18112"/>
                            </a:lnTo>
                            <a:lnTo>
                              <a:pt x="1180644" y="49528"/>
                            </a:lnTo>
                            <a:lnTo>
                              <a:pt x="1180644" y="0"/>
                            </a:lnTo>
                            <a:close/>
                          </a:path>
                          <a:path fill="norm" h="177800" w="1181100" stroke="1">
                            <a:moveTo>
                              <a:pt x="971036" y="0"/>
                            </a:moveTo>
                            <a:lnTo>
                              <a:pt x="899322" y="0"/>
                            </a:lnTo>
                            <a:lnTo>
                              <a:pt x="899322" y="174889"/>
                            </a:lnTo>
                            <a:lnTo>
                              <a:pt x="971036" y="174889"/>
                            </a:lnTo>
                            <a:lnTo>
                              <a:pt x="971036" y="79870"/>
                            </a:lnTo>
                            <a:lnTo>
                              <a:pt x="977555" y="78091"/>
                            </a:lnTo>
                            <a:lnTo>
                              <a:pt x="984391" y="76901"/>
                            </a:lnTo>
                            <a:lnTo>
                              <a:pt x="1079797" y="76901"/>
                            </a:lnTo>
                            <a:lnTo>
                              <a:pt x="1071971" y="66807"/>
                            </a:lnTo>
                            <a:lnTo>
                              <a:pt x="971036" y="66807"/>
                            </a:lnTo>
                            <a:lnTo>
                              <a:pt x="971036" y="0"/>
                            </a:lnTo>
                            <a:close/>
                          </a:path>
                          <a:path fill="norm" h="177800" w="1181100" stroke="1">
                            <a:moveTo>
                              <a:pt x="1079797" y="76901"/>
                            </a:moveTo>
                            <a:lnTo>
                              <a:pt x="991503" y="76901"/>
                            </a:lnTo>
                            <a:lnTo>
                              <a:pt x="1001316" y="78091"/>
                            </a:lnTo>
                            <a:lnTo>
                              <a:pt x="1007791" y="81838"/>
                            </a:lnTo>
                            <a:lnTo>
                              <a:pt x="1011405" y="88552"/>
                            </a:lnTo>
                            <a:lnTo>
                              <a:pt x="1012490" y="98283"/>
                            </a:lnTo>
                            <a:lnTo>
                              <a:pt x="1012523" y="174889"/>
                            </a:lnTo>
                            <a:lnTo>
                              <a:pt x="1084276" y="174889"/>
                            </a:lnTo>
                            <a:lnTo>
                              <a:pt x="1084276" y="98283"/>
                            </a:lnTo>
                            <a:lnTo>
                              <a:pt x="1080547" y="78091"/>
                            </a:lnTo>
                            <a:lnTo>
                              <a:pt x="1080493" y="77798"/>
                            </a:lnTo>
                            <a:lnTo>
                              <a:pt x="1079797" y="76901"/>
                            </a:lnTo>
                            <a:close/>
                          </a:path>
                          <a:path fill="norm" h="177800" w="1181100" stroke="1">
                            <a:moveTo>
                              <a:pt x="1023507" y="51367"/>
                            </a:moveTo>
                            <a:lnTo>
                              <a:pt x="1007635" y="52527"/>
                            </a:lnTo>
                            <a:lnTo>
                              <a:pt x="993049" y="55746"/>
                            </a:lnTo>
                            <a:lnTo>
                              <a:pt x="980573" y="60636"/>
                            </a:lnTo>
                            <a:lnTo>
                              <a:pt x="971036" y="66807"/>
                            </a:lnTo>
                            <a:lnTo>
                              <a:pt x="1071971" y="66807"/>
                            </a:lnTo>
                            <a:lnTo>
                              <a:pt x="1069123" y="63133"/>
                            </a:lnTo>
                            <a:lnTo>
                              <a:pt x="1050138" y="54313"/>
                            </a:lnTo>
                            <a:lnTo>
                              <a:pt x="1023507" y="51367"/>
                            </a:lnTo>
                            <a:close/>
                          </a:path>
                          <a:path fill="norm" h="177800" w="1181100" stroke="1">
                            <a:moveTo>
                              <a:pt x="864286" y="71263"/>
                            </a:moveTo>
                            <a:lnTo>
                              <a:pt x="768894" y="71263"/>
                            </a:lnTo>
                            <a:lnTo>
                              <a:pt x="778723" y="71536"/>
                            </a:lnTo>
                            <a:lnTo>
                              <a:pt x="786833" y="72338"/>
                            </a:lnTo>
                            <a:lnTo>
                              <a:pt x="793164" y="73641"/>
                            </a:lnTo>
                            <a:lnTo>
                              <a:pt x="797659" y="75418"/>
                            </a:lnTo>
                            <a:lnTo>
                              <a:pt x="802677" y="78091"/>
                            </a:lnTo>
                            <a:lnTo>
                              <a:pt x="805048" y="83733"/>
                            </a:lnTo>
                            <a:lnTo>
                              <a:pt x="805048" y="100655"/>
                            </a:lnTo>
                            <a:lnTo>
                              <a:pt x="768578" y="100655"/>
                            </a:lnTo>
                            <a:lnTo>
                              <a:pt x="739639" y="102933"/>
                            </a:lnTo>
                            <a:lnTo>
                              <a:pt x="719312" y="109971"/>
                            </a:lnTo>
                            <a:lnTo>
                              <a:pt x="707320" y="122076"/>
                            </a:lnTo>
                            <a:lnTo>
                              <a:pt x="703384" y="139553"/>
                            </a:lnTo>
                            <a:lnTo>
                              <a:pt x="707093" y="155639"/>
                            </a:lnTo>
                            <a:lnTo>
                              <a:pt x="717944" y="167577"/>
                            </a:lnTo>
                            <a:lnTo>
                              <a:pt x="735522" y="175005"/>
                            </a:lnTo>
                            <a:lnTo>
                              <a:pt x="759412" y="177561"/>
                            </a:lnTo>
                            <a:lnTo>
                              <a:pt x="772076" y="176902"/>
                            </a:lnTo>
                            <a:lnTo>
                              <a:pt x="783635" y="175005"/>
                            </a:lnTo>
                            <a:lnTo>
                              <a:pt x="794872" y="171799"/>
                            </a:lnTo>
                            <a:lnTo>
                              <a:pt x="804787" y="167577"/>
                            </a:lnTo>
                            <a:lnTo>
                              <a:pt x="873245" y="167577"/>
                            </a:lnTo>
                            <a:lnTo>
                              <a:pt x="873245" y="157370"/>
                            </a:lnTo>
                            <a:lnTo>
                              <a:pt x="790547" y="157370"/>
                            </a:lnTo>
                            <a:lnTo>
                              <a:pt x="781943" y="156340"/>
                            </a:lnTo>
                            <a:lnTo>
                              <a:pt x="776036" y="152916"/>
                            </a:lnTo>
                            <a:lnTo>
                              <a:pt x="772633" y="146598"/>
                            </a:lnTo>
                            <a:lnTo>
                              <a:pt x="771542" y="136884"/>
                            </a:lnTo>
                            <a:lnTo>
                              <a:pt x="772633" y="127121"/>
                            </a:lnTo>
                            <a:lnTo>
                              <a:pt x="776036" y="120700"/>
                            </a:lnTo>
                            <a:lnTo>
                              <a:pt x="781943" y="117175"/>
                            </a:lnTo>
                            <a:lnTo>
                              <a:pt x="790547" y="116099"/>
                            </a:lnTo>
                            <a:lnTo>
                              <a:pt x="873245" y="116099"/>
                            </a:lnTo>
                            <a:lnTo>
                              <a:pt x="873245" y="96500"/>
                            </a:lnTo>
                            <a:lnTo>
                              <a:pt x="872026" y="85579"/>
                            </a:lnTo>
                            <a:lnTo>
                              <a:pt x="868390" y="76383"/>
                            </a:lnTo>
                            <a:lnTo>
                              <a:pt x="864286" y="71263"/>
                            </a:lnTo>
                            <a:close/>
                          </a:path>
                          <a:path fill="norm" h="177800" w="1181100" stroke="1">
                            <a:moveTo>
                              <a:pt x="873245" y="167577"/>
                            </a:moveTo>
                            <a:lnTo>
                              <a:pt x="805048" y="167577"/>
                            </a:lnTo>
                            <a:lnTo>
                              <a:pt x="805048" y="175005"/>
                            </a:lnTo>
                            <a:lnTo>
                              <a:pt x="873245" y="175005"/>
                            </a:lnTo>
                            <a:lnTo>
                              <a:pt x="873245" y="167577"/>
                            </a:lnTo>
                            <a:close/>
                          </a:path>
                          <a:path fill="norm" h="177800" w="1181100" stroke="1">
                            <a:moveTo>
                              <a:pt x="873245" y="116099"/>
                            </a:moveTo>
                            <a:lnTo>
                              <a:pt x="805048" y="116099"/>
                            </a:lnTo>
                            <a:lnTo>
                              <a:pt x="805048" y="155885"/>
                            </a:lnTo>
                            <a:lnTo>
                              <a:pt x="801215" y="156776"/>
                            </a:lnTo>
                            <a:lnTo>
                              <a:pt x="796474" y="157370"/>
                            </a:lnTo>
                            <a:lnTo>
                              <a:pt x="873245" y="157370"/>
                            </a:lnTo>
                            <a:lnTo>
                              <a:pt x="873245" y="116099"/>
                            </a:lnTo>
                            <a:close/>
                          </a:path>
                          <a:path fill="norm" h="177800" w="1181100" stroke="1">
                            <a:moveTo>
                              <a:pt x="789045" y="52553"/>
                            </a:moveTo>
                            <a:lnTo>
                              <a:pt x="773372" y="52837"/>
                            </a:lnTo>
                            <a:lnTo>
                              <a:pt x="757446" y="53705"/>
                            </a:lnTo>
                            <a:lnTo>
                              <a:pt x="741239" y="55185"/>
                            </a:lnTo>
                            <a:lnTo>
                              <a:pt x="724721" y="57306"/>
                            </a:lnTo>
                            <a:lnTo>
                              <a:pt x="724721" y="73931"/>
                            </a:lnTo>
                            <a:lnTo>
                              <a:pt x="737162" y="72764"/>
                            </a:lnTo>
                            <a:lnTo>
                              <a:pt x="748689" y="71930"/>
                            </a:lnTo>
                            <a:lnTo>
                              <a:pt x="757020" y="71536"/>
                            </a:lnTo>
                            <a:lnTo>
                              <a:pt x="753126" y="71536"/>
                            </a:lnTo>
                            <a:lnTo>
                              <a:pt x="768894" y="71263"/>
                            </a:lnTo>
                            <a:lnTo>
                              <a:pt x="864286" y="71263"/>
                            </a:lnTo>
                            <a:lnTo>
                              <a:pt x="862360" y="68858"/>
                            </a:lnTo>
                            <a:lnTo>
                              <a:pt x="853963" y="62948"/>
                            </a:lnTo>
                            <a:lnTo>
                              <a:pt x="842730" y="58316"/>
                            </a:lnTo>
                            <a:lnTo>
                              <a:pt x="828658" y="55185"/>
                            </a:lnTo>
                            <a:lnTo>
                              <a:pt x="829189" y="55185"/>
                            </a:lnTo>
                            <a:lnTo>
                              <a:pt x="810279" y="53175"/>
                            </a:lnTo>
                            <a:lnTo>
                              <a:pt x="789045" y="52553"/>
                            </a:lnTo>
                            <a:close/>
                          </a:path>
                          <a:path fill="norm" h="177800" w="1181100" stroke="1">
                            <a:moveTo>
                              <a:pt x="656247" y="71856"/>
                            </a:moveTo>
                            <a:lnTo>
                              <a:pt x="584534" y="71856"/>
                            </a:lnTo>
                            <a:lnTo>
                              <a:pt x="584534" y="136884"/>
                            </a:lnTo>
                            <a:lnTo>
                              <a:pt x="605784" y="172035"/>
                            </a:lnTo>
                            <a:lnTo>
                              <a:pt x="640561" y="176670"/>
                            </a:lnTo>
                            <a:lnTo>
                              <a:pt x="653341" y="176443"/>
                            </a:lnTo>
                            <a:lnTo>
                              <a:pt x="665517" y="175742"/>
                            </a:lnTo>
                            <a:lnTo>
                              <a:pt x="676286" y="174629"/>
                            </a:lnTo>
                            <a:lnTo>
                              <a:pt x="676572" y="174629"/>
                            </a:lnTo>
                            <a:lnTo>
                              <a:pt x="688251" y="172810"/>
                            </a:lnTo>
                            <a:lnTo>
                              <a:pt x="688251" y="157370"/>
                            </a:lnTo>
                            <a:lnTo>
                              <a:pt x="660396" y="157370"/>
                            </a:lnTo>
                            <a:lnTo>
                              <a:pt x="656247" y="154698"/>
                            </a:lnTo>
                            <a:lnTo>
                              <a:pt x="656247" y="71856"/>
                            </a:lnTo>
                            <a:close/>
                          </a:path>
                          <a:path fill="norm" h="177800" w="1181100" stroke="1">
                            <a:moveTo>
                              <a:pt x="688251" y="156182"/>
                            </a:moveTo>
                            <a:lnTo>
                              <a:pt x="682048" y="157073"/>
                            </a:lnTo>
                            <a:lnTo>
                              <a:pt x="677899" y="157370"/>
                            </a:lnTo>
                            <a:lnTo>
                              <a:pt x="688251" y="157370"/>
                            </a:lnTo>
                            <a:lnTo>
                              <a:pt x="688251" y="156182"/>
                            </a:lnTo>
                            <a:close/>
                          </a:path>
                          <a:path fill="norm" h="177800" w="1181100" stroke="1">
                            <a:moveTo>
                              <a:pt x="688251" y="54336"/>
                            </a:moveTo>
                            <a:lnTo>
                              <a:pt x="564659" y="54336"/>
                            </a:lnTo>
                            <a:lnTo>
                              <a:pt x="564659" y="71856"/>
                            </a:lnTo>
                            <a:lnTo>
                              <a:pt x="688251" y="71856"/>
                            </a:lnTo>
                            <a:lnTo>
                              <a:pt x="688251" y="54336"/>
                            </a:lnTo>
                            <a:close/>
                          </a:path>
                          <a:path fill="norm" h="177800" w="1181100" stroke="1">
                            <a:moveTo>
                              <a:pt x="656247" y="20785"/>
                            </a:moveTo>
                            <a:lnTo>
                              <a:pt x="584534" y="20785"/>
                            </a:lnTo>
                            <a:lnTo>
                              <a:pt x="584534" y="54336"/>
                            </a:lnTo>
                            <a:lnTo>
                              <a:pt x="656247" y="54336"/>
                            </a:lnTo>
                            <a:lnTo>
                              <a:pt x="656247" y="20785"/>
                            </a:lnTo>
                            <a:close/>
                          </a:path>
                          <a:path fill="norm" h="177800" w="1181100" stroke="1">
                            <a:moveTo>
                              <a:pt x="548064" y="54336"/>
                            </a:moveTo>
                            <a:lnTo>
                              <a:pt x="476351" y="54336"/>
                            </a:lnTo>
                            <a:lnTo>
                              <a:pt x="476351" y="174889"/>
                            </a:lnTo>
                            <a:lnTo>
                              <a:pt x="548064" y="174889"/>
                            </a:lnTo>
                            <a:lnTo>
                              <a:pt x="548064" y="54336"/>
                            </a:lnTo>
                            <a:close/>
                          </a:path>
                          <a:path fill="norm" h="177800" w="1181100" stroke="1">
                            <a:moveTo>
                              <a:pt x="548064" y="0"/>
                            </a:moveTo>
                            <a:lnTo>
                              <a:pt x="476351" y="0"/>
                            </a:lnTo>
                            <a:lnTo>
                              <a:pt x="476351" y="18112"/>
                            </a:lnTo>
                            <a:lnTo>
                              <a:pt x="548064" y="50181"/>
                            </a:lnTo>
                            <a:lnTo>
                              <a:pt x="548064" y="0"/>
                            </a:lnTo>
                            <a:close/>
                          </a:path>
                          <a:path fill="norm" h="177800" w="1181100" stroke="1">
                            <a:moveTo>
                              <a:pt x="403413" y="54336"/>
                            </a:moveTo>
                            <a:lnTo>
                              <a:pt x="335239" y="54336"/>
                            </a:lnTo>
                            <a:lnTo>
                              <a:pt x="335239" y="174889"/>
                            </a:lnTo>
                            <a:lnTo>
                              <a:pt x="406969" y="174889"/>
                            </a:lnTo>
                            <a:lnTo>
                              <a:pt x="406969" y="78091"/>
                            </a:lnTo>
                            <a:lnTo>
                              <a:pt x="415205" y="76313"/>
                            </a:lnTo>
                            <a:lnTo>
                              <a:pt x="424349" y="75009"/>
                            </a:lnTo>
                            <a:lnTo>
                              <a:pt x="434102" y="74232"/>
                            </a:lnTo>
                            <a:lnTo>
                              <a:pt x="433366" y="74232"/>
                            </a:lnTo>
                            <a:lnTo>
                              <a:pt x="445492" y="73931"/>
                            </a:lnTo>
                            <a:lnTo>
                              <a:pt x="461811" y="73931"/>
                            </a:lnTo>
                            <a:lnTo>
                              <a:pt x="461811" y="66214"/>
                            </a:lnTo>
                            <a:lnTo>
                              <a:pt x="403413" y="66214"/>
                            </a:lnTo>
                            <a:lnTo>
                              <a:pt x="403413" y="54336"/>
                            </a:lnTo>
                            <a:close/>
                          </a:path>
                          <a:path fill="norm" h="177800" w="1181100" stroke="1">
                            <a:moveTo>
                              <a:pt x="461811" y="73931"/>
                            </a:moveTo>
                            <a:lnTo>
                              <a:pt x="460033" y="73931"/>
                            </a:lnTo>
                            <a:lnTo>
                              <a:pt x="461811" y="74232"/>
                            </a:lnTo>
                            <a:lnTo>
                              <a:pt x="461811" y="73931"/>
                            </a:lnTo>
                            <a:close/>
                          </a:path>
                          <a:path fill="norm" h="177800" w="1181100" stroke="1">
                            <a:moveTo>
                              <a:pt x="447270" y="53743"/>
                            </a:moveTo>
                            <a:lnTo>
                              <a:pt x="439882" y="53743"/>
                            </a:lnTo>
                            <a:lnTo>
                              <a:pt x="426620" y="54633"/>
                            </a:lnTo>
                            <a:lnTo>
                              <a:pt x="427796" y="54633"/>
                            </a:lnTo>
                            <a:lnTo>
                              <a:pt x="418313" y="56860"/>
                            </a:lnTo>
                            <a:lnTo>
                              <a:pt x="410028" y="60757"/>
                            </a:lnTo>
                            <a:lnTo>
                              <a:pt x="403413" y="66214"/>
                            </a:lnTo>
                            <a:lnTo>
                              <a:pt x="461811" y="66214"/>
                            </a:lnTo>
                            <a:lnTo>
                              <a:pt x="461811" y="56713"/>
                            </a:lnTo>
                            <a:lnTo>
                              <a:pt x="454382" y="54633"/>
                            </a:lnTo>
                            <a:lnTo>
                              <a:pt x="447270" y="53743"/>
                            </a:lnTo>
                            <a:close/>
                          </a:path>
                          <a:path fill="norm" h="177800" w="1181100" stroke="1">
                            <a:moveTo>
                              <a:pt x="308269" y="54336"/>
                            </a:moveTo>
                            <a:lnTo>
                              <a:pt x="236535" y="54336"/>
                            </a:lnTo>
                            <a:lnTo>
                              <a:pt x="236535" y="174889"/>
                            </a:lnTo>
                            <a:lnTo>
                              <a:pt x="308269" y="174889"/>
                            </a:lnTo>
                            <a:lnTo>
                              <a:pt x="308269" y="54336"/>
                            </a:lnTo>
                            <a:close/>
                          </a:path>
                          <a:path fill="norm" h="177800" w="1181100" stroke="1">
                            <a:moveTo>
                              <a:pt x="308269" y="0"/>
                            </a:moveTo>
                            <a:lnTo>
                              <a:pt x="236535" y="0"/>
                            </a:lnTo>
                            <a:lnTo>
                              <a:pt x="236535" y="18112"/>
                            </a:lnTo>
                            <a:lnTo>
                              <a:pt x="308269" y="50181"/>
                            </a:lnTo>
                            <a:lnTo>
                              <a:pt x="308269" y="0"/>
                            </a:lnTo>
                            <a:close/>
                          </a:path>
                          <a:path fill="norm" h="177800" w="1181100" stroke="1">
                            <a:moveTo>
                              <a:pt x="159491" y="0"/>
                            </a:moveTo>
                            <a:lnTo>
                              <a:pt x="0" y="0"/>
                            </a:lnTo>
                            <a:lnTo>
                              <a:pt x="0" y="174889"/>
                            </a:lnTo>
                            <a:lnTo>
                              <a:pt x="74696" y="174889"/>
                            </a:lnTo>
                            <a:lnTo>
                              <a:pt x="74696" y="115205"/>
                            </a:lnTo>
                            <a:lnTo>
                              <a:pt x="131605" y="115205"/>
                            </a:lnTo>
                            <a:lnTo>
                              <a:pt x="168032" y="111123"/>
                            </a:lnTo>
                            <a:lnTo>
                              <a:pt x="194705" y="99246"/>
                            </a:lnTo>
                            <a:lnTo>
                              <a:pt x="197314" y="96203"/>
                            </a:lnTo>
                            <a:lnTo>
                              <a:pt x="74696" y="96203"/>
                            </a:lnTo>
                            <a:lnTo>
                              <a:pt x="74696" y="16032"/>
                            </a:lnTo>
                            <a:lnTo>
                              <a:pt x="199410" y="16032"/>
                            </a:lnTo>
                            <a:lnTo>
                              <a:pt x="195298" y="11467"/>
                            </a:lnTo>
                            <a:lnTo>
                              <a:pt x="168532" y="848"/>
                            </a:lnTo>
                            <a:lnTo>
                              <a:pt x="159491" y="0"/>
                            </a:lnTo>
                            <a:close/>
                          </a:path>
                          <a:path fill="norm" h="177800" w="1181100" stroke="1">
                            <a:moveTo>
                              <a:pt x="199410" y="16032"/>
                            </a:moveTo>
                            <a:lnTo>
                              <a:pt x="109375" y="16032"/>
                            </a:lnTo>
                            <a:lnTo>
                              <a:pt x="117263" y="16584"/>
                            </a:lnTo>
                            <a:lnTo>
                              <a:pt x="124011" y="18222"/>
                            </a:lnTo>
                            <a:lnTo>
                              <a:pt x="141324" y="54336"/>
                            </a:lnTo>
                            <a:lnTo>
                              <a:pt x="141388" y="55819"/>
                            </a:lnTo>
                            <a:lnTo>
                              <a:pt x="139595" y="75158"/>
                            </a:lnTo>
                            <a:lnTo>
                              <a:pt x="133940" y="87592"/>
                            </a:lnTo>
                            <a:lnTo>
                              <a:pt x="124005" y="94236"/>
                            </a:lnTo>
                            <a:lnTo>
                              <a:pt x="109375" y="96203"/>
                            </a:lnTo>
                            <a:lnTo>
                              <a:pt x="197314" y="96203"/>
                            </a:lnTo>
                            <a:lnTo>
                              <a:pt x="211096" y="80132"/>
                            </a:lnTo>
                            <a:lnTo>
                              <a:pt x="216677" y="54336"/>
                            </a:lnTo>
                            <a:lnTo>
                              <a:pt x="211416" y="29640"/>
                            </a:lnTo>
                            <a:lnTo>
                              <a:pt x="211337" y="29269"/>
                            </a:lnTo>
                            <a:lnTo>
                              <a:pt x="199410" y="16032"/>
                            </a:lnTo>
                            <a:close/>
                          </a:path>
                        </a:pathLst>
                      </a:custGeom>
                      <a:solidFill>
                        <a:srgbClr val="48B658"/>
                      </a:solidFill>
                    </wps:spPr>
                    <wps:bodyPr wrap="square" lIns="0" tIns="0" rIns="0" bIns="0" rtlCol="0">
                      <a:prstTxWarp prst="textNoShape">
                        <a:avLst/>
                      </a:prstTxWarp>
                    </wps:bodyPr>
                  </wps:wsp>
                </a:graphicData>
              </a:graphic>
            </wp:anchor>
          </w:drawing>
        </mc:Choice>
        <mc:Fallback>
          <w:pict>
            <v:shape id="Graphic 24" o:spid="_x0000_s2052" style="width:93pt;height:14pt;margin-top:808.25pt;margin-left:54pt;mso-position-horizontal-relative:page;mso-position-vertical-relative:page;mso-wrap-distance-bottom:0;mso-wrap-distance-left:0;mso-wrap-distance-right:0;mso-wrap-distance-top:0;mso-wrap-style:square;position:absolute;v-text-anchor:top;visibility:visible;z-index:-251651072" coordsize="1181100,177800" path="m1180644,54336l1110353,54336l1110353,174889l1180644,174889l1180644,54336xem1180644,l1110353,l1110353,18112l1180644,49528l1180644,xem971036,l899322,l899322,174889l971036,174889l971036,79870l977555,78091l984391,76901l1079797,76901l1071971,66807l971036,66807,971036,xem1079797,76901l991503,76901l1001316,78091l1007791,81838l1011405,88552l1012490,98283l1012523,174889l1084276,174889l1084276,98283l1080547,78091l1080493,77798l1079797,76901xem1023507,51367l1007635,52527l993049,55746l980573,60636l971036,66807l1071971,66807l1069123,63133l1050138,54313l1023507,51367xem864286,71263l768894,71263l778723,71536l786833,72338l793164,73641l797659,75418l802677,78091l805048,83733l805048,100655l768578,100655l739639,102933l719312,109971l707320,122076l703384,139553l707093,155639l717944,167577l735522,175005l759412,177561l772076,176902l783635,175005l794872,171799l804787,167577l873245,167577l873245,157370l790547,157370l781943,156340l776036,152916l772633,146598l771542,136884l772633,127121l776036,120700l781943,117175l790547,116099l873245,116099l873245,96500,872026,85579l868390,76383l864286,71263xem873245,167577l805048,167577l805048,175005l873245,175005l873245,167577xem873245,116099l805048,116099l805048,155885l801215,156776l796474,157370l873245,157370l873245,116099xem789045,52553l773372,52837l757446,53705l741239,55185l724721,57306l724721,73931l737162,72764l748689,71930l757020,71536l753126,71536l768894,71263l864286,71263l862360,68858l853963,62948l842730,58316,828658,55185l829189,55185l810279,53175l789045,52553xem656247,71856l584534,71856l584534,136884l605784,172035l640561,176670l653341,176443l665517,175742l676286,174629l676572,174629l688251,172810l688251,157370l660396,157370l656247,154698l656247,71856xem688251,156182l682048,157073l677899,157370l688251,157370l688251,156182xem688251,54336l564659,54336l564659,71856l688251,71856l688251,54336xem656247,20785l584534,20785l584534,54336l656247,54336l656247,20785xem548064,54336l476351,54336l476351,174889l548064,174889l548064,54336xem548064,l476351,l476351,18112l548064,50181,548064,xem403413,54336l335239,54336l335239,174889l406969,174889l406969,78091l415205,76313l424349,75009l434102,74232l433366,74232l445492,73931l461811,73931l461811,66214l403413,66214l403413,54336xem461811,73931l460033,73931l461811,74232l461811,73931xem447270,53743l439882,53743l426620,54633l427796,54633l418313,56860l410028,60757l403413,66214l461811,66214l461811,56713l454382,54633l447270,53743xem308269,54336l236535,54336l236535,174889l308269,174889l308269,54336xem308269,l236535,l236535,18112l308269,50181,308269,xem159491,l,,,174889l74696,174889l74696,115205l131605,115205l168032,111123,194705,99246l197314,96203l74696,96203l74696,16032l199410,16032l195298,11467l168532,848,159491,xem199410,16032l109375,16032l117263,16584l124011,18222l141324,54336l141388,55819l139595,75158l133940,87592l124005,94236l109375,96203l197314,96203,211096,80132l216677,54336l211416,29640l211337,29269l199410,16032xe" fillcolor="#48b658" stroked="f">
              <v:path arrowok="t"/>
            </v:shape>
          </w:pict>
        </mc:Fallback>
      </mc:AlternateContent>
    </w:r>
    <w:r>
      <w:rPr>
        <w:noProof/>
      </w:rPr>
      <mc:AlternateContent>
        <mc:Choice Requires="wps">
          <w:drawing>
            <wp:anchor distT="0" distB="0" distL="0" distR="0" simplePos="0" relativeHeight="251666432" behindDoc="1" locked="0" layoutInCell="1" allowOverlap="1">
              <wp:simplePos x="0" y="0"/>
              <wp:positionH relativeFrom="page">
                <wp:posOffset>4488560</wp:posOffset>
              </wp:positionH>
              <wp:positionV relativeFrom="page">
                <wp:posOffset>9947478</wp:posOffset>
              </wp:positionV>
              <wp:extent cx="2402205" cy="520700"/>
              <wp:effectExtent l="0" t="0" r="0" b="0"/>
              <wp:wrapNone/>
              <wp:docPr id="25" name="Textbox 25"/>
              <wp:cNvGraphicFramePr/>
              <a:graphic xmlns:a="http://schemas.openxmlformats.org/drawingml/2006/main">
                <a:graphicData uri="http://schemas.microsoft.com/office/word/2010/wordprocessingShape">
                  <wps:wsp xmlns:wps="http://schemas.microsoft.com/office/word/2010/wordprocessingShape">
                    <wps:cNvSpPr txBox="1"/>
                    <wps:spPr>
                      <a:xfrm>
                        <a:off x="0" y="0"/>
                        <a:ext cx="2402205" cy="520700"/>
                      </a:xfrm>
                      <a:prstGeom prst="rect">
                        <a:avLst/>
                      </a:prstGeom>
                    </wps:spPr>
                    <wps:txbx>
                      <w:txbxContent>
                        <w:p w:rsidR="00A154E5">
                          <w:pPr>
                            <w:spacing w:line="203" w:lineRule="exact"/>
                            <w:ind w:right="26"/>
                            <w:jc w:val="right"/>
                            <w:rPr>
                              <w:rFonts w:ascii="Calibri"/>
                              <w:b/>
                              <w:sz w:val="18"/>
                            </w:rPr>
                          </w:pPr>
                          <w:r>
                            <w:rPr>
                              <w:rFonts w:ascii="Calibri"/>
                              <w:b/>
                              <w:sz w:val="18"/>
                            </w:rPr>
                            <w:t xml:space="preserve">Geotechnical</w:t>
                          </w:r>
                          <w:r>
                            <w:rPr>
                              <w:rFonts w:ascii="Calibri"/>
                              <w:b/>
                              <w:spacing w:val="-6"/>
                              <w:sz w:val="18"/>
                            </w:rPr>
                            <w:t xml:space="preserve"> </w:t>
                          </w:r>
                          <w:r>
                            <w:rPr>
                              <w:rFonts w:ascii="Calibri"/>
                              <w:b/>
                              <w:sz w:val="18"/>
                            </w:rPr>
                            <w:t xml:space="preserve">Report</w:t>
                          </w:r>
                          <w:r>
                            <w:rPr>
                              <w:rFonts w:ascii="Calibri"/>
                              <w:b/>
                              <w:spacing w:val="-3"/>
                              <w:sz w:val="18"/>
                            </w:rPr>
                            <w:t xml:space="preserve"> </w:t>
                          </w:r>
                          <w:r>
                            <w:rPr>
                              <w:rFonts w:ascii="Calibri"/>
                              <w:b/>
                              <w:sz w:val="18"/>
                            </w:rPr>
                            <w:t xml:space="preserve">for</w:t>
                          </w:r>
                          <w:r>
                            <w:rPr>
                              <w:rFonts w:ascii="Calibri"/>
                              <w:b/>
                              <w:spacing w:val="-3"/>
                              <w:sz w:val="18"/>
                            </w:rPr>
                            <w:t xml:space="preserve"> </w:t>
                          </w:r>
                          <w:r>
                            <w:rPr>
                              <w:rFonts w:ascii="Calibri"/>
                              <w:b/>
                              <w:sz w:val="18"/>
                            </w:rPr>
                            <w:t xml:space="preserve">Subdivision</w:t>
                          </w:r>
                          <w:r>
                            <w:rPr>
                              <w:rFonts w:ascii="Calibri"/>
                              <w:b/>
                              <w:spacing w:val="-4"/>
                              <w:sz w:val="18"/>
                            </w:rPr>
                            <w:t xml:space="preserve"> </w:t>
                          </w:r>
                          <w:r>
                            <w:rPr>
                              <w:rFonts w:ascii="Calibri"/>
                              <w:b/>
                              <w:spacing w:val="-2"/>
                              <w:sz w:val="18"/>
                            </w:rPr>
                            <w:t xml:space="preserve">Development</w:t>
                          </w:r>
                        </w:p>
                        <w:p w:rsidR="00A154E5">
                          <w:pPr>
                            <w:spacing w:before="80"/>
                            <w:ind w:right="20"/>
                            <w:jc w:val="right"/>
                            <w:rPr>
                              <w:rFonts w:ascii="Calibri"/>
                              <w:b/>
                              <w:sz w:val="18"/>
                            </w:rPr>
                          </w:pPr>
                          <w:r>
                            <w:rPr>
                              <w:rFonts w:ascii="Calibri"/>
                              <w:b/>
                              <w:sz w:val="18"/>
                            </w:rPr>
                            <w:t xml:space="preserve">Superlot</w:t>
                          </w:r>
                          <w:r>
                            <w:rPr>
                              <w:rFonts w:ascii="Calibri"/>
                              <w:b/>
                              <w:spacing w:val="-1"/>
                              <w:sz w:val="18"/>
                            </w:rPr>
                            <w:t xml:space="preserve"> </w:t>
                          </w:r>
                          <w:r>
                            <w:rPr>
                              <w:rFonts w:ascii="Calibri"/>
                              <w:b/>
                              <w:sz w:val="18"/>
                            </w:rPr>
                            <w:t xml:space="preserve">ZX-001</w:t>
                          </w:r>
                          <w:r>
                            <w:rPr>
                              <w:rFonts w:ascii="Calibri"/>
                              <w:b/>
                              <w:spacing w:val="38"/>
                              <w:sz w:val="18"/>
                            </w:rPr>
                            <w:t xml:space="preserve"> </w:t>
                          </w:r>
                          <w:r>
                            <w:rPr>
                              <w:rFonts w:ascii="Calibri"/>
                              <w:b/>
                              <w:sz w:val="18"/>
                            </w:rPr>
                            <w:t xml:space="preserve">|</w:t>
                          </w:r>
                          <w:r>
                            <w:rPr>
                              <w:rFonts w:ascii="Calibri"/>
                              <w:b/>
                              <w:spacing w:val="39"/>
                              <w:sz w:val="18"/>
                            </w:rPr>
                            <w:t xml:space="preserve"> </w:t>
                          </w:r>
                          <w:r>
                            <w:rPr>
                              <w:rFonts w:ascii="Calibri"/>
                              <w:b/>
                              <w:sz w:val="18"/>
                            </w:rPr>
                            <w:t xml:space="preserve">October 2019</w:t>
                          </w:r>
                          <w:r>
                            <w:rPr>
                              <w:rFonts w:ascii="Calibri"/>
                              <w:b/>
                              <w:spacing w:val="39"/>
                              <w:sz w:val="18"/>
                            </w:rPr>
                            <w:t xml:space="preserve"> </w:t>
                          </w:r>
                          <w:r>
                            <w:rPr>
                              <w:rFonts w:ascii="Calibri"/>
                              <w:b/>
                              <w:sz w:val="18"/>
                            </w:rPr>
                            <w:t xml:space="preserve">|</w:t>
                          </w:r>
                          <w:r>
                            <w:rPr>
                              <w:rFonts w:ascii="Calibri"/>
                              <w:b/>
                              <w:spacing w:val="39"/>
                              <w:sz w:val="18"/>
                            </w:rPr>
                            <w:t xml:space="preserve"> </w:t>
                          </w:r>
                          <w:r>
                            <w:rPr>
                              <w:rFonts w:ascii="Calibri"/>
                              <w:b/>
                              <w:sz w:val="18"/>
                            </w:rPr>
                            <w:t xml:space="preserve">Version</w:t>
                          </w:r>
                          <w:r>
                            <w:rPr>
                              <w:rFonts w:ascii="Calibri"/>
                              <w:b/>
                              <w:spacing w:val="-1"/>
                              <w:sz w:val="18"/>
                            </w:rPr>
                            <w:t xml:space="preserve"> </w:t>
                          </w:r>
                          <w:r>
                            <w:rPr>
                              <w:rFonts w:ascii="Calibri"/>
                              <w:b/>
                              <w:spacing w:val="-5"/>
                              <w:sz w:val="18"/>
                            </w:rPr>
                            <w:t xml:space="preserve">1.0</w:t>
                          </w:r>
                        </w:p>
                        <w:p w:rsidR="00A154E5">
                          <w:pPr>
                            <w:spacing w:before="80"/>
                            <w:ind w:right="18"/>
                            <w:jc w:val="right"/>
                            <w:rPr>
                              <w:rFonts w:ascii="Calibri"/>
                              <w:b/>
                              <w:sz w:val="18"/>
                            </w:rPr>
                          </w:pPr>
                          <w:r>
                            <w:rPr>
                              <w:rFonts w:ascii="Calibri"/>
                              <w:b/>
                              <w:sz w:val="18"/>
                            </w:rPr>
                            <w:t xml:space="preserve">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 xml:space="preserve">11</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 xml:space="preserve">21</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5" o:spid="_x0000_s2053" type="#_x0000_t202" style="width:189.15pt;height:41pt;margin-top:783.25pt;margin-left:353.45pt;mso-position-horizontal-relative:page;mso-position-vertical-relative:page;mso-wrap-distance-bottom:0;mso-wrap-distance-left:0;mso-wrap-distance-right:0;mso-wrap-distance-top:0;mso-wrap-style:square;position:absolute;v-text-anchor:top;visibility:visible;z-index:-251649024" filled="f" stroked="f">
              <v:textbox inset="0,0,0,0">
                <w:txbxContent>
                  <w:p w:rsidR="00A154E5">
                    <w:pPr>
                      <w:spacing w:line="203" w:lineRule="exact"/>
                      <w:ind w:right="26"/>
                      <w:jc w:val="right"/>
                      <w:rPr>
                        <w:rFonts w:ascii="Calibri"/>
                        <w:b/>
                        <w:sz w:val="18"/>
                      </w:rPr>
                    </w:pPr>
                    <w:r>
                      <w:rPr>
                        <w:rFonts w:ascii="Calibri"/>
                        <w:b/>
                        <w:sz w:val="18"/>
                      </w:rPr>
                      <w:t xml:space="preserve">Geotechnical</w:t>
                    </w:r>
                    <w:r>
                      <w:rPr>
                        <w:rFonts w:ascii="Calibri"/>
                        <w:b/>
                        <w:spacing w:val="-6"/>
                        <w:sz w:val="18"/>
                      </w:rPr>
                      <w:t xml:space="preserve"> </w:t>
                    </w:r>
                    <w:r>
                      <w:rPr>
                        <w:rFonts w:ascii="Calibri"/>
                        <w:b/>
                        <w:sz w:val="18"/>
                      </w:rPr>
                      <w:t xml:space="preserve">Report</w:t>
                    </w:r>
                    <w:r>
                      <w:rPr>
                        <w:rFonts w:ascii="Calibri"/>
                        <w:b/>
                        <w:spacing w:val="-3"/>
                        <w:sz w:val="18"/>
                      </w:rPr>
                      <w:t xml:space="preserve"> </w:t>
                    </w:r>
                    <w:r>
                      <w:rPr>
                        <w:rFonts w:ascii="Calibri"/>
                        <w:b/>
                        <w:sz w:val="18"/>
                      </w:rPr>
                      <w:t xml:space="preserve">for</w:t>
                    </w:r>
                    <w:r>
                      <w:rPr>
                        <w:rFonts w:ascii="Calibri"/>
                        <w:b/>
                        <w:spacing w:val="-3"/>
                        <w:sz w:val="18"/>
                      </w:rPr>
                      <w:t xml:space="preserve"> </w:t>
                    </w:r>
                    <w:r>
                      <w:rPr>
                        <w:rFonts w:ascii="Calibri"/>
                        <w:b/>
                        <w:sz w:val="18"/>
                      </w:rPr>
                      <w:t xml:space="preserve">Subdivision</w:t>
                    </w:r>
                    <w:r>
                      <w:rPr>
                        <w:rFonts w:ascii="Calibri"/>
                        <w:b/>
                        <w:spacing w:val="-4"/>
                        <w:sz w:val="18"/>
                      </w:rPr>
                      <w:t xml:space="preserve"> </w:t>
                    </w:r>
                    <w:r>
                      <w:rPr>
                        <w:rFonts w:ascii="Calibri"/>
                        <w:b/>
                        <w:spacing w:val="-2"/>
                        <w:sz w:val="18"/>
                      </w:rPr>
                      <w:t xml:space="preserve">Development</w:t>
                    </w:r>
                  </w:p>
                  <w:p w:rsidR="00A154E5">
                    <w:pPr>
                      <w:spacing w:before="80"/>
                      <w:ind w:right="20"/>
                      <w:jc w:val="right"/>
                      <w:rPr>
                        <w:rFonts w:ascii="Calibri"/>
                        <w:b/>
                        <w:sz w:val="18"/>
                      </w:rPr>
                    </w:pPr>
                    <w:r>
                      <w:rPr>
                        <w:rFonts w:ascii="Calibri"/>
                        <w:b/>
                        <w:sz w:val="18"/>
                      </w:rPr>
                      <w:t xml:space="preserve">Superlot</w:t>
                    </w:r>
                    <w:r>
                      <w:rPr>
                        <w:rFonts w:ascii="Calibri"/>
                        <w:b/>
                        <w:spacing w:val="-1"/>
                        <w:sz w:val="18"/>
                      </w:rPr>
                      <w:t xml:space="preserve"> </w:t>
                    </w:r>
                    <w:r>
                      <w:rPr>
                        <w:rFonts w:ascii="Calibri"/>
                        <w:b/>
                        <w:sz w:val="18"/>
                      </w:rPr>
                      <w:t xml:space="preserve">ZX-001</w:t>
                    </w:r>
                    <w:r>
                      <w:rPr>
                        <w:rFonts w:ascii="Calibri"/>
                        <w:b/>
                        <w:spacing w:val="38"/>
                        <w:sz w:val="18"/>
                      </w:rPr>
                      <w:t xml:space="preserve"> </w:t>
                    </w:r>
                    <w:r>
                      <w:rPr>
                        <w:rFonts w:ascii="Calibri"/>
                        <w:b/>
                        <w:sz w:val="18"/>
                      </w:rPr>
                      <w:t xml:space="preserve">|</w:t>
                    </w:r>
                    <w:r>
                      <w:rPr>
                        <w:rFonts w:ascii="Calibri"/>
                        <w:b/>
                        <w:spacing w:val="39"/>
                        <w:sz w:val="18"/>
                      </w:rPr>
                      <w:t xml:space="preserve"> </w:t>
                    </w:r>
                    <w:r>
                      <w:rPr>
                        <w:rFonts w:ascii="Calibri"/>
                        <w:b/>
                        <w:sz w:val="18"/>
                      </w:rPr>
                      <w:t xml:space="preserve">October 2019</w:t>
                    </w:r>
                    <w:r>
                      <w:rPr>
                        <w:rFonts w:ascii="Calibri"/>
                        <w:b/>
                        <w:spacing w:val="39"/>
                        <w:sz w:val="18"/>
                      </w:rPr>
                      <w:t xml:space="preserve"> </w:t>
                    </w:r>
                    <w:r>
                      <w:rPr>
                        <w:rFonts w:ascii="Calibri"/>
                        <w:b/>
                        <w:sz w:val="18"/>
                      </w:rPr>
                      <w:t xml:space="preserve">|</w:t>
                    </w:r>
                    <w:r>
                      <w:rPr>
                        <w:rFonts w:ascii="Calibri"/>
                        <w:b/>
                        <w:spacing w:val="39"/>
                        <w:sz w:val="18"/>
                      </w:rPr>
                      <w:t xml:space="preserve"> </w:t>
                    </w:r>
                    <w:r>
                      <w:rPr>
                        <w:rFonts w:ascii="Calibri"/>
                        <w:b/>
                        <w:sz w:val="18"/>
                      </w:rPr>
                      <w:t xml:space="preserve">Version</w:t>
                    </w:r>
                    <w:r>
                      <w:rPr>
                        <w:rFonts w:ascii="Calibri"/>
                        <w:b/>
                        <w:spacing w:val="-1"/>
                        <w:sz w:val="18"/>
                      </w:rPr>
                      <w:t xml:space="preserve"> </w:t>
                    </w:r>
                    <w:r>
                      <w:rPr>
                        <w:rFonts w:ascii="Calibri"/>
                        <w:b/>
                        <w:spacing w:val="-5"/>
                        <w:sz w:val="18"/>
                      </w:rPr>
                      <w:t xml:space="preserve">1.0</w:t>
                    </w:r>
                  </w:p>
                  <w:p w:rsidR="00A154E5">
                    <w:pPr>
                      <w:spacing w:before="80"/>
                      <w:ind w:right="18"/>
                      <w:jc w:val="right"/>
                      <w:rPr>
                        <w:rFonts w:ascii="Calibri"/>
                        <w:b/>
                        <w:sz w:val="18"/>
                      </w:rPr>
                    </w:pPr>
                    <w:r>
                      <w:rPr>
                        <w:rFonts w:ascii="Calibri"/>
                        <w:b/>
                        <w:sz w:val="18"/>
                      </w:rPr>
                      <w:t xml:space="preserve">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 xml:space="preserve">11</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 xml:space="preserve">21</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154E5">
    <w:pPr>
      <w:pStyle w:val="BodyText"/>
      <w:spacing w:line="14" w:lineRule="auto"/>
      <w:rPr>
        <w:sz w:val="2"/>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nsid w:val="00000002"/>
    <w:multiLevelType w:val="multilevel"/>
    <w:tmpl w:val="00000000"/>
    <w:name w:val="Bulleted"/>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nsid w:val="00000003"/>
    <w:multiLevelType w:val="multilevel"/>
    <w:tmpl w:val="00000000"/>
    <w:name w:val="Numbered_a2c68a72-264a-49fa-9590-4b1c7d1c2a91"/>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3">
    <w:nsid w:val="00000004"/>
    <w:multiLevelType w:val="multilevel"/>
    <w:tmpl w:val="00000000"/>
    <w:name w:val="Bulleted_485fafe9-00e9-4761-aa4d-9a82bc99817a"/>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4">
    <w:nsid w:val="00000005"/>
    <w:multiLevelType w:val="multilevel"/>
    <w:tmpl w:val="00000000"/>
    <w:name w:val="Numbered_9d14bc55-12c1-462b-8ef7-87b1c46fbb37"/>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5">
    <w:nsid w:val="00000006"/>
    <w:multiLevelType w:val="multilevel"/>
    <w:tmpl w:val="00000000"/>
    <w:name w:val="Bulleted_425ce5d0-0d15-404b-855d-f25464cd1205"/>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6">
    <w:nsid w:val="00000007"/>
    <w:multiLevelType w:val="multilevel"/>
    <w:tmpl w:val="00000000"/>
    <w:name w:val="Numbered_4b972bfa-b3ac-4420-8b36-935652096c4b"/>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7">
    <w:nsid w:val="00000008"/>
    <w:multiLevelType w:val="multilevel"/>
    <w:tmpl w:val="00000000"/>
    <w:name w:val="Bulleted_5e1207ed-dadf-4187-a719-9c2165c12adf"/>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8">
    <w:nsid w:val="00000009"/>
    <w:multiLevelType w:val="multilevel"/>
    <w:tmpl w:val="00000000"/>
    <w:name w:val="Numbered_b510c322-2338-4711-9013-50b5ed177dc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9">
    <w:nsid w:val="0000000A"/>
    <w:multiLevelType w:val="multilevel"/>
    <w:tmpl w:val="00000000"/>
    <w:name w:val="Bulleted_e52bab78-f805-4527-8a77-39e81a5ae680"/>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10">
    <w:nsid w:val="0000000B"/>
    <w:multiLevelType w:val="multilevel"/>
    <w:tmpl w:val="00000000"/>
    <w:name w:val="Numbered_69b8d9ab-a72c-496b-abc3-0c0e477951d0"/>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1">
    <w:nsid w:val="0000000C"/>
    <w:multiLevelType w:val="multilevel"/>
    <w:tmpl w:val="00000000"/>
    <w:name w:val="Bulleted_fb249426-a01f-4fab-a4c8-19e0bdec5b01"/>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12">
    <w:nsid w:val="0000000D"/>
    <w:multiLevelType w:val="multilevel"/>
    <w:tmpl w:val="23469D34"/>
    <w:name w:val="Numbered_6d6f48da-5883-4826-9424-aaec288a0d32"/>
    <w:lvl w:ilvl="0">
      <w:start w:val="2"/>
      <w:numFmt w:val="decimal"/>
      <w:lvlText w:val="%1.0"/>
      <w:lvlJc w:val="left"/>
      <w:pPr>
        <w:ind w:left="1560" w:hanging="1441"/>
        <w:jc w:val="left"/>
      </w:pPr>
      <w:rPr>
        <w:rFonts w:ascii="Corbel" w:eastAsia="Corbel" w:hAnsi="Corbel" w:cs="Corbel" w:hint="default"/>
        <w:b/>
        <w:bCs/>
        <w:i w:val="0"/>
        <w:iCs w:val="0"/>
        <w:spacing w:val="0"/>
        <w:w w:val="102"/>
        <w:sz w:val="56"/>
        <w:szCs w:val="56"/>
        <w:lang w:val="en-US" w:eastAsia="en-US" w:bidi="ar-SA"/>
      </w:rPr>
    </w:lvl>
    <w:lvl w:ilvl="1">
      <w:start w:val="1"/>
      <w:numFmt w:val="decimal"/>
      <w:lvlText w:val="%1.%2"/>
      <w:lvlJc w:val="left"/>
      <w:pPr>
        <w:ind w:left="840" w:hanging="721"/>
        <w:jc w:val="left"/>
      </w:pPr>
      <w:rPr>
        <w:rFonts w:ascii="Corbel" w:eastAsia="Corbel" w:hAnsi="Corbel" w:cs="Corbel" w:hint="default"/>
        <w:b/>
        <w:bCs/>
        <w:i w:val="0"/>
        <w:iCs w:val="0"/>
        <w:color w:val="7E7E7E"/>
        <w:spacing w:val="0"/>
        <w:w w:val="100"/>
        <w:sz w:val="36"/>
        <w:szCs w:val="36"/>
        <w:lang w:val="en-US" w:eastAsia="en-US" w:bidi="ar-SA"/>
      </w:rPr>
    </w:lvl>
    <w:lvl w:ilvl="2">
      <w:start w:val="1"/>
      <w:numFmt w:val="decimal"/>
      <w:lvlText w:val="%1.%2.%3"/>
      <w:lvlJc w:val="left"/>
      <w:pPr>
        <w:ind w:left="1200" w:hanging="1081"/>
        <w:jc w:val="left"/>
      </w:pPr>
      <w:rPr>
        <w:rFonts w:ascii="Corbel" w:eastAsia="Corbel" w:hAnsi="Corbel" w:cs="Corbel" w:hint="default"/>
        <w:b/>
        <w:bCs/>
        <w:i w:val="0"/>
        <w:iCs w:val="0"/>
        <w:color w:val="4DBD34"/>
        <w:spacing w:val="0"/>
        <w:w w:val="100"/>
        <w:sz w:val="24"/>
        <w:szCs w:val="24"/>
        <w:lang w:val="en-US" w:eastAsia="en-US" w:bidi="ar-SA"/>
      </w:rPr>
    </w:lvl>
    <w:lvl w:ilvl="3">
      <w:start w:val="1"/>
      <w:numFmt w:val="decimal"/>
      <w:lvlText w:val="%1.%2.%3.%4"/>
      <w:lvlJc w:val="left"/>
      <w:pPr>
        <w:ind w:left="1198" w:hanging="1078"/>
        <w:jc w:val="left"/>
      </w:pPr>
      <w:rPr>
        <w:rFonts w:ascii="Corbel" w:eastAsia="Corbel" w:hAnsi="Corbel" w:cs="Corbel" w:hint="default"/>
        <w:b/>
        <w:bCs/>
        <w:i w:val="0"/>
        <w:iCs w:val="0"/>
        <w:spacing w:val="-2"/>
        <w:w w:val="100"/>
        <w:sz w:val="24"/>
        <w:szCs w:val="24"/>
        <w:lang w:val="en-US" w:eastAsia="en-US" w:bidi="ar-SA"/>
      </w:rPr>
    </w:lvl>
    <w:lvl w:ilvl="4">
      <w:start w:val="0"/>
      <w:numFmt w:val="bullet"/>
      <w:lvlText w:val=""/>
      <w:lvlJc w:val="left"/>
      <w:pPr>
        <w:ind w:left="480" w:hanging="361"/>
      </w:pPr>
      <w:rPr>
        <w:rFonts w:ascii="Symbol" w:eastAsia="Symbol" w:hAnsi="Symbol" w:cs="Symbol" w:hint="default"/>
        <w:b w:val="0"/>
        <w:bCs w:val="0"/>
        <w:i w:val="0"/>
        <w:iCs w:val="0"/>
        <w:color w:val="48B757"/>
        <w:spacing w:val="0"/>
        <w:w w:val="99"/>
        <w:sz w:val="20"/>
        <w:szCs w:val="20"/>
        <w:lang w:val="en-US" w:eastAsia="en-US" w:bidi="ar-SA"/>
      </w:rPr>
    </w:lvl>
    <w:lvl w:ilvl="5">
      <w:start w:val="0"/>
      <w:numFmt w:val="bullet"/>
      <w:lvlText w:val="•"/>
      <w:lvlJc w:val="left"/>
      <w:pPr>
        <w:ind w:left="2964" w:hanging="361"/>
      </w:pPr>
      <w:rPr>
        <w:rFonts w:hint="default"/>
        <w:lang w:val="en-US" w:eastAsia="en-US" w:bidi="ar-SA"/>
      </w:rPr>
    </w:lvl>
    <w:lvl w:ilvl="6">
      <w:start w:val="0"/>
      <w:numFmt w:val="bullet"/>
      <w:lvlText w:val="•"/>
      <w:lvlJc w:val="left"/>
      <w:pPr>
        <w:ind w:left="4368" w:hanging="361"/>
      </w:pPr>
      <w:rPr>
        <w:rFonts w:hint="default"/>
        <w:lang w:val="en-US" w:eastAsia="en-US" w:bidi="ar-SA"/>
      </w:rPr>
    </w:lvl>
    <w:lvl w:ilvl="7">
      <w:start w:val="0"/>
      <w:numFmt w:val="bullet"/>
      <w:lvlText w:val="•"/>
      <w:lvlJc w:val="left"/>
      <w:pPr>
        <w:ind w:left="5773" w:hanging="361"/>
      </w:pPr>
      <w:rPr>
        <w:rFonts w:hint="default"/>
        <w:lang w:val="en-US" w:eastAsia="en-US" w:bidi="ar-SA"/>
      </w:rPr>
    </w:lvl>
    <w:lvl w:ilvl="8">
      <w:start w:val="0"/>
      <w:numFmt w:val="bullet"/>
      <w:lvlText w:val="•"/>
      <w:lvlJc w:val="left"/>
      <w:pPr>
        <w:ind w:left="7177" w:hanging="361"/>
      </w:pPr>
      <w:rPr>
        <w:rFonts w:hint="default"/>
        <w:lang w:val="en-US" w:eastAsia="en-US" w:bidi="ar-SA"/>
      </w:rPr>
    </w:lvl>
  </w:abstractNum>
  <w:abstractNum w:abstractNumId="13">
    <w:nsid w:val="0000000E"/>
    <w:multiLevelType w:val="hybridMultilevel"/>
    <w:tmpl w:val="27008992"/>
    <w:name w:val="Bulleted_59e3d2b2-384c-43c0-893b-4fe77366848d"/>
    <w:lvl w:ilvl="0">
      <w:start w:val="0"/>
      <w:numFmt w:val="bullet"/>
      <w:lvlText w:val="•"/>
      <w:lvlJc w:val="left"/>
      <w:pPr>
        <w:ind w:left="126" w:hanging="101"/>
      </w:pPr>
      <w:rPr>
        <w:rFonts w:ascii="Calibri" w:eastAsia="Calibri" w:hAnsi="Calibri" w:cs="Calibri" w:hint="default"/>
        <w:b w:val="0"/>
        <w:bCs w:val="0"/>
        <w:i w:val="0"/>
        <w:iCs w:val="0"/>
        <w:spacing w:val="0"/>
        <w:w w:val="99"/>
        <w:sz w:val="14"/>
        <w:szCs w:val="14"/>
        <w:lang w:val="en-US" w:eastAsia="en-US" w:bidi="ar-SA"/>
      </w:rPr>
    </w:lvl>
    <w:lvl w:ilvl="1">
      <w:start w:val="0"/>
      <w:numFmt w:val="bullet"/>
      <w:lvlText w:val="•"/>
      <w:lvlJc w:val="left"/>
      <w:pPr>
        <w:ind w:left="1145" w:hanging="101"/>
      </w:pPr>
      <w:rPr>
        <w:rFonts w:hint="default"/>
        <w:lang w:val="en-US" w:eastAsia="en-US" w:bidi="ar-SA"/>
      </w:rPr>
    </w:lvl>
    <w:lvl w:ilvl="2">
      <w:start w:val="0"/>
      <w:numFmt w:val="bullet"/>
      <w:lvlText w:val="•"/>
      <w:lvlJc w:val="left"/>
      <w:pPr>
        <w:ind w:left="2170" w:hanging="101"/>
      </w:pPr>
      <w:rPr>
        <w:rFonts w:hint="default"/>
        <w:lang w:val="en-US" w:eastAsia="en-US" w:bidi="ar-SA"/>
      </w:rPr>
    </w:lvl>
    <w:lvl w:ilvl="3">
      <w:start w:val="0"/>
      <w:numFmt w:val="bullet"/>
      <w:lvlText w:val="•"/>
      <w:lvlJc w:val="left"/>
      <w:pPr>
        <w:ind w:left="3195" w:hanging="101"/>
      </w:pPr>
      <w:rPr>
        <w:rFonts w:hint="default"/>
        <w:lang w:val="en-US" w:eastAsia="en-US" w:bidi="ar-SA"/>
      </w:rPr>
    </w:lvl>
    <w:lvl w:ilvl="4">
      <w:start w:val="0"/>
      <w:numFmt w:val="bullet"/>
      <w:lvlText w:val="•"/>
      <w:lvlJc w:val="left"/>
      <w:pPr>
        <w:ind w:left="4220" w:hanging="101"/>
      </w:pPr>
      <w:rPr>
        <w:rFonts w:hint="default"/>
        <w:lang w:val="en-US" w:eastAsia="en-US" w:bidi="ar-SA"/>
      </w:rPr>
    </w:lvl>
    <w:lvl w:ilvl="5">
      <w:start w:val="0"/>
      <w:numFmt w:val="bullet"/>
      <w:lvlText w:val="•"/>
      <w:lvlJc w:val="left"/>
      <w:pPr>
        <w:ind w:left="5246" w:hanging="101"/>
      </w:pPr>
      <w:rPr>
        <w:rFonts w:hint="default"/>
        <w:lang w:val="en-US" w:eastAsia="en-US" w:bidi="ar-SA"/>
      </w:rPr>
    </w:lvl>
    <w:lvl w:ilvl="6">
      <w:start w:val="0"/>
      <w:numFmt w:val="bullet"/>
      <w:lvlText w:val="•"/>
      <w:lvlJc w:val="left"/>
      <w:pPr>
        <w:ind w:left="6271" w:hanging="101"/>
      </w:pPr>
      <w:rPr>
        <w:rFonts w:hint="default"/>
        <w:lang w:val="en-US" w:eastAsia="en-US" w:bidi="ar-SA"/>
      </w:rPr>
    </w:lvl>
    <w:lvl w:ilvl="7">
      <w:start w:val="0"/>
      <w:numFmt w:val="bullet"/>
      <w:lvlText w:val="•"/>
      <w:lvlJc w:val="left"/>
      <w:pPr>
        <w:ind w:left="7296" w:hanging="101"/>
      </w:pPr>
      <w:rPr>
        <w:rFonts w:hint="default"/>
        <w:lang w:val="en-US" w:eastAsia="en-US" w:bidi="ar-SA"/>
      </w:rPr>
    </w:lvl>
    <w:lvl w:ilvl="8">
      <w:start w:val="0"/>
      <w:numFmt w:val="bullet"/>
      <w:lvlText w:val="•"/>
      <w:lvlJc w:val="left"/>
      <w:pPr>
        <w:ind w:left="8321" w:hanging="101"/>
      </w:pPr>
      <w:rPr>
        <w:rFonts w:hint="default"/>
        <w:lang w:val="en-US" w:eastAsia="en-US" w:bidi="ar-SA"/>
      </w:rPr>
    </w:lvl>
  </w:abstractNum>
  <w:abstractNum w:abstractNumId="14">
    <w:nsid w:val="0000000F"/>
    <w:multiLevelType w:val="hybridMultilevel"/>
    <w:tmpl w:val="0B62F06A"/>
    <w:name w:val="Numbered_5a4dab40-5d0a-4ef7-9efb-c037302290ac"/>
    <w:lvl w:ilvl="0">
      <w:start w:val="1"/>
      <w:numFmt w:val="lowerLetter"/>
      <w:lvlText w:val="%1)"/>
      <w:lvlJc w:val="left"/>
      <w:pPr>
        <w:ind w:left="478" w:hanging="359"/>
        <w:jc w:val="left"/>
      </w:pPr>
      <w:rPr>
        <w:rFonts w:ascii="Corbel" w:eastAsia="Corbel" w:hAnsi="Corbel" w:cs="Corbel" w:hint="default"/>
        <w:b w:val="0"/>
        <w:bCs w:val="0"/>
        <w:i w:val="0"/>
        <w:iCs w:val="0"/>
        <w:spacing w:val="-1"/>
        <w:w w:val="100"/>
        <w:sz w:val="22"/>
        <w:szCs w:val="22"/>
        <w:lang w:val="en-US" w:eastAsia="en-US" w:bidi="ar-SA"/>
      </w:rPr>
    </w:lvl>
    <w:lvl w:ilvl="1">
      <w:start w:val="0"/>
      <w:numFmt w:val="bullet"/>
      <w:lvlText w:val="•"/>
      <w:lvlJc w:val="left"/>
      <w:pPr>
        <w:ind w:left="1430" w:hanging="359"/>
      </w:pPr>
      <w:rPr>
        <w:rFonts w:hint="default"/>
        <w:lang w:val="en-US" w:eastAsia="en-US" w:bidi="ar-SA"/>
      </w:rPr>
    </w:lvl>
    <w:lvl w:ilvl="2">
      <w:start w:val="0"/>
      <w:numFmt w:val="bullet"/>
      <w:lvlText w:val="•"/>
      <w:lvlJc w:val="left"/>
      <w:pPr>
        <w:ind w:left="2381" w:hanging="359"/>
      </w:pPr>
      <w:rPr>
        <w:rFonts w:hint="default"/>
        <w:lang w:val="en-US" w:eastAsia="en-US" w:bidi="ar-SA"/>
      </w:rPr>
    </w:lvl>
    <w:lvl w:ilvl="3">
      <w:start w:val="0"/>
      <w:numFmt w:val="bullet"/>
      <w:lvlText w:val="•"/>
      <w:lvlJc w:val="left"/>
      <w:pPr>
        <w:ind w:left="3331" w:hanging="359"/>
      </w:pPr>
      <w:rPr>
        <w:rFonts w:hint="default"/>
        <w:lang w:val="en-US" w:eastAsia="en-US" w:bidi="ar-SA"/>
      </w:rPr>
    </w:lvl>
    <w:lvl w:ilvl="4">
      <w:start w:val="0"/>
      <w:numFmt w:val="bullet"/>
      <w:lvlText w:val="•"/>
      <w:lvlJc w:val="left"/>
      <w:pPr>
        <w:ind w:left="4282" w:hanging="359"/>
      </w:pPr>
      <w:rPr>
        <w:rFonts w:hint="default"/>
        <w:lang w:val="en-US" w:eastAsia="en-US" w:bidi="ar-SA"/>
      </w:rPr>
    </w:lvl>
    <w:lvl w:ilvl="5">
      <w:start w:val="0"/>
      <w:numFmt w:val="bullet"/>
      <w:lvlText w:val="•"/>
      <w:lvlJc w:val="left"/>
      <w:pPr>
        <w:ind w:left="5233" w:hanging="359"/>
      </w:pPr>
      <w:rPr>
        <w:rFonts w:hint="default"/>
        <w:lang w:val="en-US" w:eastAsia="en-US" w:bidi="ar-SA"/>
      </w:rPr>
    </w:lvl>
    <w:lvl w:ilvl="6">
      <w:start w:val="0"/>
      <w:numFmt w:val="bullet"/>
      <w:lvlText w:val="•"/>
      <w:lvlJc w:val="left"/>
      <w:pPr>
        <w:ind w:left="6183" w:hanging="359"/>
      </w:pPr>
      <w:rPr>
        <w:rFonts w:hint="default"/>
        <w:lang w:val="en-US" w:eastAsia="en-US" w:bidi="ar-SA"/>
      </w:rPr>
    </w:lvl>
    <w:lvl w:ilvl="7">
      <w:start w:val="0"/>
      <w:numFmt w:val="bullet"/>
      <w:lvlText w:val="•"/>
      <w:lvlJc w:val="left"/>
      <w:pPr>
        <w:ind w:left="7134" w:hanging="359"/>
      </w:pPr>
      <w:rPr>
        <w:rFonts w:hint="default"/>
        <w:lang w:val="en-US" w:eastAsia="en-US" w:bidi="ar-SA"/>
      </w:rPr>
    </w:lvl>
    <w:lvl w:ilvl="8">
      <w:start w:val="0"/>
      <w:numFmt w:val="bullet"/>
      <w:lvlText w:val="•"/>
      <w:lvlJc w:val="left"/>
      <w:pPr>
        <w:ind w:left="8085" w:hanging="359"/>
      </w:pPr>
      <w:rPr>
        <w:rFonts w:hint="default"/>
        <w:lang w:val="en-US" w:eastAsia="en-US" w:bidi="ar-SA"/>
      </w:rPr>
    </w:lvl>
  </w:abstractNum>
  <w:abstractNum w:abstractNumId="15">
    <w:nsid w:val="00000010"/>
    <w:multiLevelType w:val="hybridMultilevel"/>
    <w:tmpl w:val="496E7C1E"/>
    <w:name w:val="Bulleted_2cec0ae8-0ed1-4d81-9225-43264e8494a1"/>
    <w:lvl w:ilvl="0">
      <w:start w:val="0"/>
      <w:numFmt w:val="bullet"/>
      <w:lvlText w:val=""/>
      <w:lvlJc w:val="left"/>
      <w:pPr>
        <w:ind w:left="425" w:hanging="361"/>
      </w:pPr>
      <w:rPr>
        <w:rFonts w:ascii="Symbol" w:eastAsia="Symbol" w:hAnsi="Symbol" w:cs="Symbol" w:hint="default"/>
        <w:b w:val="0"/>
        <w:bCs w:val="0"/>
        <w:i w:val="0"/>
        <w:iCs w:val="0"/>
        <w:color w:val="48B757"/>
        <w:spacing w:val="0"/>
        <w:w w:val="99"/>
        <w:sz w:val="20"/>
        <w:szCs w:val="20"/>
        <w:lang w:val="en-US" w:eastAsia="en-US" w:bidi="ar-SA"/>
      </w:rPr>
    </w:lvl>
    <w:lvl w:ilvl="1">
      <w:start w:val="0"/>
      <w:numFmt w:val="bullet"/>
      <w:lvlText w:val="•"/>
      <w:lvlJc w:val="left"/>
      <w:pPr>
        <w:ind w:left="1335" w:hanging="361"/>
      </w:pPr>
      <w:rPr>
        <w:rFonts w:hint="default"/>
        <w:lang w:val="en-US" w:eastAsia="en-US" w:bidi="ar-SA"/>
      </w:rPr>
    </w:lvl>
    <w:lvl w:ilvl="2">
      <w:start w:val="0"/>
      <w:numFmt w:val="bullet"/>
      <w:lvlText w:val="•"/>
      <w:lvlJc w:val="left"/>
      <w:pPr>
        <w:ind w:left="2250" w:hanging="361"/>
      </w:pPr>
      <w:rPr>
        <w:rFonts w:hint="default"/>
        <w:lang w:val="en-US" w:eastAsia="en-US" w:bidi="ar-SA"/>
      </w:rPr>
    </w:lvl>
    <w:lvl w:ilvl="3">
      <w:start w:val="0"/>
      <w:numFmt w:val="bullet"/>
      <w:lvlText w:val="•"/>
      <w:lvlJc w:val="left"/>
      <w:pPr>
        <w:ind w:left="3165" w:hanging="361"/>
      </w:pPr>
      <w:rPr>
        <w:rFonts w:hint="default"/>
        <w:lang w:val="en-US" w:eastAsia="en-US" w:bidi="ar-SA"/>
      </w:rPr>
    </w:lvl>
    <w:lvl w:ilvl="4">
      <w:start w:val="0"/>
      <w:numFmt w:val="bullet"/>
      <w:lvlText w:val="•"/>
      <w:lvlJc w:val="left"/>
      <w:pPr>
        <w:ind w:left="4080" w:hanging="361"/>
      </w:pPr>
      <w:rPr>
        <w:rFonts w:hint="default"/>
        <w:lang w:val="en-US" w:eastAsia="en-US" w:bidi="ar-SA"/>
      </w:rPr>
    </w:lvl>
    <w:lvl w:ilvl="5">
      <w:start w:val="0"/>
      <w:numFmt w:val="bullet"/>
      <w:lvlText w:val="•"/>
      <w:lvlJc w:val="left"/>
      <w:pPr>
        <w:ind w:left="4995" w:hanging="361"/>
      </w:pPr>
      <w:rPr>
        <w:rFonts w:hint="default"/>
        <w:lang w:val="en-US" w:eastAsia="en-US" w:bidi="ar-SA"/>
      </w:rPr>
    </w:lvl>
    <w:lvl w:ilvl="6">
      <w:start w:val="0"/>
      <w:numFmt w:val="bullet"/>
      <w:lvlText w:val="•"/>
      <w:lvlJc w:val="left"/>
      <w:pPr>
        <w:ind w:left="5910" w:hanging="361"/>
      </w:pPr>
      <w:rPr>
        <w:rFonts w:hint="default"/>
        <w:lang w:val="en-US" w:eastAsia="en-US" w:bidi="ar-SA"/>
      </w:rPr>
    </w:lvl>
    <w:lvl w:ilvl="7">
      <w:start w:val="0"/>
      <w:numFmt w:val="bullet"/>
      <w:lvlText w:val="•"/>
      <w:lvlJc w:val="left"/>
      <w:pPr>
        <w:ind w:left="6825" w:hanging="361"/>
      </w:pPr>
      <w:rPr>
        <w:rFonts w:hint="default"/>
        <w:lang w:val="en-US" w:eastAsia="en-US" w:bidi="ar-SA"/>
      </w:rPr>
    </w:lvl>
    <w:lvl w:ilvl="8">
      <w:start w:val="0"/>
      <w:numFmt w:val="bullet"/>
      <w:lvlText w:val="•"/>
      <w:lvlJc w:val="left"/>
      <w:pPr>
        <w:ind w:left="7740" w:hanging="361"/>
      </w:pPr>
      <w:rPr>
        <w:rFonts w:hint="default"/>
        <w:lang w:val="en-US" w:eastAsia="en-US" w:bidi="ar-SA"/>
      </w:rPr>
    </w:lvl>
  </w:abstractNum>
  <w:abstractNum w:abstractNumId="16">
    <w:nsid w:val="00000011"/>
    <w:multiLevelType w:val="hybridMultilevel"/>
    <w:tmpl w:val="6F906604"/>
    <w:name w:val="Bulleted_bdce9440-49ed-49dd-85d7-ee73c9cc99e7"/>
    <w:lvl w:ilvl="0">
      <w:start w:val="0"/>
      <w:numFmt w:val="bullet"/>
      <w:lvlText w:val=""/>
      <w:lvlJc w:val="left"/>
      <w:pPr>
        <w:ind w:left="424" w:hanging="360"/>
      </w:pPr>
      <w:rPr>
        <w:rFonts w:ascii="Symbol" w:eastAsia="Symbol" w:hAnsi="Symbol" w:cs="Symbol" w:hint="default"/>
        <w:b w:val="0"/>
        <w:bCs w:val="0"/>
        <w:i w:val="0"/>
        <w:iCs w:val="0"/>
        <w:color w:val="48B757"/>
        <w:spacing w:val="0"/>
        <w:w w:val="99"/>
        <w:sz w:val="20"/>
        <w:szCs w:val="20"/>
        <w:lang w:val="en-US" w:eastAsia="en-US" w:bidi="ar-SA"/>
      </w:rPr>
    </w:lvl>
    <w:lvl w:ilvl="1">
      <w:start w:val="0"/>
      <w:numFmt w:val="bullet"/>
      <w:lvlText w:val="•"/>
      <w:lvlJc w:val="left"/>
      <w:pPr>
        <w:ind w:left="1165" w:hanging="360"/>
      </w:pPr>
      <w:rPr>
        <w:rFonts w:hint="default"/>
        <w:lang w:val="en-US" w:eastAsia="en-US" w:bidi="ar-SA"/>
      </w:rPr>
    </w:lvl>
    <w:lvl w:ilvl="2">
      <w:start w:val="0"/>
      <w:numFmt w:val="bullet"/>
      <w:lvlText w:val="•"/>
      <w:lvlJc w:val="left"/>
      <w:pPr>
        <w:ind w:left="1910" w:hanging="360"/>
      </w:pPr>
      <w:rPr>
        <w:rFonts w:hint="default"/>
        <w:lang w:val="en-US" w:eastAsia="en-US" w:bidi="ar-SA"/>
      </w:rPr>
    </w:lvl>
    <w:lvl w:ilvl="3">
      <w:start w:val="0"/>
      <w:numFmt w:val="bullet"/>
      <w:lvlText w:val="•"/>
      <w:lvlJc w:val="left"/>
      <w:pPr>
        <w:ind w:left="2655" w:hanging="360"/>
      </w:pPr>
      <w:rPr>
        <w:rFonts w:hint="default"/>
        <w:lang w:val="en-US" w:eastAsia="en-US" w:bidi="ar-SA"/>
      </w:rPr>
    </w:lvl>
    <w:lvl w:ilvl="4">
      <w:start w:val="0"/>
      <w:numFmt w:val="bullet"/>
      <w:lvlText w:val="•"/>
      <w:lvlJc w:val="left"/>
      <w:pPr>
        <w:ind w:left="3401" w:hanging="360"/>
      </w:pPr>
      <w:rPr>
        <w:rFonts w:hint="default"/>
        <w:lang w:val="en-US" w:eastAsia="en-US" w:bidi="ar-SA"/>
      </w:rPr>
    </w:lvl>
    <w:lvl w:ilvl="5">
      <w:start w:val="0"/>
      <w:numFmt w:val="bullet"/>
      <w:lvlText w:val="•"/>
      <w:lvlJc w:val="left"/>
      <w:pPr>
        <w:ind w:left="4146" w:hanging="360"/>
      </w:pPr>
      <w:rPr>
        <w:rFonts w:hint="default"/>
        <w:lang w:val="en-US" w:eastAsia="en-US" w:bidi="ar-SA"/>
      </w:rPr>
    </w:lvl>
    <w:lvl w:ilvl="6">
      <w:start w:val="0"/>
      <w:numFmt w:val="bullet"/>
      <w:lvlText w:val="•"/>
      <w:lvlJc w:val="left"/>
      <w:pPr>
        <w:ind w:left="4891" w:hanging="360"/>
      </w:pPr>
      <w:rPr>
        <w:rFonts w:hint="default"/>
        <w:lang w:val="en-US" w:eastAsia="en-US" w:bidi="ar-SA"/>
      </w:rPr>
    </w:lvl>
    <w:lvl w:ilvl="7">
      <w:start w:val="0"/>
      <w:numFmt w:val="bullet"/>
      <w:lvlText w:val="•"/>
      <w:lvlJc w:val="left"/>
      <w:pPr>
        <w:ind w:left="5637" w:hanging="360"/>
      </w:pPr>
      <w:rPr>
        <w:rFonts w:hint="default"/>
        <w:lang w:val="en-US" w:eastAsia="en-US" w:bidi="ar-SA"/>
      </w:rPr>
    </w:lvl>
    <w:lvl w:ilvl="8">
      <w:start w:val="0"/>
      <w:numFmt w:val="bullet"/>
      <w:lvlText w:val="•"/>
      <w:lvlJc w:val="left"/>
      <w:pPr>
        <w:ind w:left="6382" w:hanging="360"/>
      </w:pPr>
      <w:rPr>
        <w:rFonts w:hint="default"/>
        <w:lang w:val="en-US" w:eastAsia="en-US" w:bidi="ar-SA"/>
      </w:rPr>
    </w:lvl>
  </w:abstractNum>
  <w:abstractNum w:abstractNumId="17">
    <w:nsid w:val="00000012"/>
    <w:multiLevelType w:val="hybridMultilevel"/>
    <w:tmpl w:val="1082B51C"/>
    <w:name w:val="Numbered_19ffca37-373a-4d03-949c-bf8ad488fb94"/>
    <w:lvl w:ilvl="0">
      <w:start w:val="1"/>
      <w:numFmt w:val="decimal"/>
      <w:lvlText w:val="%1."/>
      <w:lvlJc w:val="left"/>
      <w:pPr>
        <w:ind w:left="840" w:hanging="360"/>
        <w:jc w:val="left"/>
      </w:pPr>
      <w:rPr>
        <w:rFonts w:ascii="Calibri" w:eastAsia="Calibri" w:hAnsi="Calibri" w:cs="Calibri" w:hint="default"/>
        <w:b w:val="0"/>
        <w:bCs w:val="0"/>
        <w:i w:val="0"/>
        <w:iCs w:val="0"/>
        <w:spacing w:val="-1"/>
        <w:w w:val="100"/>
        <w:sz w:val="18"/>
        <w:szCs w:val="18"/>
        <w:lang w:val="en-US" w:eastAsia="en-US" w:bidi="ar-SA"/>
      </w:rPr>
    </w:lvl>
    <w:lvl w:ilvl="1">
      <w:start w:val="0"/>
      <w:numFmt w:val="bullet"/>
      <w:lvlText w:val="•"/>
      <w:lvlJc w:val="left"/>
      <w:pPr>
        <w:ind w:left="1754" w:hanging="360"/>
      </w:pPr>
      <w:rPr>
        <w:rFonts w:hint="default"/>
        <w:lang w:val="en-US" w:eastAsia="en-US" w:bidi="ar-SA"/>
      </w:rPr>
    </w:lvl>
    <w:lvl w:ilvl="2">
      <w:start w:val="0"/>
      <w:numFmt w:val="bullet"/>
      <w:lvlText w:val="•"/>
      <w:lvlJc w:val="left"/>
      <w:pPr>
        <w:ind w:left="2669" w:hanging="360"/>
      </w:pPr>
      <w:rPr>
        <w:rFonts w:hint="default"/>
        <w:lang w:val="en-US" w:eastAsia="en-US" w:bidi="ar-SA"/>
      </w:rPr>
    </w:lvl>
    <w:lvl w:ilvl="3">
      <w:start w:val="0"/>
      <w:numFmt w:val="bullet"/>
      <w:lvlText w:val="•"/>
      <w:lvlJc w:val="left"/>
      <w:pPr>
        <w:ind w:left="358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13" w:hanging="360"/>
      </w:pPr>
      <w:rPr>
        <w:rFonts w:hint="default"/>
        <w:lang w:val="en-US" w:eastAsia="en-US" w:bidi="ar-SA"/>
      </w:rPr>
    </w:lvl>
    <w:lvl w:ilvl="6">
      <w:start w:val="0"/>
      <w:numFmt w:val="bullet"/>
      <w:lvlText w:val="•"/>
      <w:lvlJc w:val="left"/>
      <w:pPr>
        <w:ind w:left="6327" w:hanging="360"/>
      </w:pPr>
      <w:rPr>
        <w:rFonts w:hint="default"/>
        <w:lang w:val="en-US" w:eastAsia="en-US" w:bidi="ar-SA"/>
      </w:rPr>
    </w:lvl>
    <w:lvl w:ilvl="7">
      <w:start w:val="0"/>
      <w:numFmt w:val="bullet"/>
      <w:lvlText w:val="•"/>
      <w:lvlJc w:val="left"/>
      <w:pPr>
        <w:ind w:left="7242" w:hanging="360"/>
      </w:pPr>
      <w:rPr>
        <w:rFonts w:hint="default"/>
        <w:lang w:val="en-US" w:eastAsia="en-US" w:bidi="ar-SA"/>
      </w:rPr>
    </w:lvl>
    <w:lvl w:ilvl="8">
      <w:start w:val="0"/>
      <w:numFmt w:val="bullet"/>
      <w:lvlText w:val="•"/>
      <w:lvlJc w:val="left"/>
      <w:pPr>
        <w:ind w:left="8157" w:hanging="360"/>
      </w:pPr>
      <w:rPr>
        <w:rFonts w:hint="default"/>
        <w:lang w:val="en-US" w:eastAsia="en-US" w:bidi="ar-SA"/>
      </w:rPr>
    </w:lvl>
  </w:abstractNum>
  <w:abstractNum w:abstractNumId="18">
    <w:nsid w:val="00000013"/>
    <w:multiLevelType w:val="multilevel"/>
    <w:tmpl w:val="D714C610"/>
    <w:name w:val="Numbered_bee4180a-8059-4d8e-8e86-9ca170af2c61"/>
    <w:lvl w:ilvl="0">
      <w:start w:val="1"/>
      <w:numFmt w:val="decimal"/>
      <w:lvlText w:val="%1.0"/>
      <w:lvlJc w:val="left"/>
      <w:pPr>
        <w:ind w:left="780" w:hanging="661"/>
        <w:jc w:val="left"/>
      </w:pPr>
      <w:rPr>
        <w:rFonts w:ascii="Corbel" w:eastAsia="Corbel" w:hAnsi="Corbel" w:cs="Corbel" w:hint="default"/>
        <w:b w:val="0"/>
        <w:bCs w:val="0"/>
        <w:i w:val="0"/>
        <w:iCs w:val="0"/>
        <w:spacing w:val="0"/>
        <w:w w:val="103"/>
        <w:sz w:val="28"/>
        <w:szCs w:val="28"/>
        <w:lang w:val="en-US" w:eastAsia="en-US" w:bidi="ar-SA"/>
      </w:rPr>
    </w:lvl>
    <w:lvl w:ilvl="1">
      <w:start w:val="1"/>
      <w:numFmt w:val="decimal"/>
      <w:lvlText w:val="%1.%2"/>
      <w:lvlJc w:val="left"/>
      <w:pPr>
        <w:ind w:left="1219" w:hanging="1100"/>
        <w:jc w:val="left"/>
      </w:pPr>
      <w:rPr>
        <w:rFonts w:ascii="Corbel" w:eastAsia="Corbel" w:hAnsi="Corbel" w:cs="Corbel" w:hint="default"/>
        <w:b w:val="0"/>
        <w:bCs w:val="0"/>
        <w:i w:val="0"/>
        <w:iCs w:val="0"/>
        <w:spacing w:val="-1"/>
        <w:w w:val="100"/>
        <w:sz w:val="22"/>
        <w:szCs w:val="22"/>
        <w:lang w:val="en-US" w:eastAsia="en-US" w:bidi="ar-SA"/>
      </w:rPr>
    </w:lvl>
    <w:lvl w:ilvl="2">
      <w:start w:val="1"/>
      <w:numFmt w:val="decimal"/>
      <w:lvlText w:val="%1.%2.%3"/>
      <w:lvlJc w:val="left"/>
      <w:pPr>
        <w:ind w:left="1219" w:hanging="1100"/>
        <w:jc w:val="left"/>
      </w:pPr>
      <w:rPr>
        <w:rFonts w:ascii="Corbel" w:eastAsia="Corbel" w:hAnsi="Corbel" w:cs="Corbel" w:hint="default"/>
        <w:b w:val="0"/>
        <w:bCs w:val="0"/>
        <w:i w:val="0"/>
        <w:iCs w:val="0"/>
        <w:spacing w:val="-2"/>
        <w:w w:val="98"/>
        <w:sz w:val="22"/>
        <w:szCs w:val="22"/>
        <w:lang w:val="en-US" w:eastAsia="en-US" w:bidi="ar-SA"/>
      </w:rPr>
    </w:lvl>
    <w:lvl w:ilvl="3">
      <w:start w:val="0"/>
      <w:numFmt w:val="bullet"/>
      <w:lvlText w:val="•"/>
      <w:lvlJc w:val="left"/>
      <w:pPr>
        <w:ind w:left="3168" w:hanging="1100"/>
      </w:pPr>
      <w:rPr>
        <w:rFonts w:hint="default"/>
        <w:lang w:val="en-US" w:eastAsia="en-US" w:bidi="ar-SA"/>
      </w:rPr>
    </w:lvl>
    <w:lvl w:ilvl="4">
      <w:start w:val="0"/>
      <w:numFmt w:val="bullet"/>
      <w:lvlText w:val="•"/>
      <w:lvlJc w:val="left"/>
      <w:pPr>
        <w:ind w:left="4142" w:hanging="1100"/>
      </w:pPr>
      <w:rPr>
        <w:rFonts w:hint="default"/>
        <w:lang w:val="en-US" w:eastAsia="en-US" w:bidi="ar-SA"/>
      </w:rPr>
    </w:lvl>
    <w:lvl w:ilvl="5">
      <w:start w:val="0"/>
      <w:numFmt w:val="bullet"/>
      <w:lvlText w:val="•"/>
      <w:lvlJc w:val="left"/>
      <w:pPr>
        <w:ind w:left="5116" w:hanging="1100"/>
      </w:pPr>
      <w:rPr>
        <w:rFonts w:hint="default"/>
        <w:lang w:val="en-US" w:eastAsia="en-US" w:bidi="ar-SA"/>
      </w:rPr>
    </w:lvl>
    <w:lvl w:ilvl="6">
      <w:start w:val="0"/>
      <w:numFmt w:val="bullet"/>
      <w:lvlText w:val="•"/>
      <w:lvlJc w:val="left"/>
      <w:pPr>
        <w:ind w:left="6090" w:hanging="1100"/>
      </w:pPr>
      <w:rPr>
        <w:rFonts w:hint="default"/>
        <w:lang w:val="en-US" w:eastAsia="en-US" w:bidi="ar-SA"/>
      </w:rPr>
    </w:lvl>
    <w:lvl w:ilvl="7">
      <w:start w:val="0"/>
      <w:numFmt w:val="bullet"/>
      <w:lvlText w:val="•"/>
      <w:lvlJc w:val="left"/>
      <w:pPr>
        <w:ind w:left="7064" w:hanging="1100"/>
      </w:pPr>
      <w:rPr>
        <w:rFonts w:hint="default"/>
        <w:lang w:val="en-US" w:eastAsia="en-US" w:bidi="ar-SA"/>
      </w:rPr>
    </w:lvl>
    <w:lvl w:ilvl="8">
      <w:start w:val="0"/>
      <w:numFmt w:val="bullet"/>
      <w:lvlText w:val="•"/>
      <w:lvlJc w:val="left"/>
      <w:pPr>
        <w:ind w:left="8038" w:hanging="1100"/>
      </w:pPr>
      <w:rPr>
        <w:rFonts w:hint="default"/>
        <w:lang w:val="en-US" w:eastAsia="en-US" w:bidi="ar-SA"/>
      </w:rPr>
    </w:lvl>
  </w:abstractNum>
  <w:abstractNum w:abstractNumId="19">
    <w:nsid w:val="00000014"/>
    <w:multiLevelType w:val="hybridMultilevel"/>
    <w:tmpl w:val="2B9EBE96"/>
    <w:name w:val="Numbered_21d19aaa-8582-4d8f-87ff-9d2ddb2a4d92"/>
    <w:lvl w:ilvl="0">
      <w:start w:val="1"/>
      <w:numFmt w:val="decimal"/>
      <w:lvlText w:val="%1"/>
      <w:lvlJc w:val="left"/>
      <w:pPr>
        <w:ind w:left="519" w:hanging="287"/>
        <w:jc w:val="right"/>
      </w:pPr>
      <w:rPr>
        <w:rFonts w:hint="default"/>
        <w:spacing w:val="0"/>
        <w:w w:val="101"/>
        <w:lang w:val="en-US" w:eastAsia="en-US" w:bidi="ar-SA"/>
      </w:rPr>
    </w:lvl>
    <w:lvl w:ilvl="1">
      <w:start w:val="0"/>
      <w:numFmt w:val="bullet"/>
      <w:lvlText w:val="•"/>
      <w:lvlJc w:val="left"/>
      <w:pPr>
        <w:ind w:left="729" w:hanging="287"/>
      </w:pPr>
      <w:rPr>
        <w:rFonts w:hint="default"/>
        <w:lang w:val="en-US" w:eastAsia="en-US" w:bidi="ar-SA"/>
      </w:rPr>
    </w:lvl>
    <w:lvl w:ilvl="2">
      <w:start w:val="0"/>
      <w:numFmt w:val="bullet"/>
      <w:lvlText w:val="•"/>
      <w:lvlJc w:val="left"/>
      <w:pPr>
        <w:ind w:left="938" w:hanging="287"/>
      </w:pPr>
      <w:rPr>
        <w:rFonts w:hint="default"/>
        <w:lang w:val="en-US" w:eastAsia="en-US" w:bidi="ar-SA"/>
      </w:rPr>
    </w:lvl>
    <w:lvl w:ilvl="3">
      <w:start w:val="0"/>
      <w:numFmt w:val="bullet"/>
      <w:lvlText w:val="•"/>
      <w:lvlJc w:val="left"/>
      <w:pPr>
        <w:ind w:left="1147" w:hanging="287"/>
      </w:pPr>
      <w:rPr>
        <w:rFonts w:hint="default"/>
        <w:lang w:val="en-US" w:eastAsia="en-US" w:bidi="ar-SA"/>
      </w:rPr>
    </w:lvl>
    <w:lvl w:ilvl="4">
      <w:start w:val="0"/>
      <w:numFmt w:val="bullet"/>
      <w:lvlText w:val="•"/>
      <w:lvlJc w:val="left"/>
      <w:pPr>
        <w:ind w:left="1356" w:hanging="287"/>
      </w:pPr>
      <w:rPr>
        <w:rFonts w:hint="default"/>
        <w:lang w:val="en-US" w:eastAsia="en-US" w:bidi="ar-SA"/>
      </w:rPr>
    </w:lvl>
    <w:lvl w:ilvl="5">
      <w:start w:val="0"/>
      <w:numFmt w:val="bullet"/>
      <w:lvlText w:val="•"/>
      <w:lvlJc w:val="left"/>
      <w:pPr>
        <w:ind w:left="1565" w:hanging="287"/>
      </w:pPr>
      <w:rPr>
        <w:rFonts w:hint="default"/>
        <w:lang w:val="en-US" w:eastAsia="en-US" w:bidi="ar-SA"/>
      </w:rPr>
    </w:lvl>
    <w:lvl w:ilvl="6">
      <w:start w:val="0"/>
      <w:numFmt w:val="bullet"/>
      <w:lvlText w:val="•"/>
      <w:lvlJc w:val="left"/>
      <w:pPr>
        <w:ind w:left="1774" w:hanging="287"/>
      </w:pPr>
      <w:rPr>
        <w:rFonts w:hint="default"/>
        <w:lang w:val="en-US" w:eastAsia="en-US" w:bidi="ar-SA"/>
      </w:rPr>
    </w:lvl>
    <w:lvl w:ilvl="7">
      <w:start w:val="0"/>
      <w:numFmt w:val="bullet"/>
      <w:lvlText w:val="•"/>
      <w:lvlJc w:val="left"/>
      <w:pPr>
        <w:ind w:left="1983" w:hanging="287"/>
      </w:pPr>
      <w:rPr>
        <w:rFonts w:hint="default"/>
        <w:lang w:val="en-US" w:eastAsia="en-US" w:bidi="ar-SA"/>
      </w:rPr>
    </w:lvl>
    <w:lvl w:ilvl="8">
      <w:start w:val="0"/>
      <w:numFmt w:val="bullet"/>
      <w:lvlText w:val="•"/>
      <w:lvlJc w:val="left"/>
      <w:pPr>
        <w:ind w:left="2192" w:hanging="287"/>
      </w:pPr>
      <w:rPr>
        <w:rFonts w:hint="default"/>
        <w:lang w:val="en-US" w:eastAsia="en-US" w:bidi="ar-SA"/>
      </w:rPr>
    </w:lvl>
  </w:abstractNum>
  <w:abstractNum w:abstractNumId="20">
    <w:nsid w:val="00000015"/>
    <w:multiLevelType w:val="hybridMultilevel"/>
    <w:tmpl w:val="1E308D1C"/>
    <w:name w:val="Numbered_2f2ec821-8046-4714-a057-f6ac1b512ce2"/>
    <w:lvl w:ilvl="0">
      <w:start w:val="1"/>
      <w:numFmt w:val="decimal"/>
      <w:lvlText w:val="%1"/>
      <w:lvlJc w:val="left"/>
      <w:pPr>
        <w:ind w:left="519" w:hanging="287"/>
        <w:jc w:val="right"/>
      </w:pPr>
      <w:rPr>
        <w:rFonts w:hint="default"/>
        <w:spacing w:val="0"/>
        <w:w w:val="101"/>
        <w:lang w:val="en-US" w:eastAsia="en-US" w:bidi="ar-SA"/>
      </w:rPr>
    </w:lvl>
    <w:lvl w:ilvl="1">
      <w:start w:val="0"/>
      <w:numFmt w:val="bullet"/>
      <w:lvlText w:val="•"/>
      <w:lvlJc w:val="left"/>
      <w:pPr>
        <w:ind w:left="729" w:hanging="287"/>
      </w:pPr>
      <w:rPr>
        <w:rFonts w:hint="default"/>
        <w:lang w:val="en-US" w:eastAsia="en-US" w:bidi="ar-SA"/>
      </w:rPr>
    </w:lvl>
    <w:lvl w:ilvl="2">
      <w:start w:val="0"/>
      <w:numFmt w:val="bullet"/>
      <w:lvlText w:val="•"/>
      <w:lvlJc w:val="left"/>
      <w:pPr>
        <w:ind w:left="938" w:hanging="287"/>
      </w:pPr>
      <w:rPr>
        <w:rFonts w:hint="default"/>
        <w:lang w:val="en-US" w:eastAsia="en-US" w:bidi="ar-SA"/>
      </w:rPr>
    </w:lvl>
    <w:lvl w:ilvl="3">
      <w:start w:val="0"/>
      <w:numFmt w:val="bullet"/>
      <w:lvlText w:val="•"/>
      <w:lvlJc w:val="left"/>
      <w:pPr>
        <w:ind w:left="1147" w:hanging="287"/>
      </w:pPr>
      <w:rPr>
        <w:rFonts w:hint="default"/>
        <w:lang w:val="en-US" w:eastAsia="en-US" w:bidi="ar-SA"/>
      </w:rPr>
    </w:lvl>
    <w:lvl w:ilvl="4">
      <w:start w:val="0"/>
      <w:numFmt w:val="bullet"/>
      <w:lvlText w:val="•"/>
      <w:lvlJc w:val="left"/>
      <w:pPr>
        <w:ind w:left="1356" w:hanging="287"/>
      </w:pPr>
      <w:rPr>
        <w:rFonts w:hint="default"/>
        <w:lang w:val="en-US" w:eastAsia="en-US" w:bidi="ar-SA"/>
      </w:rPr>
    </w:lvl>
    <w:lvl w:ilvl="5">
      <w:start w:val="0"/>
      <w:numFmt w:val="bullet"/>
      <w:lvlText w:val="•"/>
      <w:lvlJc w:val="left"/>
      <w:pPr>
        <w:ind w:left="1565" w:hanging="287"/>
      </w:pPr>
      <w:rPr>
        <w:rFonts w:hint="default"/>
        <w:lang w:val="en-US" w:eastAsia="en-US" w:bidi="ar-SA"/>
      </w:rPr>
    </w:lvl>
    <w:lvl w:ilvl="6">
      <w:start w:val="0"/>
      <w:numFmt w:val="bullet"/>
      <w:lvlText w:val="•"/>
      <w:lvlJc w:val="left"/>
      <w:pPr>
        <w:ind w:left="1774" w:hanging="287"/>
      </w:pPr>
      <w:rPr>
        <w:rFonts w:hint="default"/>
        <w:lang w:val="en-US" w:eastAsia="en-US" w:bidi="ar-SA"/>
      </w:rPr>
    </w:lvl>
    <w:lvl w:ilvl="7">
      <w:start w:val="0"/>
      <w:numFmt w:val="bullet"/>
      <w:lvlText w:val="•"/>
      <w:lvlJc w:val="left"/>
      <w:pPr>
        <w:ind w:left="1983" w:hanging="287"/>
      </w:pPr>
      <w:rPr>
        <w:rFonts w:hint="default"/>
        <w:lang w:val="en-US" w:eastAsia="en-US" w:bidi="ar-SA"/>
      </w:rPr>
    </w:lvl>
    <w:lvl w:ilvl="8">
      <w:start w:val="0"/>
      <w:numFmt w:val="bullet"/>
      <w:lvlText w:val="•"/>
      <w:lvlJc w:val="left"/>
      <w:pPr>
        <w:ind w:left="2192" w:hanging="287"/>
      </w:pPr>
      <w:rPr>
        <w:rFonts w:hint="default"/>
        <w:lang w:val="en-US" w:eastAsia="en-US" w:bidi="ar-SA"/>
      </w:rPr>
    </w:lvl>
  </w:abstractNum>
  <w:abstractNum w:abstractNumId="21">
    <w:nsid w:val="00000016"/>
    <w:multiLevelType w:val="multilevel"/>
    <w:tmpl w:val="6FD6E8B0"/>
    <w:name w:val="Numbered_295ff38a-c41e-4089-944e-4f14b6913dc3"/>
    <w:lvl w:ilvl="0">
      <w:start w:val="1"/>
      <w:numFmt w:val="decimal"/>
      <w:lvlText w:val="%1"/>
      <w:lvlJc w:val="left"/>
      <w:pPr>
        <w:ind w:left="1560" w:hanging="1441"/>
        <w:jc w:val="left"/>
      </w:pPr>
      <w:rPr>
        <w:rFonts w:hint="default"/>
        <w:lang w:val="en-US" w:eastAsia="en-US" w:bidi="ar-SA"/>
      </w:rPr>
    </w:lvl>
    <w:lvl w:ilvl="1">
      <w:start w:val="0"/>
      <w:numFmt w:val="decimal"/>
      <w:lvlText w:val="%1.%2"/>
      <w:lvlJc w:val="left"/>
      <w:pPr>
        <w:ind w:left="1560" w:hanging="1441"/>
        <w:jc w:val="left"/>
      </w:pPr>
      <w:rPr>
        <w:rFonts w:ascii="Corbel" w:eastAsia="Corbel" w:hAnsi="Corbel" w:cs="Corbel" w:hint="default"/>
        <w:b/>
        <w:bCs/>
        <w:i w:val="0"/>
        <w:iCs w:val="0"/>
        <w:spacing w:val="0"/>
        <w:w w:val="100"/>
        <w:sz w:val="56"/>
        <w:szCs w:val="56"/>
        <w:lang w:val="en-US" w:eastAsia="en-US" w:bidi="ar-SA"/>
      </w:rPr>
    </w:lvl>
    <w:lvl w:ilvl="2">
      <w:start w:val="0"/>
      <w:numFmt w:val="bullet"/>
      <w:lvlText w:val=""/>
      <w:lvlJc w:val="left"/>
      <w:pPr>
        <w:ind w:left="480" w:hanging="361"/>
      </w:pPr>
      <w:rPr>
        <w:rFonts w:ascii="Symbol" w:eastAsia="Symbol" w:hAnsi="Symbol" w:cs="Symbol" w:hint="default"/>
        <w:b w:val="0"/>
        <w:bCs w:val="0"/>
        <w:i w:val="0"/>
        <w:iCs w:val="0"/>
        <w:color w:val="48B757"/>
        <w:spacing w:val="0"/>
        <w:w w:val="99"/>
        <w:sz w:val="20"/>
        <w:szCs w:val="20"/>
        <w:lang w:val="en-US" w:eastAsia="en-US" w:bidi="ar-SA"/>
      </w:rPr>
    </w:lvl>
    <w:lvl w:ilvl="3">
      <w:start w:val="0"/>
      <w:numFmt w:val="bullet"/>
      <w:lvlText w:val="•"/>
      <w:lvlJc w:val="left"/>
      <w:pPr>
        <w:ind w:left="3432" w:hanging="361"/>
      </w:pPr>
      <w:rPr>
        <w:rFonts w:hint="default"/>
        <w:lang w:val="en-US" w:eastAsia="en-US" w:bidi="ar-SA"/>
      </w:rPr>
    </w:lvl>
    <w:lvl w:ilvl="4">
      <w:start w:val="0"/>
      <w:numFmt w:val="bullet"/>
      <w:lvlText w:val="•"/>
      <w:lvlJc w:val="left"/>
      <w:pPr>
        <w:ind w:left="4368" w:hanging="361"/>
      </w:pPr>
      <w:rPr>
        <w:rFonts w:hint="default"/>
        <w:lang w:val="en-US" w:eastAsia="en-US" w:bidi="ar-SA"/>
      </w:rPr>
    </w:lvl>
    <w:lvl w:ilvl="5">
      <w:start w:val="0"/>
      <w:numFmt w:val="bullet"/>
      <w:lvlText w:val="•"/>
      <w:lvlJc w:val="left"/>
      <w:pPr>
        <w:ind w:left="5305" w:hanging="361"/>
      </w:pPr>
      <w:rPr>
        <w:rFonts w:hint="default"/>
        <w:lang w:val="en-US" w:eastAsia="en-US" w:bidi="ar-SA"/>
      </w:rPr>
    </w:lvl>
    <w:lvl w:ilvl="6">
      <w:start w:val="0"/>
      <w:numFmt w:val="bullet"/>
      <w:lvlText w:val="•"/>
      <w:lvlJc w:val="left"/>
      <w:pPr>
        <w:ind w:left="6241" w:hanging="361"/>
      </w:pPr>
      <w:rPr>
        <w:rFonts w:hint="default"/>
        <w:lang w:val="en-US" w:eastAsia="en-US" w:bidi="ar-SA"/>
      </w:rPr>
    </w:lvl>
    <w:lvl w:ilvl="7">
      <w:start w:val="0"/>
      <w:numFmt w:val="bullet"/>
      <w:lvlText w:val="•"/>
      <w:lvlJc w:val="left"/>
      <w:pPr>
        <w:ind w:left="7177" w:hanging="361"/>
      </w:pPr>
      <w:rPr>
        <w:rFonts w:hint="default"/>
        <w:lang w:val="en-US" w:eastAsia="en-US" w:bidi="ar-SA"/>
      </w:rPr>
    </w:lvl>
    <w:lvl w:ilvl="8">
      <w:start w:val="0"/>
      <w:numFmt w:val="bullet"/>
      <w:lvlText w:val="•"/>
      <w:lvlJc w:val="left"/>
      <w:pPr>
        <w:ind w:left="8113" w:hanging="361"/>
      </w:pPr>
      <w:rPr>
        <w:rFonts w:hint="default"/>
        <w:lang w:val="en-US" w:eastAsia="en-US" w:bidi="ar-SA"/>
      </w:rPr>
    </w:lvl>
  </w:abstractNum>
  <w:abstractNum w:abstractNumId="22">
    <w:nsid w:val="00000017"/>
    <w:multiLevelType w:val="hybridMultilevel"/>
    <w:tmpl w:val="1D522390"/>
    <w:name w:val="Numbered_ec4e59d5-0ecf-442c-9275-34bde26b3524"/>
    <w:lvl w:ilvl="0">
      <w:start w:val="1"/>
      <w:numFmt w:val="decimal"/>
      <w:lvlText w:val="%1"/>
      <w:lvlJc w:val="left"/>
      <w:pPr>
        <w:ind w:left="519" w:hanging="287"/>
        <w:jc w:val="right"/>
      </w:pPr>
      <w:rPr>
        <w:rFonts w:hint="default"/>
        <w:spacing w:val="0"/>
        <w:w w:val="101"/>
        <w:lang w:val="en-US" w:eastAsia="en-US" w:bidi="ar-SA"/>
      </w:rPr>
    </w:lvl>
    <w:lvl w:ilvl="1">
      <w:start w:val="0"/>
      <w:numFmt w:val="bullet"/>
      <w:lvlText w:val="•"/>
      <w:lvlJc w:val="left"/>
      <w:pPr>
        <w:ind w:left="729" w:hanging="287"/>
      </w:pPr>
      <w:rPr>
        <w:rFonts w:hint="default"/>
        <w:lang w:val="en-US" w:eastAsia="en-US" w:bidi="ar-SA"/>
      </w:rPr>
    </w:lvl>
    <w:lvl w:ilvl="2">
      <w:start w:val="0"/>
      <w:numFmt w:val="bullet"/>
      <w:lvlText w:val="•"/>
      <w:lvlJc w:val="left"/>
      <w:pPr>
        <w:ind w:left="938" w:hanging="287"/>
      </w:pPr>
      <w:rPr>
        <w:rFonts w:hint="default"/>
        <w:lang w:val="en-US" w:eastAsia="en-US" w:bidi="ar-SA"/>
      </w:rPr>
    </w:lvl>
    <w:lvl w:ilvl="3">
      <w:start w:val="0"/>
      <w:numFmt w:val="bullet"/>
      <w:lvlText w:val="•"/>
      <w:lvlJc w:val="left"/>
      <w:pPr>
        <w:ind w:left="1147" w:hanging="287"/>
      </w:pPr>
      <w:rPr>
        <w:rFonts w:hint="default"/>
        <w:lang w:val="en-US" w:eastAsia="en-US" w:bidi="ar-SA"/>
      </w:rPr>
    </w:lvl>
    <w:lvl w:ilvl="4">
      <w:start w:val="0"/>
      <w:numFmt w:val="bullet"/>
      <w:lvlText w:val="•"/>
      <w:lvlJc w:val="left"/>
      <w:pPr>
        <w:ind w:left="1356" w:hanging="287"/>
      </w:pPr>
      <w:rPr>
        <w:rFonts w:hint="default"/>
        <w:lang w:val="en-US" w:eastAsia="en-US" w:bidi="ar-SA"/>
      </w:rPr>
    </w:lvl>
    <w:lvl w:ilvl="5">
      <w:start w:val="0"/>
      <w:numFmt w:val="bullet"/>
      <w:lvlText w:val="•"/>
      <w:lvlJc w:val="left"/>
      <w:pPr>
        <w:ind w:left="1565" w:hanging="287"/>
      </w:pPr>
      <w:rPr>
        <w:rFonts w:hint="default"/>
        <w:lang w:val="en-US" w:eastAsia="en-US" w:bidi="ar-SA"/>
      </w:rPr>
    </w:lvl>
    <w:lvl w:ilvl="6">
      <w:start w:val="0"/>
      <w:numFmt w:val="bullet"/>
      <w:lvlText w:val="•"/>
      <w:lvlJc w:val="left"/>
      <w:pPr>
        <w:ind w:left="1774" w:hanging="287"/>
      </w:pPr>
      <w:rPr>
        <w:rFonts w:hint="default"/>
        <w:lang w:val="en-US" w:eastAsia="en-US" w:bidi="ar-SA"/>
      </w:rPr>
    </w:lvl>
    <w:lvl w:ilvl="7">
      <w:start w:val="0"/>
      <w:numFmt w:val="bullet"/>
      <w:lvlText w:val="•"/>
      <w:lvlJc w:val="left"/>
      <w:pPr>
        <w:ind w:left="1983" w:hanging="287"/>
      </w:pPr>
      <w:rPr>
        <w:rFonts w:hint="default"/>
        <w:lang w:val="en-US" w:eastAsia="en-US" w:bidi="ar-SA"/>
      </w:rPr>
    </w:lvl>
    <w:lvl w:ilvl="8">
      <w:start w:val="0"/>
      <w:numFmt w:val="bullet"/>
      <w:lvlText w:val="•"/>
      <w:lvlJc w:val="left"/>
      <w:pPr>
        <w:ind w:left="2192" w:hanging="287"/>
      </w:pPr>
      <w:rPr>
        <w:rFonts w:hint="default"/>
        <w:lang w:val="en-US" w:eastAsia="en-US" w:bidi="ar-SA"/>
      </w:rPr>
    </w:lvl>
  </w:abstractNum>
  <w:abstractNum w:abstractNumId="23">
    <w:nsid w:val="00000018"/>
    <w:multiLevelType w:val="hybridMultilevel"/>
    <w:tmpl w:val="29E21FEC"/>
    <w:name w:val="Bulleted_ece6278b-88ce-4a5a-aa5f-9f5677f20140"/>
    <w:lvl w:ilvl="0">
      <w:start w:val="0"/>
      <w:numFmt w:val="bullet"/>
      <w:lvlText w:val=""/>
      <w:lvlJc w:val="left"/>
      <w:pPr>
        <w:ind w:left="480" w:hanging="361"/>
      </w:pPr>
      <w:rPr>
        <w:rFonts w:ascii="Symbol" w:eastAsia="Symbol" w:hAnsi="Symbol" w:cs="Symbol" w:hint="default"/>
        <w:b w:val="0"/>
        <w:bCs w:val="0"/>
        <w:i w:val="0"/>
        <w:iCs w:val="0"/>
        <w:color w:val="48B757"/>
        <w:spacing w:val="0"/>
        <w:w w:val="99"/>
        <w:sz w:val="20"/>
        <w:szCs w:val="20"/>
        <w:lang w:val="en-US" w:eastAsia="en-US" w:bidi="ar-SA"/>
      </w:rPr>
    </w:lvl>
    <w:lvl w:ilvl="1">
      <w:start w:val="0"/>
      <w:numFmt w:val="bullet"/>
      <w:lvlText w:val="•"/>
      <w:lvlJc w:val="left"/>
      <w:pPr>
        <w:ind w:left="1430" w:hanging="361"/>
      </w:pPr>
      <w:rPr>
        <w:rFonts w:hint="default"/>
        <w:lang w:val="en-US" w:eastAsia="en-US" w:bidi="ar-SA"/>
      </w:rPr>
    </w:lvl>
    <w:lvl w:ilvl="2">
      <w:start w:val="0"/>
      <w:numFmt w:val="bullet"/>
      <w:lvlText w:val="•"/>
      <w:lvlJc w:val="left"/>
      <w:pPr>
        <w:ind w:left="2381" w:hanging="361"/>
      </w:pPr>
      <w:rPr>
        <w:rFonts w:hint="default"/>
        <w:lang w:val="en-US" w:eastAsia="en-US" w:bidi="ar-SA"/>
      </w:rPr>
    </w:lvl>
    <w:lvl w:ilvl="3">
      <w:start w:val="0"/>
      <w:numFmt w:val="bullet"/>
      <w:lvlText w:val="•"/>
      <w:lvlJc w:val="left"/>
      <w:pPr>
        <w:ind w:left="3331" w:hanging="361"/>
      </w:pPr>
      <w:rPr>
        <w:rFonts w:hint="default"/>
        <w:lang w:val="en-US" w:eastAsia="en-US" w:bidi="ar-SA"/>
      </w:rPr>
    </w:lvl>
    <w:lvl w:ilvl="4">
      <w:start w:val="0"/>
      <w:numFmt w:val="bullet"/>
      <w:lvlText w:val="•"/>
      <w:lvlJc w:val="left"/>
      <w:pPr>
        <w:ind w:left="4282" w:hanging="361"/>
      </w:pPr>
      <w:rPr>
        <w:rFonts w:hint="default"/>
        <w:lang w:val="en-US" w:eastAsia="en-US" w:bidi="ar-SA"/>
      </w:rPr>
    </w:lvl>
    <w:lvl w:ilvl="5">
      <w:start w:val="0"/>
      <w:numFmt w:val="bullet"/>
      <w:lvlText w:val="•"/>
      <w:lvlJc w:val="left"/>
      <w:pPr>
        <w:ind w:left="5233" w:hanging="361"/>
      </w:pPr>
      <w:rPr>
        <w:rFonts w:hint="default"/>
        <w:lang w:val="en-US" w:eastAsia="en-US" w:bidi="ar-SA"/>
      </w:rPr>
    </w:lvl>
    <w:lvl w:ilvl="6">
      <w:start w:val="0"/>
      <w:numFmt w:val="bullet"/>
      <w:lvlText w:val="•"/>
      <w:lvlJc w:val="left"/>
      <w:pPr>
        <w:ind w:left="6183" w:hanging="361"/>
      </w:pPr>
      <w:rPr>
        <w:rFonts w:hint="default"/>
        <w:lang w:val="en-US" w:eastAsia="en-US" w:bidi="ar-SA"/>
      </w:rPr>
    </w:lvl>
    <w:lvl w:ilvl="7">
      <w:start w:val="0"/>
      <w:numFmt w:val="bullet"/>
      <w:lvlText w:val="•"/>
      <w:lvlJc w:val="left"/>
      <w:pPr>
        <w:ind w:left="7134" w:hanging="361"/>
      </w:pPr>
      <w:rPr>
        <w:rFonts w:hint="default"/>
        <w:lang w:val="en-US" w:eastAsia="en-US" w:bidi="ar-SA"/>
      </w:rPr>
    </w:lvl>
    <w:lvl w:ilvl="8">
      <w:start w:val="0"/>
      <w:numFmt w:val="bullet"/>
      <w:lvlText w:val="•"/>
      <w:lvlJc w:val="left"/>
      <w:pPr>
        <w:ind w:left="8085" w:hanging="361"/>
      </w:pPr>
      <w:rPr>
        <w:rFonts w:hint="default"/>
        <w:lang w:val="en-US" w:eastAsia="en-US" w:bidi="ar-SA"/>
      </w:rPr>
    </w:lvl>
  </w:abstractNum>
  <w:abstractNum w:abstractNumId="24">
    <w:nsid w:val="00000019"/>
    <w:multiLevelType w:val="multilevel"/>
    <w:tmpl w:val="AE8E33B6"/>
    <w:name w:val="Numbered_a2879d47-8ecb-4d50-b224-e4fbba0753b2"/>
    <w:lvl w:ilvl="0">
      <w:start w:val="2"/>
      <w:numFmt w:val="decimal"/>
      <w:lvlText w:val="%1"/>
      <w:lvlJc w:val="left"/>
      <w:pPr>
        <w:ind w:left="827" w:hanging="161"/>
        <w:jc w:val="left"/>
      </w:pPr>
      <w:rPr>
        <w:rFonts w:hint="default"/>
        <w:lang w:val="en-US" w:eastAsia="en-US" w:bidi="ar-SA"/>
      </w:rPr>
    </w:lvl>
    <w:lvl w:ilvl="1">
      <w:start w:val="3"/>
      <w:numFmt w:val="decimal"/>
      <w:lvlText w:val="%1.%2"/>
      <w:lvlJc w:val="left"/>
      <w:pPr>
        <w:ind w:left="827" w:hanging="161"/>
        <w:jc w:val="left"/>
      </w:pPr>
      <w:rPr>
        <w:rFonts w:ascii="Arial" w:eastAsia="Arial" w:hAnsi="Arial" w:cs="Arial" w:hint="default"/>
        <w:b w:val="0"/>
        <w:bCs w:val="0"/>
        <w:i w:val="0"/>
        <w:iCs w:val="0"/>
        <w:spacing w:val="0"/>
        <w:w w:val="104"/>
        <w:sz w:val="9"/>
        <w:szCs w:val="9"/>
        <w:lang w:val="en-US" w:eastAsia="en-US" w:bidi="ar-SA"/>
      </w:rPr>
    </w:lvl>
    <w:lvl w:ilvl="2">
      <w:start w:val="0"/>
      <w:numFmt w:val="bullet"/>
      <w:lvlText w:val="•"/>
      <w:lvlJc w:val="left"/>
      <w:pPr>
        <w:ind w:left="1408" w:hanging="161"/>
      </w:pPr>
      <w:rPr>
        <w:rFonts w:hint="default"/>
        <w:lang w:val="en-US" w:eastAsia="en-US" w:bidi="ar-SA"/>
      </w:rPr>
    </w:lvl>
    <w:lvl w:ilvl="3">
      <w:start w:val="0"/>
      <w:numFmt w:val="bullet"/>
      <w:lvlText w:val="•"/>
      <w:lvlJc w:val="left"/>
      <w:pPr>
        <w:ind w:left="1702" w:hanging="161"/>
      </w:pPr>
      <w:rPr>
        <w:rFonts w:hint="default"/>
        <w:lang w:val="en-US" w:eastAsia="en-US" w:bidi="ar-SA"/>
      </w:rPr>
    </w:lvl>
    <w:lvl w:ilvl="4">
      <w:start w:val="0"/>
      <w:numFmt w:val="bullet"/>
      <w:lvlText w:val="•"/>
      <w:lvlJc w:val="left"/>
      <w:pPr>
        <w:ind w:left="1996" w:hanging="161"/>
      </w:pPr>
      <w:rPr>
        <w:rFonts w:hint="default"/>
        <w:lang w:val="en-US" w:eastAsia="en-US" w:bidi="ar-SA"/>
      </w:rPr>
    </w:lvl>
    <w:lvl w:ilvl="5">
      <w:start w:val="0"/>
      <w:numFmt w:val="bullet"/>
      <w:lvlText w:val="•"/>
      <w:lvlJc w:val="left"/>
      <w:pPr>
        <w:ind w:left="2290" w:hanging="161"/>
      </w:pPr>
      <w:rPr>
        <w:rFonts w:hint="default"/>
        <w:lang w:val="en-US" w:eastAsia="en-US" w:bidi="ar-SA"/>
      </w:rPr>
    </w:lvl>
    <w:lvl w:ilvl="6">
      <w:start w:val="0"/>
      <w:numFmt w:val="bullet"/>
      <w:lvlText w:val="•"/>
      <w:lvlJc w:val="left"/>
      <w:pPr>
        <w:ind w:left="2584" w:hanging="161"/>
      </w:pPr>
      <w:rPr>
        <w:rFonts w:hint="default"/>
        <w:lang w:val="en-US" w:eastAsia="en-US" w:bidi="ar-SA"/>
      </w:rPr>
    </w:lvl>
    <w:lvl w:ilvl="7">
      <w:start w:val="0"/>
      <w:numFmt w:val="bullet"/>
      <w:lvlText w:val="•"/>
      <w:lvlJc w:val="left"/>
      <w:pPr>
        <w:ind w:left="2878" w:hanging="161"/>
      </w:pPr>
      <w:rPr>
        <w:rFonts w:hint="default"/>
        <w:lang w:val="en-US" w:eastAsia="en-US" w:bidi="ar-SA"/>
      </w:rPr>
    </w:lvl>
    <w:lvl w:ilvl="8">
      <w:start w:val="0"/>
      <w:numFmt w:val="bullet"/>
      <w:lvlText w:val="•"/>
      <w:lvlJc w:val="left"/>
      <w:pPr>
        <w:ind w:left="3172" w:hanging="161"/>
      </w:pPr>
      <w:rPr>
        <w:rFonts w:hint="default"/>
        <w:lang w:val="en-US" w:eastAsia="en-US" w:bidi="ar-SA"/>
      </w:rPr>
    </w:lvl>
  </w:abstractNum>
  <w:abstractNum w:abstractNumId="25">
    <w:nsid w:val="0000001A"/>
    <w:multiLevelType w:val="hybridMultilevel"/>
    <w:tmpl w:val="3414510A"/>
    <w:name w:val="Bulleted_085421a3-d60f-4e11-b361-a9d2cd2ea10a"/>
    <w:lvl w:ilvl="0">
      <w:start w:val="0"/>
      <w:numFmt w:val="bullet"/>
      <w:lvlText w:val="•"/>
      <w:lvlJc w:val="left"/>
      <w:pPr>
        <w:ind w:left="126" w:hanging="101"/>
      </w:pPr>
      <w:rPr>
        <w:rFonts w:ascii="Calibri" w:eastAsia="Calibri" w:hAnsi="Calibri" w:cs="Calibri" w:hint="default"/>
        <w:b w:val="0"/>
        <w:bCs w:val="0"/>
        <w:i w:val="0"/>
        <w:iCs w:val="0"/>
        <w:spacing w:val="0"/>
        <w:w w:val="99"/>
        <w:sz w:val="14"/>
        <w:szCs w:val="14"/>
        <w:lang w:val="en-US" w:eastAsia="en-US" w:bidi="ar-SA"/>
      </w:rPr>
    </w:lvl>
    <w:lvl w:ilvl="1">
      <w:start w:val="0"/>
      <w:numFmt w:val="bullet"/>
      <w:lvlText w:val="•"/>
      <w:lvlJc w:val="left"/>
      <w:pPr>
        <w:ind w:left="1145" w:hanging="101"/>
      </w:pPr>
      <w:rPr>
        <w:rFonts w:hint="default"/>
        <w:lang w:val="en-US" w:eastAsia="en-US" w:bidi="ar-SA"/>
      </w:rPr>
    </w:lvl>
    <w:lvl w:ilvl="2">
      <w:start w:val="0"/>
      <w:numFmt w:val="bullet"/>
      <w:lvlText w:val="•"/>
      <w:lvlJc w:val="left"/>
      <w:pPr>
        <w:ind w:left="2170" w:hanging="101"/>
      </w:pPr>
      <w:rPr>
        <w:rFonts w:hint="default"/>
        <w:lang w:val="en-US" w:eastAsia="en-US" w:bidi="ar-SA"/>
      </w:rPr>
    </w:lvl>
    <w:lvl w:ilvl="3">
      <w:start w:val="0"/>
      <w:numFmt w:val="bullet"/>
      <w:lvlText w:val="•"/>
      <w:lvlJc w:val="left"/>
      <w:pPr>
        <w:ind w:left="3195" w:hanging="101"/>
      </w:pPr>
      <w:rPr>
        <w:rFonts w:hint="default"/>
        <w:lang w:val="en-US" w:eastAsia="en-US" w:bidi="ar-SA"/>
      </w:rPr>
    </w:lvl>
    <w:lvl w:ilvl="4">
      <w:start w:val="0"/>
      <w:numFmt w:val="bullet"/>
      <w:lvlText w:val="•"/>
      <w:lvlJc w:val="left"/>
      <w:pPr>
        <w:ind w:left="4220" w:hanging="101"/>
      </w:pPr>
      <w:rPr>
        <w:rFonts w:hint="default"/>
        <w:lang w:val="en-US" w:eastAsia="en-US" w:bidi="ar-SA"/>
      </w:rPr>
    </w:lvl>
    <w:lvl w:ilvl="5">
      <w:start w:val="0"/>
      <w:numFmt w:val="bullet"/>
      <w:lvlText w:val="•"/>
      <w:lvlJc w:val="left"/>
      <w:pPr>
        <w:ind w:left="5246" w:hanging="101"/>
      </w:pPr>
      <w:rPr>
        <w:rFonts w:hint="default"/>
        <w:lang w:val="en-US" w:eastAsia="en-US" w:bidi="ar-SA"/>
      </w:rPr>
    </w:lvl>
    <w:lvl w:ilvl="6">
      <w:start w:val="0"/>
      <w:numFmt w:val="bullet"/>
      <w:lvlText w:val="•"/>
      <w:lvlJc w:val="left"/>
      <w:pPr>
        <w:ind w:left="6271" w:hanging="101"/>
      </w:pPr>
      <w:rPr>
        <w:rFonts w:hint="default"/>
        <w:lang w:val="en-US" w:eastAsia="en-US" w:bidi="ar-SA"/>
      </w:rPr>
    </w:lvl>
    <w:lvl w:ilvl="7">
      <w:start w:val="0"/>
      <w:numFmt w:val="bullet"/>
      <w:lvlText w:val="•"/>
      <w:lvlJc w:val="left"/>
      <w:pPr>
        <w:ind w:left="7296" w:hanging="101"/>
      </w:pPr>
      <w:rPr>
        <w:rFonts w:hint="default"/>
        <w:lang w:val="en-US" w:eastAsia="en-US" w:bidi="ar-SA"/>
      </w:rPr>
    </w:lvl>
    <w:lvl w:ilvl="8">
      <w:start w:val="0"/>
      <w:numFmt w:val="bullet"/>
      <w:lvlText w:val="•"/>
      <w:lvlJc w:val="left"/>
      <w:pPr>
        <w:ind w:left="8321" w:hanging="101"/>
      </w:pPr>
      <w:rPr>
        <w:rFonts w:hint="default"/>
        <w:lang w:val="en-US" w:eastAsia="en-US" w:bidi="ar-SA"/>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Footer/>
  <w:bordersDoNotSurroundHeader/>
  <w:proofState w:spelling="clean"/>
  <w:doNotTrackMoves/>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000000"/>
    <w:rsid w:val="00A154E5"/>
    <w:rsid w:val="00C30AFE"/>
    <w:rsid w:val="00F53A08"/>
  </w:rsids>
  <m:mathPr>
    <m:mathFont m:val="Cambria Math"/>
  </m:mathPr>
  <w:themeFontLang w:val="en-NZ" w:eastAsia="zh-CN" w:bidi="ar-SA"/>
  <w:decimalSymbol w:val="."/>
  <w:listSeparator w:val=","/>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orbel" w:eastAsia="Corbel" w:hAnsi="Corbel" w:cs="Corbel"/>
    </w:rPr>
  </w:style>
  <w:style w:type="paragraph" w:styleId="Heading1">
    <w:name w:val="Heading 1"/>
    <w:basedOn w:val="Normal"/>
    <w:uiPriority w:val="9"/>
    <w:qFormat/>
    <w:pPr>
      <w:spacing w:line="645" w:lineRule="exact"/>
      <w:ind w:left="1560" w:hanging="1440"/>
      <w:outlineLvl w:val="0"/>
    </w:pPr>
    <w:rPr>
      <w:b/>
      <w:bCs/>
      <w:sz w:val="56"/>
      <w:szCs w:val="56"/>
    </w:rPr>
  </w:style>
  <w:style w:type="paragraph" w:styleId="Heading2">
    <w:name w:val="Heading 2"/>
    <w:basedOn w:val="Normal"/>
    <w:uiPriority w:val="9"/>
    <w:unhideWhenUsed/>
    <w:qFormat/>
    <w:pPr>
      <w:ind w:left="685" w:hanging="565"/>
      <w:outlineLvl w:val="1"/>
    </w:pPr>
    <w:rPr>
      <w:b/>
      <w:bCs/>
      <w:sz w:val="36"/>
      <w:szCs w:val="36"/>
    </w:rPr>
  </w:style>
  <w:style w:type="paragraph" w:styleId="Heading3">
    <w:name w:val="Heading 3"/>
    <w:basedOn w:val="Normal"/>
    <w:uiPriority w:val="9"/>
    <w:unhideWhenUsed/>
    <w:qFormat/>
    <w:pPr>
      <w:ind w:left="1200" w:hanging="1080"/>
      <w:outlineLvl w:val="2"/>
    </w:pPr>
    <w:rPr>
      <w:b/>
      <w:bCs/>
      <w:sz w:val="24"/>
      <w:szCs w:val="24"/>
    </w:rPr>
  </w:style>
  <w:style w:type="paragraph" w:styleId="Heading4">
    <w:name w:val="Heading 4"/>
    <w:basedOn w:val="Normal"/>
    <w:uiPriority w:val="9"/>
    <w:unhideWhenUsed/>
    <w:qFormat/>
    <w:pPr>
      <w:spacing w:before="120"/>
      <w:ind w:left="120"/>
      <w:outlineLvl w:val="3"/>
    </w:pPr>
    <w:rPr>
      <w:b/>
      <w:bCs/>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780" w:hanging="660"/>
    </w:pPr>
    <w:rPr>
      <w:sz w:val="28"/>
      <w:szCs w:val="28"/>
    </w:rPr>
  </w:style>
  <w:style w:type="paragraph" w:styleId="TOC2">
    <w:name w:val="TOC 2"/>
    <w:basedOn w:val="Normal"/>
    <w:uiPriority w:val="1"/>
    <w:qFormat/>
    <w:pPr>
      <w:spacing w:before="147"/>
      <w:ind w:left="1219" w:hanging="1099"/>
    </w:pPr>
  </w:style>
  <w:style w:type="paragraph" w:styleId="BodyText">
    <w:name w:val="Body Text"/>
    <w:basedOn w:val="Normal"/>
    <w:uiPriority w:val="1"/>
    <w:qFormat/>
  </w:style>
  <w:style w:type="paragraph" w:styleId="Title">
    <w:name w:val="Title"/>
    <w:basedOn w:val="Normal"/>
    <w:uiPriority w:val="10"/>
    <w:qFormat/>
    <w:pPr>
      <w:ind w:left="117"/>
    </w:pPr>
    <w:rPr>
      <w:b/>
      <w:bCs/>
      <w:sz w:val="100"/>
      <w:szCs w:val="100"/>
    </w:rPr>
  </w:style>
  <w:style w:type="paragraph" w:styleId="ListParagraph">
    <w:name w:val="List Paragraph"/>
    <w:basedOn w:val="Normal"/>
    <w:uiPriority w:val="1"/>
    <w:qFormat/>
    <w:pPr>
      <w:ind w:left="1219" w:hanging="1099"/>
    </w:pPr>
  </w:style>
  <w:style w:type="paragraph" w:customStyle="1" w:styleId="TableParagraph">
    <w:name w:val="Table Paragraph"/>
    <w:basedOn w:val="Normal"/>
    <w:uiPriority w:val="1"/>
    <w:qFormat/>
  </w:style>
  <w:style w:type="table" w:styleId="TableGrid">
    <w:name w:val="Table Gri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styles" Target="styles.xml"/><Relationship Id="rId11" Type="http://schemas.openxmlformats.org/officeDocument/2006/relationships/numbering" Target="numbering.xml"/><Relationship Id="rId12" Type="http://schemas.openxmlformats.org/officeDocument/2006/relationships/fontTable" Target="fontTable.xml"/><Relationship Id="rId2" Type="http://schemas.openxmlformats.org/officeDocument/2006/relationships/webSettings" Target="webSettings.xml"/><Relationship Id="rId3" Type="http://schemas.openxmlformats.org/officeDocument/2006/relationships/footer" Target="footer1.xml"/><Relationship Id="rId4" Type="http://schemas.microsoft.com/office/2011/relationships/commentsExtended" Target="commentsExtended.xml"/><Relationship Id="rId5" Type="http://schemas.openxmlformats.org/officeDocument/2006/relationships/comments" Target="comments.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6777</Words>
  <Characters>36873</Characters>
  <Application>Microsoft Office Word</Application>
  <DocSecurity>0</DocSecurity>
  <Lines>996</Lines>
  <Paragraphs>671</Paragraphs>
  <ScaleCrop>false</ScaleCrop>
  <Company>Tonkin Taylor</Company>
  <LinksUpToDate>false</LinksUpToDate>
  <CharactersWithSpaces>42979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Harel Lustiger</cp:lastModifiedBy>
  <cp:revision>7</cp:revision>
  <dcterms:created xsi:type="dcterms:W3CDTF">2025-04-29T04:39:00Z</dcterms:created>
  <dcterms:modified xsi:type="dcterms:W3CDTF">2025-04-29T21:26:00Z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2019-10-21T11:00:00Z</vt:filetime>
  </property>
  <property fmtid="{D5CDD505-2E9C-101B-9397-08002B2CF9AE}" pid="3" name="Creator">
    <vt:lpwstr>Microsoft_x00AE_ Word 2016</vt:lpwstr>
  </property>
  <property fmtid="{D5CDD505-2E9C-101B-9397-08002B2CF9AE}" pid="4" name="LastSaved">
    <vt:filetime>2025-04-28T12:00:00Z</vt:filetime>
  </property>
  <property fmtid="{D5CDD505-2E9C-101B-9397-08002B2CF9AE}" pid="5" name="Producer">
    <vt:lpwstr>Microsoft_x00AE_ Word 2016</vt:lpwstr>
  </property>
  <property fmtid="{D5CDD505-2E9C-101B-9397-08002B2CF9AE}" pid="6" name="GrammarlyDocumentId">
    <vt:lpwstr>af1eba8f-72c8-4628-a433-d60ab71d866c</vt:lpwstr>
  </property>
</Properties>
</file>