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Lab3 CSC 3320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$ vi RealEstate.csv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Shift+G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988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/\&lt;111 EAST\&gt;, Line 896, dd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 esc, 50, shift+g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8) :50,54s/,/:/g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9) :50,54y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10) :50,54d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11) esc, 1, shift+g, o, “Recorded in year 2008”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12) esc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13) :wq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12) -rwxrwxrwx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 means read, w means write, x means execute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first set of rwx is the owner, the second is people in the same group as the owner, the third is everybody 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15) E45: ‘readonly’ option is set (add ! to override), :q!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16) $chmod 666 Try.c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17) Now, all users have the permission to both read and write to Try.c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5) </w:t>
        <w:tab/>
        <w:t xml:space="preserve">a) N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b) N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c) N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d) N/A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e) N/A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f) N</w:t>
      </w:r>
    </w:p>
    <w:tbl>
      <w:tblPr>
        <w:tblStyle w:val="Table1"/>
        <w:tblW w:w="935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1440"/>
        <w:gridCol w:w="1530"/>
        <w:gridCol w:w="1567"/>
        <w:gridCol w:w="1336"/>
        <w:gridCol w:w="1336"/>
        <w:gridCol w:w="1336"/>
        <w:tblGridChange w:id="0">
          <w:tblGrid>
            <w:gridCol w:w="805"/>
            <w:gridCol w:w="1440"/>
            <w:gridCol w:w="1530"/>
            <w:gridCol w:w="1567"/>
            <w:gridCol w:w="1336"/>
            <w:gridCol w:w="1336"/>
            <w:gridCol w:w="1336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--x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-w-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-wx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r--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r-x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rw-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rwx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