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9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0" w:name="X6128e6a47c73c03cc1e3ba49d3dbe3d5053b5fe"/>
    <w:p>
      <w:pPr>
        <w:pStyle w:val="Heading1"/>
      </w:pPr>
      <w:r>
        <w:t xml:space="preserve">Architekturentscheidung — Spezifikation „Onkologische Therapieziele"</w:t>
      </w:r>
    </w:p>
    <w:p>
      <w:pPr>
        <w:pStyle w:val="FirstParagraph"/>
      </w:pPr>
      <w:r>
        <w:t xml:space="preserve">Baustein für Liefergegenstand LG-01 · Gematik-Auftrag · BIH-CEI</w:t>
      </w:r>
    </w:p>
    <w:bookmarkStart w:id="22" w:name="kernaussage"/>
    <w:p>
      <w:pPr>
        <w:pStyle w:val="Heading2"/>
      </w:pPr>
      <w:r>
        <w:t xml:space="preserve">Kernaussage</w:t>
      </w:r>
    </w:p>
    <w:p>
      <w:pPr>
        <w:pStyle w:val="FirstParagraph"/>
      </w:pPr>
      <w:r>
        <w:t xml:space="preserve">Die Spezifikation ruht auf vier Schichten mit klarer Rollenverteilung und einem expliziten Fallback-Pfad:</w:t>
      </w:r>
    </w:p>
    <w:p>
      <w:pPr>
        <w:pStyle w:val="BodyText"/>
      </w:pPr>
      <w:r>
        <w:drawing>
          <wp:inline>
            <wp:extent cx="5969000" cy="3760928"/>
            <wp:effectExtent b="0" l="0" r="0" t="0"/>
            <wp:docPr descr="Vier-Schichten-Architektur" title="" id="20" name="Picture"/>
            <a:graphic>
              <a:graphicData uri="http://schemas.openxmlformats.org/drawingml/2006/picture">
                <pic:pic>
                  <pic:nvPicPr>
                    <pic:cNvPr descr="00_architektur_stack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760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"/>
    <w:bookmarkStart w:id="23" w:name="rollen-der-vier-schichten"/>
    <w:p>
      <w:pPr>
        <w:pStyle w:val="Heading2"/>
      </w:pPr>
      <w:r>
        <w:t xml:space="preserve">Rollen der vier Schichten</w:t>
      </w:r>
    </w:p>
    <w:p>
      <w:pPr>
        <w:pStyle w:val="FirstParagraph"/>
      </w:pPr>
      <w:r>
        <w:rPr>
          <w:b/>
          <w:bCs/>
        </w:rPr>
        <w:t xml:space="preserve">Schicht 1 — Therapielinien-Strukturachse (EnLiST):</w:t>
      </w:r>
      <w:r>
        <w:t xml:space="preserve"> </w:t>
      </w:r>
      <w:r>
        <w:t xml:space="preserve">liefert die internationale Konsensnotation für Linien, Settings und Änderungstypen. Definiert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gezählt wird und</w:t>
      </w:r>
      <w:r>
        <w:t xml:space="preserve"> </w:t>
      </w:r>
      <w:r>
        <w:rPr>
          <w:i/>
          <w:iCs/>
        </w:rPr>
        <w:t xml:space="preserve">wie</w:t>
      </w:r>
      <w:r>
        <w:t xml:space="preserve"> </w:t>
      </w:r>
      <w:r>
        <w:t xml:space="preserve">es dargestellt wird. Konzeptionell, nicht profiltechnisch.</w:t>
      </w:r>
    </w:p>
    <w:p>
      <w:pPr>
        <w:pStyle w:val="BodyText"/>
      </w:pPr>
      <w:r>
        <w:rPr>
          <w:b/>
          <w:bCs/>
        </w:rPr>
        <w:t xml:space="preserve">Schicht 2 — Methodik &amp; computable Repräsentation (CPG-on-FHIR):</w:t>
      </w:r>
      <w:r>
        <w:t xml:space="preserve"> </w:t>
      </w:r>
      <w:r>
        <w:t xml:space="preserve">liefert die Vorgehensweise (Select → Represent → Translate → Validate, L1–L4-Continuum) und das FHIR-Profil-Set (PlanDefinition, ActivityDefinition, Library, Definition–Request–Event-Triade). Wird im</w:t>
      </w:r>
      <w:r>
        <w:t xml:space="preserve"> </w:t>
      </w:r>
      <w:r>
        <w:rPr>
          <w:b/>
          <w:bCs/>
        </w:rPr>
        <w:t xml:space="preserve">Primärpfad</w:t>
      </w:r>
      <w:r>
        <w:t xml:space="preserve"> </w:t>
      </w:r>
      <w:r>
        <w:t xml:space="preserve">verwendet: existiert für den Fall eine computable Leitlinienempfehlung, wird sie via</w:t>
      </w:r>
      <w:r>
        <w:t xml:space="preserve"> </w:t>
      </w:r>
      <w:r>
        <w:rPr>
          <w:rStyle w:val="VerbatimChar"/>
        </w:rPr>
        <w:t xml:space="preserve">instantiatesCanonical</w:t>
      </w:r>
      <w:r>
        <w:t xml:space="preserve"> </w:t>
      </w:r>
      <w:r>
        <w:t xml:space="preserve">referenziert — kompakte Darstellung, keine Wiederholung des normativen Inhalts.</w:t>
      </w:r>
    </w:p>
    <w:p>
      <w:pPr>
        <w:pStyle w:val="BodyText"/>
      </w:pPr>
      <w:r>
        <w:rPr>
          <w:b/>
          <w:bCs/>
        </w:rPr>
        <w:t xml:space="preserve">Schicht 3 — Plan- und Ziel-Logik (CarePlan / Goal):</w:t>
      </w:r>
      <w:r>
        <w:t xml:space="preserve"> </w:t>
      </w:r>
      <w:r>
        <w:t xml:space="preserve">liefert die generische Repräsentation des realen Versorgungsverlaufs. Wird im</w:t>
      </w:r>
      <w:r>
        <w:t xml:space="preserve"> </w:t>
      </w:r>
      <w:r>
        <w:rPr>
          <w:b/>
          <w:bCs/>
        </w:rPr>
        <w:t xml:space="preserve">Fallback</w:t>
      </w:r>
      <w:r>
        <w:t xml:space="preserve"> </w:t>
      </w:r>
      <w:r>
        <w:t xml:space="preserve">verwendet:</w:t>
      </w:r>
    </w:p>
    <w:p>
      <w:pPr>
        <w:pStyle w:val="Compact"/>
        <w:numPr>
          <w:ilvl w:val="0"/>
          <w:numId w:val="1001"/>
        </w:numPr>
      </w:pPr>
      <w:r>
        <w:t xml:space="preserve">wenn für den klinischen Fall keine computable Leitlinienempfehlung existiert (Off-Label, seltene Tumoren, Studienteilnahme, palliative Sondersituationen);</w:t>
      </w:r>
    </w:p>
    <w:p>
      <w:pPr>
        <w:pStyle w:val="Compact"/>
        <w:numPr>
          <w:ilvl w:val="0"/>
          <w:numId w:val="1001"/>
        </w:numPr>
      </w:pPr>
      <w:r>
        <w:t xml:space="preserve">wenn der reale Verlauf von der Leitlinie abweicht (bewusst, unbewusst oder kontraindiziert) — dann wird der CarePlan zum Detailbild neben dem Verweisbild auf die Leitlinie.</w:t>
      </w:r>
    </w:p>
    <w:p>
      <w:pPr>
        <w:pStyle w:val="FirstParagraph"/>
      </w:pPr>
      <w:r>
        <w:t xml:space="preserve">Quellen für das Plan-/Ziel-Pattern: IPS Plan of Care (Composition-Sektion LOINC 18776-5), eLTSS Service Plan, MCC eCare Plan, mCODE Treatment-Pattern. Diese IGs liefern jeweils unterschiedliche, aber kompatible Aspekte (siehe entsprechende Bausteine).</w:t>
      </w:r>
    </w:p>
    <w:p>
      <w:pPr>
        <w:pStyle w:val="BodyText"/>
      </w:pPr>
      <w:r>
        <w:rPr>
          <w:b/>
          <w:bCs/>
        </w:rPr>
        <w:t xml:space="preserve">Schicht 4 — Datenelemente &amp; Terminologie (MII Onkologie):</w:t>
      </w:r>
      <w:r>
        <w:t xml:space="preserve"> </w:t>
      </w:r>
      <w:r>
        <w:t xml:space="preserve">liefert die deutschen Datenelemente und Terminologien als primäre Interoperabilitätsbasis. Anschluss an EHDS via Mapping auf IPS/EPS als sekundäre Schicht.</w:t>
      </w:r>
    </w:p>
    <w:bookmarkEnd w:id="23"/>
    <w:bookmarkStart w:id="24" w:name="X9ca9c9a33b10383ced955720424241eac65a72c"/>
    <w:p>
      <w:pPr>
        <w:pStyle w:val="Heading2"/>
      </w:pPr>
      <w:r>
        <w:t xml:space="preserve">Fallback-Logik: wann Primärpfad, wann Fallback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Schicht 2 (CPG)</w:t>
            </w:r>
          </w:p>
        </w:tc>
        <w:tc>
          <w:tcPr/>
          <w:p>
            <w:pPr>
              <w:pStyle w:val="Compact"/>
            </w:pPr>
            <w:r>
              <w:t xml:space="preserve">Schicht 3 (CarePlan/Goal)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Leitliniengerechte 1L bei häufigem Tumor (z. B. KRK mFOLFOX6)</w:t>
            </w:r>
          </w:p>
        </w:tc>
        <w:tc>
          <w:tcPr/>
          <w:p>
            <w:pPr>
              <w:pStyle w:val="Compact"/>
            </w:pPr>
            <w:r>
              <w:t xml:space="preserve">Primär —</w:t>
            </w:r>
            <w:r>
              <w:t xml:space="preserve"> </w:t>
            </w:r>
            <w:r>
              <w:rPr>
                <w:rStyle w:val="VerbatimChar"/>
              </w:rPr>
              <w:t xml:space="preserve">instantiatesCanonical</w:t>
            </w:r>
            <w:r>
              <w:t xml:space="preserve"> </w:t>
            </w:r>
            <w:r>
              <w:t xml:space="preserve">auf normative Recommendation</w:t>
            </w:r>
          </w:p>
        </w:tc>
        <w:tc>
          <w:tcPr/>
          <w:p>
            <w:pPr>
              <w:pStyle w:val="Compact"/>
            </w:pPr>
            <w:r>
              <w:t xml:space="preserve">Optional — kompakter CarePlan als Container für Verweis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Bewusste Abweichung (Patient*innenpräferenz, Komorbidität)</w:t>
            </w:r>
          </w:p>
        </w:tc>
        <w:tc>
          <w:tcPr/>
          <w:p>
            <w:pPr>
              <w:pStyle w:val="Compact"/>
            </w:pPr>
            <w:r>
              <w:t xml:space="preserve">Verweis bleibt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Fallback aktiv</w:t>
            </w:r>
            <w:r>
              <w:t xml:space="preserve"> </w:t>
            </w:r>
            <w:r>
              <w:t xml:space="preserve">— CarePlan mit Detailbeschreibung +</w:t>
            </w:r>
            <w:r>
              <w:t xml:space="preserve"> </w:t>
            </w:r>
            <w:r>
              <w:rPr>
                <w:rStyle w:val="VerbatimChar"/>
              </w:rPr>
              <w:t xml:space="preserve">CPGDetectedIssue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Seltene Tumoren / Off-Label / keine computable Leitlinie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Fallback aktiv</w:t>
            </w:r>
            <w:r>
              <w:t xml:space="preserve"> </w:t>
            </w:r>
            <w:r>
              <w:t xml:space="preserve">— CarePlan + Goal als alleinige Repräsentation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Studienteilnahme (iLoT in EnLiST)</w:t>
            </w:r>
          </w:p>
        </w:tc>
        <w:tc>
          <w:tcPr/>
          <w:p>
            <w:pPr>
              <w:pStyle w:val="Compact"/>
            </w:pPr>
            <w:r>
              <w:t xml:space="preserve">Wenn Studienprotokoll als CPG vorliegt: Verweis</w:t>
            </w:r>
          </w:p>
        </w:tc>
        <w:tc>
          <w:tcPr/>
          <w:p>
            <w:pPr>
              <w:pStyle w:val="Compact"/>
            </w:pPr>
            <w:r>
              <w:t xml:space="preserve">Sonst Fallback — CarePlan referenziert ResearchStudy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Versorgungsdrift / unbewusste Abweichung</w:t>
            </w:r>
          </w:p>
        </w:tc>
        <w:tc>
          <w:tcPr/>
          <w:p>
            <w:pPr>
              <w:pStyle w:val="Compact"/>
            </w:pPr>
            <w:r>
              <w:t xml:space="preserve">Verweis bleibt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Fallback aktiv</w:t>
            </w:r>
            <w:r>
              <w:t xml:space="preserve"> </w:t>
            </w:r>
            <w:r>
              <w:t xml:space="preserve">— CarePlan +</w:t>
            </w:r>
            <w:r>
              <w:t xml:space="preserve"> </w:t>
            </w:r>
            <w:r>
              <w:rPr>
                <w:rStyle w:val="VerbatimChar"/>
              </w:rPr>
              <w:t xml:space="preserve">CPGDetectedIssue</w:t>
            </w:r>
            <w:r>
              <w:t xml:space="preserve"> </w:t>
            </w:r>
            <w:r>
              <w:t xml:space="preserve">als Audit-Anker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Tumorboard-Entscheidung mit eigener Empfehlung</w:t>
            </w:r>
          </w:p>
        </w:tc>
        <w:tc>
          <w:tcPr/>
          <w:p>
            <w:pPr>
              <w:pStyle w:val="Compact"/>
            </w:pPr>
            <w:r>
              <w:t xml:space="preserve">Verweis auf S3-Leitlinie +</w:t>
            </w:r>
            <w:r>
              <w:t xml:space="preserve"> </w:t>
            </w:r>
            <w:r>
              <w:rPr>
                <w:rStyle w:val="VerbatimChar"/>
              </w:rPr>
              <w:t xml:space="preserve">KIGOTumorboardDecision</w:t>
            </w:r>
            <w:r>
              <w:t xml:space="preserve"> </w:t>
            </w:r>
            <w:r>
              <w:t xml:space="preserve">als ergänzende Recommendation</w:t>
            </w:r>
          </w:p>
        </w:tc>
        <w:tc>
          <w:tcPr/>
          <w:p>
            <w:pPr>
              <w:pStyle w:val="Compact"/>
            </w:pPr>
            <w:r>
              <w:t xml:space="preserve">CarePlan als Container; bei Abweichung zusätzlich Fallback</w:t>
            </w:r>
          </w:p>
        </w:tc>
      </w:tr>
    </w:tbl>
    <w:bookmarkEnd w:id="24"/>
    <w:bookmarkStart w:id="25" w:name="implikation-für-die-profile"/>
    <w:p>
      <w:pPr>
        <w:pStyle w:val="Heading2"/>
      </w:pPr>
      <w:r>
        <w:t xml:space="preserve">Implikation für die Profile</w:t>
      </w:r>
    </w:p>
    <w:p>
      <w:pPr>
        <w:pStyle w:val="FirstParagraph"/>
      </w:pPr>
      <w:r>
        <w:t xml:space="preserve">Die FHIR-Profile der Spec gliedern sich entsprechend: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EnLiST-konforme Profile:</w:t>
      </w:r>
      <w:r>
        <w:t xml:space="preserve"> </w:t>
      </w:r>
      <w:r>
        <w:rPr>
          <w:rStyle w:val="VerbatimChar"/>
        </w:rPr>
        <w:t xml:space="preserve">KIGOTherapyLine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KIGOTherapyIntent</w:t>
      </w:r>
      <w:r>
        <w:t xml:space="preserve">-Extension,</w:t>
      </w:r>
      <w:r>
        <w:t xml:space="preserve"> </w:t>
      </w:r>
      <w:r>
        <w:rPr>
          <w:rStyle w:val="VerbatimChar"/>
        </w:rPr>
        <w:t xml:space="preserve">KIGOClinicalSetting</w:t>
      </w:r>
      <w:r>
        <w:t xml:space="preserve">-Extension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CPG-on-FHIR-basierte Profile (Primärpfad):</w:t>
      </w:r>
      <w:r>
        <w:t xml:space="preserve"> </w:t>
      </w:r>
      <w:r>
        <w:rPr>
          <w:rStyle w:val="VerbatimChar"/>
        </w:rPr>
        <w:t xml:space="preserve">KIGOPathwayDefinition</w:t>
      </w:r>
      <w:r>
        <w:t xml:space="preserve"> </w:t>
      </w:r>
      <w:r>
        <w:t xml:space="preserve">(auf</w:t>
      </w:r>
      <w:r>
        <w:t xml:space="preserve"> </w:t>
      </w:r>
      <w:r>
        <w:rPr>
          <w:rStyle w:val="VerbatimChar"/>
        </w:rPr>
        <w:t xml:space="preserve">CPGPathwayDefinition</w:t>
      </w:r>
      <w:r>
        <w:t xml:space="preserve">),</w:t>
      </w:r>
      <w:r>
        <w:t xml:space="preserve"> </w:t>
      </w:r>
      <w:r>
        <w:rPr>
          <w:rStyle w:val="VerbatimChar"/>
        </w:rPr>
        <w:t xml:space="preserve">KIGOStrategyDefinition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KIGORecommendationDefinition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KIGOMedicationRequest</w:t>
      </w:r>
      <w:r>
        <w:t xml:space="preserve"> </w:t>
      </w:r>
      <w:r>
        <w:t xml:space="preserve">(auf</w:t>
      </w:r>
      <w:r>
        <w:t xml:space="preserve"> </w:t>
      </w:r>
      <w:r>
        <w:rPr>
          <w:rStyle w:val="VerbatimChar"/>
        </w:rPr>
        <w:t xml:space="preserve">CPGMedicationRequest</w:t>
      </w:r>
      <w:r>
        <w:t xml:space="preserve">) etc.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CarePlan/Goal-Profile (Fallback):</w:t>
      </w:r>
      <w:r>
        <w:t xml:space="preserve"> </w:t>
      </w:r>
      <w:r>
        <w:rPr>
          <w:rStyle w:val="VerbatimChar"/>
        </w:rPr>
        <w:t xml:space="preserve">KIGOCarePlan</w:t>
      </w:r>
      <w:r>
        <w:t xml:space="preserve"> </w:t>
      </w:r>
      <w:r>
        <w:t xml:space="preserve">(auf</w:t>
      </w:r>
      <w:r>
        <w:t xml:space="preserve"> </w:t>
      </w:r>
      <w:r>
        <w:rPr>
          <w:rStyle w:val="VerbatimChar"/>
        </w:rPr>
        <w:t xml:space="preserve">CPGCarePlan</w:t>
      </w:r>
      <w:r>
        <w:t xml:space="preserve">, der wiederum CarePlan profiliert),</w:t>
      </w:r>
      <w:r>
        <w:t xml:space="preserve"> </w:t>
      </w:r>
      <w:r>
        <w:rPr>
          <w:rStyle w:val="VerbatimChar"/>
        </w:rPr>
        <w:t xml:space="preserve">KIGOGoal</w:t>
      </w:r>
      <w:r>
        <w:t xml:space="preserve"> </w:t>
      </w:r>
      <w:r>
        <w:t xml:space="preserve">(mit Therapieziel-Codierung),</w:t>
      </w:r>
      <w:r>
        <w:t xml:space="preserve"> </w:t>
      </w:r>
      <w:r>
        <w:rPr>
          <w:rStyle w:val="VerbatimChar"/>
        </w:rPr>
        <w:t xml:space="preserve">KIGODetectedIssue</w:t>
      </w:r>
      <w:r>
        <w:t xml:space="preserve"> </w:t>
      </w:r>
      <w:r>
        <w:t xml:space="preserve">für Abweichungsbegründung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MII-Anschluss-Profile (Datenelemente):</w:t>
      </w:r>
      <w:r>
        <w:t xml:space="preserve"> </w:t>
      </w:r>
      <w:r>
        <w:t xml:space="preserve">Slicing auf MII KDS-Profile (Medikation, Prozedur, Diagnose) als Basis für</w:t>
      </w:r>
      <w:r>
        <w:t xml:space="preserve"> </w:t>
      </w:r>
      <w:r>
        <w:rPr>
          <w:rStyle w:val="VerbatimChar"/>
        </w:rPr>
        <w:t xml:space="preserve">KIGOMedicationStatement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KIGOProcedure</w:t>
      </w:r>
      <w:r>
        <w:t xml:space="preserve">,</w:t>
      </w:r>
      <w:r>
        <w:t xml:space="preserve"> </w:t>
      </w:r>
      <w:r>
        <w:rPr>
          <w:rStyle w:val="VerbatimChar"/>
        </w:rPr>
        <w:t xml:space="preserve">KIGOCondition</w:t>
      </w:r>
    </w:p>
    <w:bookmarkEnd w:id="25"/>
    <w:bookmarkStart w:id="26" w:name="warum-diese-architektur"/>
    <w:p>
      <w:pPr>
        <w:pStyle w:val="Heading2"/>
      </w:pPr>
      <w:r>
        <w:t xml:space="preserve">Warum diese Architektur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EnLiST</w:t>
      </w:r>
      <w:r>
        <w:t xml:space="preserve"> </w:t>
      </w:r>
      <w:r>
        <w:t xml:space="preserve">ist alternativlos: einziger paneuropäischer Delphi-Konsens für solide Tumoren, international anschlussfähig, sonst nichts Vergleichbares.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CPG-on-FHIR</w:t>
      </w:r>
      <w:r>
        <w:t xml:space="preserve"> </w:t>
      </w:r>
      <w:r>
        <w:t xml:space="preserve">ist alternativlos: einziges FHIR-natives Framework mit Methodik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Profil-Set für computable Leitlinien; Alternativen (Quality Measure IG, SDC, CDS Hooks pur) decken nur Teilaspekte.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CarePlan/Goal als Fallback</w:t>
      </w:r>
      <w:r>
        <w:t xml:space="preserve"> </w:t>
      </w:r>
      <w:r>
        <w:t xml:space="preserve">ist notwendig: WiZen-/internationale Studien zeigen 15–30 % strukturierte Abweichung; für seltene Tumoren und Studieneinsätze fehlen computable Leitlinien systematisch. Ohne Fallback bleibt jeder vierte bis fünfte Verlauf unmodellierbar.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MII KDS-Onkologie als Datenelemente-Basis</w:t>
      </w:r>
      <w:r>
        <w:t xml:space="preserve"> </w:t>
      </w:r>
      <w:r>
        <w:t xml:space="preserve">ist gesetzt: deutsche Versorgungsrealität, etablierte DIZ-Datenflüsse, gematik-/MII-Mandat. IPS/EPS sekundär für EHDS-Konformität.</w:t>
      </w:r>
    </w:p>
    <w:bookmarkEnd w:id="26"/>
    <w:bookmarkStart w:id="27" w:name="X7603a9960ae24670efc5e40e67c41581625d168"/>
    <w:p>
      <w:pPr>
        <w:pStyle w:val="Heading2"/>
      </w:pPr>
      <w:r>
        <w:t xml:space="preserve">Out-of-Scope-Entscheidungen mit Begründung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Hämatologische Malignome:</w:t>
      </w:r>
      <w:r>
        <w:t xml:space="preserve"> </w:t>
      </w:r>
      <w:r>
        <w:t xml:space="preserve">als separate IG-Seite (Phasen- statt Setting-Achse), nicht im Kern-Datenmodell. Begründung: EnLiST adressiert sie nicht; hämatologisches Pendant existiert noch nicht; Versorgungslogik (Induktion-Konsolidierung-Maintenance, Allo-SZT, CAR-T) unterscheidet sich strukturell.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Lokoregionale Therapien</w:t>
      </w:r>
      <w:r>
        <w:t xml:space="preserve"> </w:t>
      </w:r>
      <w:r>
        <w:t xml:space="preserve">(Chirurgie, Strahlentherapie, Ablation): in der Visualisierung als eigene Modalitäten-Spur, nicht in die LoT-Zählung. Begründung: EnLiST-konform; klinisch hochrelevant, aber konzeptuell von Systemtherapie zu trennen.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Patient-Reported-Outcomes:</w:t>
      </w:r>
      <w:r>
        <w:t xml:space="preserve"> </w:t>
      </w:r>
      <w:r>
        <w:t xml:space="preserve">via PCO IG anbinden, nicht selbst entwickeln. Begründung: PCO ist die international etablierte Lösung; Eigenentwicklung wäre Duplizierung.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EHDS-Anschluss:</w:t>
      </w:r>
      <w:r>
        <w:t xml:space="preserve"> </w:t>
      </w:r>
      <w:r>
        <w:t xml:space="preserve">via Mapping-Schicht auf IPS/EPS, nicht durch IPS-konforme Composition als Primärformat. Begründung: für computable Pfade ist IPS-Composition zu schmal (siehe IPS/EPS-Baustein).</w:t>
      </w:r>
    </w:p>
    <w:bookmarkEnd w:id="27"/>
    <w:bookmarkStart w:id="28" w:name="Xa76dde7c227e11a139a922393d4ef7f54fa98d0"/>
    <w:p>
      <w:pPr>
        <w:pStyle w:val="Heading2"/>
      </w:pPr>
      <w:r>
        <w:t xml:space="preserve">Konsequenzen für die Phasen 2–6 des Meilensteinplans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Workshop 1 (KW 22, LG-02):</w:t>
      </w:r>
      <w:r>
        <w:t xml:space="preserve"> </w:t>
      </w:r>
      <w:r>
        <w:t xml:space="preserve">drei Use Cases auswählen, die alle vier Schichten exemplifizieren — empfohlen: KRK 1L (Primärpfad), mBC mit Komorbidität (Fallback wegen Abweichung), Sarkom in Studie (Fallback wegen iLoT/fehlender Leitlinie).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Informationsmodell (LG-02, KW 25):</w:t>
      </w:r>
      <w:r>
        <w:t xml:space="preserve"> </w:t>
      </w:r>
      <w:r>
        <w:t xml:space="preserve">auf Basis der vier Schichten gegliedert, klare Trennung zwischen normativer Empfehlung und realer Versorgung.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IG-Entwurf (LG-03, M3 19.06.):</w:t>
      </w:r>
      <w:r>
        <w:t xml:space="preserve"> </w:t>
      </w:r>
      <w:r>
        <w:t xml:space="preserve">Profil-Set wie oben skizziert; CPG-on-FHIR und CarePlan/Goal-Pattern als verbundenes Set in FSH/SUSHI.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MII-Integrationskonzept (LG-05, M7 26.09.):</w:t>
      </w:r>
      <w:r>
        <w:t xml:space="preserve"> </w:t>
      </w:r>
      <w:r>
        <w:t xml:space="preserve">Schicht 4 in den MII-AGs Onkologie und Medikation gespiegelt.</w:t>
      </w:r>
    </w:p>
    <w:bookmarkEnd w:id="28"/>
    <w:bookmarkStart w:id="29" w:name="referenzen"/>
    <w:p>
      <w:pPr>
        <w:pStyle w:val="Heading2"/>
      </w:pPr>
      <w:r>
        <w:t xml:space="preserve">Referenzen</w:t>
      </w:r>
    </w:p>
    <w:p>
      <w:pPr>
        <w:pStyle w:val="Compact"/>
        <w:numPr>
          <w:ilvl w:val="0"/>
          <w:numId w:val="1006"/>
        </w:numPr>
      </w:pPr>
      <w:r>
        <w:t xml:space="preserve">EnLiST-Baustein:</w:t>
      </w:r>
      <w:r>
        <w:t xml:space="preserve"> </w:t>
      </w:r>
      <w:r>
        <w:rPr>
          <w:rStyle w:val="VerbatimChar"/>
        </w:rPr>
        <w:t xml:space="preserve">L01-Analyse/EnLiST_Zusammenfassung_Onkologische_Therapieziele.md</w:t>
      </w:r>
    </w:p>
    <w:p>
      <w:pPr>
        <w:pStyle w:val="Compact"/>
        <w:numPr>
          <w:ilvl w:val="0"/>
          <w:numId w:val="1006"/>
        </w:numPr>
      </w:pPr>
      <w:r>
        <w:t xml:space="preserve">CPG-on-FHIR-Baustein:</w:t>
      </w:r>
      <w:r>
        <w:t xml:space="preserve"> </w:t>
      </w:r>
      <w:r>
        <w:rPr>
          <w:rStyle w:val="VerbatimChar"/>
        </w:rPr>
        <w:t xml:space="preserve">L01-Analyse/CPG-on-FHIR_Zusammenfassung_Onkologische_Therapieziele.md</w:t>
      </w:r>
    </w:p>
    <w:p>
      <w:pPr>
        <w:pStyle w:val="Compact"/>
        <w:numPr>
          <w:ilvl w:val="0"/>
          <w:numId w:val="1006"/>
        </w:numPr>
      </w:pPr>
      <w:r>
        <w:t xml:space="preserve">IPS/EPS-Baustein:</w:t>
      </w:r>
      <w:r>
        <w:t xml:space="preserve"> </w:t>
      </w:r>
      <w:r>
        <w:rPr>
          <w:rStyle w:val="VerbatimChar"/>
        </w:rPr>
        <w:t xml:space="preserve">L01-Analyse/IPS_EPS_Zusammenfassung_Onkologische_Therapieziele.docx</w:t>
      </w:r>
    </w:p>
    <w:p>
      <w:pPr>
        <w:pStyle w:val="Compact"/>
        <w:numPr>
          <w:ilvl w:val="0"/>
          <w:numId w:val="1006"/>
        </w:numPr>
      </w:pPr>
      <w:r>
        <w:t xml:space="preserve">MCC-Baustein:</w:t>
      </w:r>
      <w:r>
        <w:t xml:space="preserve"> </w:t>
      </w:r>
      <w:r>
        <w:rPr>
          <w:rStyle w:val="VerbatimChar"/>
        </w:rPr>
        <w:t xml:space="preserve">L01-Analyse/MCC_Zusammenfassung_Onkologische_Therapieziele.docx</w:t>
      </w:r>
    </w:p>
    <w:p>
      <w:pPr>
        <w:pStyle w:val="Compact"/>
        <w:numPr>
          <w:ilvl w:val="0"/>
          <w:numId w:val="1006"/>
        </w:numPr>
      </w:pPr>
      <w:r>
        <w:t xml:space="preserve">eLTSS-Baustein:</w:t>
      </w:r>
      <w:r>
        <w:t xml:space="preserve"> </w:t>
      </w:r>
      <w:r>
        <w:rPr>
          <w:rStyle w:val="VerbatimChar"/>
        </w:rPr>
        <w:t xml:space="preserve">L01-Analyse/elTSS_Zusammenfassung_Onkologische_Therapieziele.docx</w:t>
      </w:r>
    </w:p>
    <w:p>
      <w:pPr>
        <w:pStyle w:val="Compact"/>
        <w:numPr>
          <w:ilvl w:val="0"/>
          <w:numId w:val="1006"/>
        </w:numPr>
      </w:pPr>
      <w:r>
        <w:t xml:space="preserve">mCODE-Baustein:</w:t>
      </w:r>
      <w:r>
        <w:t xml:space="preserve"> </w:t>
      </w:r>
      <w:r>
        <w:rPr>
          <w:rStyle w:val="VerbatimChar"/>
        </w:rPr>
        <w:t xml:space="preserve">L01-Analyse/mcode-stu4-summary.docx</w:t>
      </w:r>
    </w:p>
    <w:p>
      <w:pPr>
        <w:pStyle w:val="Compact"/>
        <w:numPr>
          <w:ilvl w:val="0"/>
          <w:numId w:val="1006"/>
        </w:numPr>
      </w:pPr>
      <w:r>
        <w:t xml:space="preserve">PCO-Baustein:</w:t>
      </w:r>
      <w:r>
        <w:t xml:space="preserve"> </w:t>
      </w:r>
      <w:r>
        <w:rPr>
          <w:rStyle w:val="VerbatimChar"/>
        </w:rPr>
        <w:t xml:space="preserve">L01-Analyse/pco-ig-summary.docx</w:t>
      </w:r>
    </w:p>
    <w:p>
      <w:pPr>
        <w:pStyle w:val="Compact"/>
        <w:numPr>
          <w:ilvl w:val="0"/>
          <w:numId w:val="1006"/>
        </w:numPr>
      </w:pPr>
      <w:r>
        <w:t xml:space="preserve">Hintergrund Hämatologie-Adaption:</w:t>
      </w:r>
      <w:r>
        <w:t xml:space="preserve"> </w:t>
      </w:r>
      <w:r>
        <w:rPr>
          <w:rStyle w:val="VerbatimChar"/>
        </w:rPr>
        <w:t xml:space="preserve">visualisierung-therapieziel/ig-page-haematology-adaptation.md</w:t>
      </w:r>
    </w:p>
    <w:p>
      <w:pPr>
        <w:pStyle w:val="Compact"/>
        <w:numPr>
          <w:ilvl w:val="0"/>
          <w:numId w:val="1006"/>
        </w:numPr>
      </w:pPr>
      <w:r>
        <w:t xml:space="preserve">Versorgungsforschungs-Evidenz:</w:t>
      </w:r>
      <w:r>
        <w:t xml:space="preserve"> </w:t>
      </w:r>
      <w:r>
        <w:rPr>
          <w:rStyle w:val="VerbatimChar"/>
        </w:rPr>
        <w:t xml:space="preserve">visualisierung-therapieziel/leitlinienadhaerenz-evidenz.md</w:t>
      </w:r>
    </w:p>
    <w:bookmarkEnd w:id="29"/>
    <w:bookmarkEnd w:id="30"/>
    <w:sectPr w:rsidR="00FC693F" w:rsidRPr="0006063C" w:rsidSect="00034616">
      <w:headerReference r:id="rId9" w:type="default"/>
      <w:footerReference r:id="rId10" w:type="default"/>
      <w:pgSz w:h="15840" w:w="12240"/>
      <w:pgMar w:bottom="1417" w:footer="680" w:gutter="0" w:header="680" w:left="1417" w:right="141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Fira Sans" w:hAnsi="Fira Sans" w:cs="Fira Sans" w:eastAsia="Fira Sans"/>
        <w:color w:val="9D9D9D"/>
        <w:sz w:val="16"/>
      </w:rPr>
      <w:t>BIH-CEI · Gematik KIG Onkologische Therapieziele · unoffizielle Vorlage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260000" cy="55339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ih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0000" cy="55339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300" w:lineRule="auto"/>
    </w:pPr>
    <w:rPr>
      <w:rFonts w:ascii="Fira Sans" w:cs="Fira Sans" w:eastAsia="Fira Sans" w:hAnsi="Fira Sans"/>
      <w:color w:val="00000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280"/>
      <w:outlineLvl w:val="0"/>
    </w:pPr>
    <w:rPr>
      <w:rFonts w:ascii="Fira Sans" w:asciiTheme="majorHAnsi" w:cs="Fira Sans" w:cstheme="majorBidi" w:eastAsia="Fira Sans" w:eastAsiaTheme="majorEastAsia" w:hAnsi="Fira Sans" w:hAnsiTheme="majorHAnsi"/>
      <w:b/>
      <w:bCs/>
      <w:color w:val="003754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00"/>
      <w:outlineLvl w:val="1"/>
    </w:pPr>
    <w:rPr>
      <w:rFonts w:ascii="Fira Sans" w:asciiTheme="majorHAnsi" w:cs="Fira Sans" w:cstheme="majorBidi" w:eastAsia="Fira Sans" w:eastAsiaTheme="majorEastAsia" w:hAnsi="Fira Sans" w:hAnsiTheme="majorHAnsi"/>
      <w:b/>
      <w:bCs/>
      <w:color w:val="70ACC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00"/>
      <w:outlineLvl w:val="2"/>
    </w:pPr>
    <w:rPr>
      <w:rFonts w:ascii="Fira Sans" w:asciiTheme="majorHAnsi" w:cs="Fira Sans" w:cstheme="majorBidi" w:eastAsia="Fira Sans" w:eastAsiaTheme="majorEastAsia" w:hAnsi="Fira Sans" w:hAnsiTheme="majorHAnsi"/>
      <w:b/>
      <w:bCs/>
      <w:color w:val="723C5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200"/>
      <w:outlineLvl w:val="3"/>
    </w:pPr>
    <w:rPr>
      <w:rFonts w:ascii="Fira Sans" w:asciiTheme="majorHAnsi" w:cs="Fira Sans" w:cstheme="majorBidi" w:eastAsia="Fira Sans" w:eastAsiaTheme="majorEastAsia" w:hAnsi="Fira Sans" w:hAnsiTheme="majorHAnsi"/>
      <w:b/>
      <w:bCs/>
      <w:i/>
      <w:iCs/>
      <w:color w:val="4C626C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40" w:before="0" w:line="240" w:lineRule="auto"/>
      <w:contextualSpacing/>
    </w:pPr>
    <w:rPr>
      <w:rFonts w:ascii="Fira Sans" w:asciiTheme="majorHAnsi" w:cs="Fira Sans" w:cstheme="majorBidi" w:eastAsia="Fira Sans" w:eastAsiaTheme="majorEastAsia" w:hAnsi="Fira Sans" w:hAnsiTheme="majorHAnsi"/>
      <w:b/>
      <w:color w:val="00375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</w:pPr>
    <w:rPr>
      <w:rFonts w:ascii="Fira Sans" w:asciiTheme="majorHAnsi" w:cs="Fira Sans" w:cstheme="majorBidi" w:eastAsia="Fira Sans" w:eastAsiaTheme="majorEastAsia" w:hAnsi="Fira Sans" w:hAnsiTheme="majorHAnsi"/>
      <w:b w:val="0"/>
      <w:i/>
      <w:iCs/>
      <w:color w:val="70ACC0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Fira Sans" w:cs="Fira Sans" w:eastAsia="Fira Sans" w:hAnsi="Fira Sans"/>
      <w:color w:val="000000"/>
      <w:sz w:val="22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Fira Sans" w:cs="Fira Sans" w:eastAsia="Fira Sans" w:hAnsi="Fira Sans"/>
      <w:color w:val="000000"/>
      <w:sz w:val="22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ind w:left="283"/>
    </w:pPr>
    <w:rPr>
      <w:rFonts w:ascii="Fira Sans" w:cs="Fira Sans" w:eastAsia="Fira Sans" w:hAnsi="Fira Sans"/>
      <w:i/>
      <w:iCs/>
      <w:color w:val="723C5D"/>
      <w:sz w:val="22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Fira Sans" w:cs="Fira Sans" w:eastAsia="Fira Sans" w:hAnsi="Fira Sans"/>
      <w:b/>
      <w:bCs/>
      <w:color w:val="4C626C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283" w:right="936"/>
    </w:pPr>
    <w:rPr>
      <w:rFonts w:ascii="Fira Sans" w:cs="Fira Sans" w:eastAsia="Fira Sans" w:hAnsi="Fira Sans"/>
      <w:b/>
      <w:bCs/>
      <w:i/>
      <w:iCs/>
      <w:color w:val="723C5D"/>
      <w:sz w:val="22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Fira Sans" w:cs="Fira Sans" w:eastAsia="Fira Sans" w:hAnsi="Fira Sans"/>
      <w:sz w:val="20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Compact" w:type="paragraph">
    <w:name w:val="Compact"/>
    <w:basedOn w:val="Normal"/>
    <w:pPr>
      <w:spacing w:after="0" w:line="240" w:lineRule="auto"/>
    </w:pPr>
    <w:rPr>
      <w:rFonts w:ascii="Fira Sans" w:cs="Fira Sans" w:hAnsi="Fira Sans"/>
      <w:sz w:val="20"/>
    </w:rPr>
  </w:style>
  <w:style w:styleId="Table" w:type="table">
    <w:name w:val="Table"/>
    <w:basedOn w:val="TableNormal"/>
    <w:uiPriority w:val="59"/>
    <w:rPr>
      <w:rFonts w:ascii="Fira Sans" w:cs="Fira Sans" w:hAnsi="Fira Sans"/>
      <w:sz w:val="20"/>
    </w:rPr>
    <w:tblPr>
      <w:tblBorders>
        <w:top w:color="70ACC0" w:space="0" w:sz="4" w:val="single"/>
        <w:left w:color="70ACC0" w:space="0" w:sz="4" w:val="single"/>
        <w:bottom w:color="70ACC0" w:space="0" w:sz="4" w:val="single"/>
        <w:right w:color="70ACC0" w:space="0" w:sz="4" w:val="single"/>
        <w:insideH w:color="70ACC0" w:space="0" w:sz="4" w:val="single"/>
        <w:insideV w:color="70ACC0" w:space="0" w:sz="4" w:val="single"/>
      </w:tblBorders>
    </w:tblPr>
    <w:tblStylePr w:type="firstRow">
      <w:rPr>
        <w:b/>
        <w:color w:val="FFFFFF"/>
      </w:rPr>
      <w:tcPr>
        <w:shd w:color="auto" w:fill="003754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2026-05-18T08:04:03Z</dcterms:created>
  <dcterms:modified xsi:type="dcterms:W3CDTF">2026-05-18T08:04:03Z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