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a6204ed39982e6022221fda3312add38ef2336d"/>
    <w:p>
      <w:pPr>
        <w:pStyle w:val="Heading1"/>
      </w:pPr>
      <w:r>
        <w:t xml:space="preserve">Beispiel: Referenzierung einer S3-Leitlinien-Empfehlung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rPr>
          <w:b/>
          <w:bCs/>
        </w:rPr>
        <w:t xml:space="preserve">Zweck:</w:t>
      </w:r>
      <w:r>
        <w:t xml:space="preserve"> </w:t>
      </w:r>
      <w:r>
        <w:t xml:space="preserve">Konzeptionelles Beispiel, wie unsere Spezifikation eine Empfehlung aus einer existierenden onkologischen S3-Leitlinie in der Patient*innenakte sichtbar macht. Fokus liegt auf der</w:t>
      </w:r>
      <w:r>
        <w:t xml:space="preserve"> </w:t>
      </w:r>
      <w:r>
        <w:rPr>
          <w:b/>
          <w:bCs/>
        </w:rPr>
        <w:t xml:space="preserve">Verlinkbarkeit</w:t>
      </w:r>
      <w:r>
        <w:t xml:space="preserve"> </w:t>
      </w:r>
      <w:r>
        <w:t xml:space="preserve">— nicht auf der detaillierten technischen Umsetzung (diese folgt in LG-03).</w:t>
      </w:r>
    </w:p>
    <w:bookmarkStart w:id="20" w:name="beispielquelle"/>
    <w:p>
      <w:pPr>
        <w:pStyle w:val="Heading2"/>
      </w:pPr>
      <w:r>
        <w:t xml:space="preserve">Beispielquelle</w:t>
      </w:r>
    </w:p>
    <w:p>
      <w:pPr>
        <w:pStyle w:val="FirstParagraph"/>
      </w:pPr>
      <w:r>
        <w:rPr>
          <w:b/>
          <w:bCs/>
        </w:rPr>
        <w:t xml:space="preserve">Leitlinienprogramm Onkologie (DGVS, DKG, AWMF) — S3-Leitlinie Kolorektales Karzinom</w:t>
      </w:r>
      <w:r>
        <w:t xml:space="preserve">, AWMF-Reg.-Nr. 021/007OL, Langversion 2.1 (Januar 2019, Living Guideline). Online:</w:t>
      </w:r>
      <w:r>
        <w:t xml:space="preserve"> </w:t>
      </w:r>
      <w:hyperlink r:id="rId19">
        <w:r>
          <w:rPr>
            <w:rStyle w:val="Hyperlink"/>
          </w:rPr>
          <w:t xml:space="preserve">leitlinienprogramm-onkologie.de/leitlinien/kolorektales-karzinom</w:t>
        </w:r>
      </w:hyperlink>
    </w:p>
    <w:p>
      <w:pPr>
        <w:pStyle w:val="BodyText"/>
      </w:pPr>
      <w:r>
        <w:rPr>
          <w:b/>
          <w:bCs/>
        </w:rPr>
        <w:t xml:space="preserve">Beispielempfehlung 8.27</w:t>
      </w:r>
      <w:r>
        <w:t xml:space="preserve"> </w:t>
      </w:r>
      <w:r>
        <w:t xml:space="preserve">(Erstlinientherapie nicht-resektables metastasiertes KRK):</w:t>
      </w:r>
    </w:p>
    <w:p>
      <w:pPr>
        <w:pStyle w:val="BlockText"/>
      </w:pPr>
      <w:r>
        <w:t xml:space="preserve">"In der Erstlinientherapie soll bei Patienten mit nicht-resektablem metastasiertem kolorektalem Karzinom (mKRK) eine Kombinationschemotherapie (FOLFOX, FOLFIRI oder XELOX) angeboten werden. Bei linksseitigen, RAS-Wildtyp-Tumoren soll die Kombination mit einem anti-EGFR-Antikörper bevorzugt werden."</w:t>
      </w:r>
    </w:p>
    <w:p>
      <w:pPr>
        <w:pStyle w:val="BlockText"/>
      </w:pPr>
      <w:r>
        <w:rPr>
          <w:i/>
          <w:iCs/>
        </w:rPr>
        <w:t xml:space="preserve">Empfehlungsstärke A · LoE 1b · Konsens</w:t>
      </w:r>
    </w:p>
    <w:bookmarkEnd w:id="20"/>
    <w:bookmarkStart w:id="21" w:name="abbildung-in-der-spec--konzeptionell"/>
    <w:p>
      <w:pPr>
        <w:pStyle w:val="Heading2"/>
      </w:pPr>
      <w:r>
        <w:t xml:space="preserve">Abbildung in der Spec — konzeptionell</w:t>
      </w:r>
    </w:p>
    <w:p>
      <w:pPr>
        <w:pStyle w:val="FirstParagraph"/>
      </w:pPr>
      <w:r>
        <w:t xml:space="preserve">Zwei Verlinkungsebenen ergeben das angestrebte "Verweisbild":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Leitlinienempfehlung als eigenes Artefakt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PlanDefinition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KIGORecommendationDefinition</w:t>
      </w:r>
      <w:r>
        <w:t xml:space="preserve">-Profil). Trägt eine stabile Canonical-URL, eine Zitation und einen Tiefenlink auf die genaue Empfehlungs-Anker-Stelle im Leitlinien-PDF (über</w:t>
      </w:r>
      <w:r>
        <w:t xml:space="preserve"> </w:t>
      </w:r>
      <w:r>
        <w:rPr>
          <w:rStyle w:val="VerbatimChar"/>
        </w:rPr>
        <w:t xml:space="preserve">relatedArtifact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Konkrete Therapielinie</w:t>
      </w:r>
      <w:r>
        <w:t xml:space="preserve"> </w:t>
      </w:r>
      <w:r>
        <w:t xml:space="preserve">(z. B. ein</w:t>
      </w:r>
      <w:r>
        <w:t xml:space="preserve"> </w:t>
      </w:r>
      <w:r>
        <w:rPr>
          <w:rStyle w:val="VerbatimChar"/>
        </w:rPr>
        <w:t xml:space="preserve">MedicationRequest</w:t>
      </w:r>
      <w:r>
        <w:t xml:space="preserve"> </w:t>
      </w:r>
      <w:r>
        <w:t xml:space="preserve">für mFOLFOX6) verweist über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 </w:t>
      </w:r>
      <w:r>
        <w:t xml:space="preserve">auf diese Empfehlung. Damit ist jede tatsächlich verordnete Linie eindeutig ihrer normativen Quelle zuordenbar.</w:t>
      </w:r>
    </w:p>
    <w:bookmarkEnd w:id="21"/>
    <w:bookmarkStart w:id="22" w:name="was-die-visualisierung-damit-zeigt"/>
    <w:p>
      <w:pPr>
        <w:pStyle w:val="Heading2"/>
      </w:pPr>
      <w:r>
        <w:t xml:space="preserve">Was die Visualisierung damit zeigt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 Standardfall:</w:t>
      </w:r>
      <w:r>
        <w:t xml:space="preserve"> </w:t>
      </w:r>
      <w:r>
        <w:t xml:space="preserve">"1L mFOLFOX6 — folgt S3-Leitlinie KRK, Empfehlung 8.27" als kompakte Verweisanzeige; Klick öffnet das PDF an der Empfehlungs-Stelle.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Bei Abweichung:</w:t>
      </w:r>
      <w:r>
        <w:t xml:space="preserve"> </w:t>
      </w:r>
      <w:r>
        <w:t xml:space="preserve">dieselbe Linie als</w:t>
      </w:r>
      <w:r>
        <w:t xml:space="preserve"> </w:t>
      </w:r>
      <w:r>
        <w:rPr>
          <w:rStyle w:val="VerbatimChar"/>
        </w:rPr>
        <w:t xml:space="preserve">KIGOCarePlan</w:t>
      </w:r>
      <w:r>
        <w:t xml:space="preserve"> </w:t>
      </w:r>
      <w:r>
        <w:t xml:space="preserve">mit eigener Detailbeschreibung und Begründung; der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-Verweis bleibt als "abgewichen von" sichtbar (siehe Architektur-Baustein, Sektion "Fallback-Logik").</w:t>
      </w:r>
    </w:p>
    <w:bookmarkEnd w:id="22"/>
    <w:bookmarkStart w:id="23" w:name="was-die-spec-dafür-leisten-muss"/>
    <w:p>
      <w:pPr>
        <w:pStyle w:val="Heading2"/>
      </w:pPr>
      <w:r>
        <w:t xml:space="preserve">Was die Spec dafür leisten muss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instantiatesCanonical</w:t>
      </w:r>
      <w:r>
        <w:t xml:space="preserve"> </w:t>
      </w:r>
      <w:r>
        <w:t xml:space="preserve">als MustSupport auf jedem Therapie-Request/-Event-Profil.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relatedArtifact</w:t>
      </w:r>
      <w:r>
        <w:t xml:space="preserve"> </w:t>
      </w:r>
      <w:r>
        <w:t xml:space="preserve">als MustSupport auf</w:t>
      </w:r>
      <w:r>
        <w:t xml:space="preserve"> </w:t>
      </w:r>
      <w:r>
        <w:rPr>
          <w:rStyle w:val="VerbatimChar"/>
        </w:rPr>
        <w:t xml:space="preserve">KIGORecommendationDefinition</w:t>
      </w:r>
      <w:r>
        <w:t xml:space="preserve"> </w:t>
      </w:r>
      <w:r>
        <w:t xml:space="preserve">mit Citation, URL (idealerweise Tiefenlink) und Type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Stabile Canonical-Namenskonvention je Leitlinie/Empfehlung (Versionierung).</w:t>
      </w:r>
    </w:p>
    <w:p>
      <w:pPr>
        <w:pStyle w:val="Compact"/>
        <w:numPr>
          <w:ilvl w:val="0"/>
          <w:numId w:val="1003"/>
        </w:numPr>
      </w:pPr>
      <w:r>
        <w:t xml:space="preserve">Pflegeprozess mit der Geschäftsstelle Leitlinienprogramm Onkologie für die maschinenlesbare Empfehlungsliste pro Leitlinien-Update.</w:t>
      </w:r>
    </w:p>
    <w:bookmarkEnd w:id="23"/>
    <w:bookmarkStart w:id="24" w:name="bewertungsangaben-optional"/>
    <w:p>
      <w:pPr>
        <w:pStyle w:val="Heading2"/>
      </w:pPr>
      <w:r>
        <w:t xml:space="preserve">Bewertungsangaben (optional)</w:t>
      </w:r>
    </w:p>
    <w:p>
      <w:pPr>
        <w:pStyle w:val="FirstParagraph"/>
      </w:pPr>
      <w:r>
        <w:t xml:space="preserve">Die Empfehlungsstärke (A/B/0/soll nicht), Level of Evidence (1a–5) und Konsensstärke kommen aus dem AWMF-Schema und werden, sofern eingebunden, als Extensions am Empfehlungsartefakt geführt. Ein</w:t>
      </w:r>
      <w:r>
        <w:t xml:space="preserve"> </w:t>
      </w:r>
      <w:r>
        <w:rPr>
          <w:b/>
          <w:bCs/>
        </w:rPr>
        <w:t xml:space="preserve">AWMF↔GRADE-Mapping</w:t>
      </w:r>
      <w:r>
        <w:t xml:space="preserve"> </w:t>
      </w:r>
      <w:r>
        <w:t xml:space="preserve">kann optional als</w:t>
      </w:r>
      <w:r>
        <w:t xml:space="preserve"> </w:t>
      </w:r>
      <w:r>
        <w:rPr>
          <w:rStyle w:val="VerbatimChar"/>
        </w:rPr>
        <w:t xml:space="preserve">ConceptMap</w:t>
      </w:r>
      <w:r>
        <w:t xml:space="preserve"> </w:t>
      </w:r>
      <w:r>
        <w:t xml:space="preserve">mitgeliefert werden, damit international anschlussfähige Auswertungen möglich bleiben. Tiefere Bewertungsmodellierung (</w:t>
      </w:r>
      <w:r>
        <w:rPr>
          <w:rStyle w:val="VerbatimChar"/>
        </w:rPr>
        <w:t xml:space="preserve">qualityOfEvidence</w:t>
      </w:r>
      <w:r>
        <w:t xml:space="preserve"> </w:t>
      </w:r>
      <w:r>
        <w:t xml:space="preserve">etc. aus CPG-on-FHIR) ist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für jede Empfehlung erforderlich.</w:t>
      </w:r>
    </w:p>
    <w:bookmarkEnd w:id="24"/>
    <w:bookmarkStart w:id="27" w:name="quellen"/>
    <w:p>
      <w:pPr>
        <w:pStyle w:val="Heading2"/>
      </w:pPr>
      <w:r>
        <w:t xml:space="preserve">Quellen</w:t>
      </w:r>
    </w:p>
    <w:p>
      <w:pPr>
        <w:pStyle w:val="Compact"/>
        <w:numPr>
          <w:ilvl w:val="0"/>
          <w:numId w:val="1004"/>
        </w:numPr>
      </w:pPr>
      <w:r>
        <w:t xml:space="preserve">S3-Leitlinie Kolorektales Karzinom, AWMF 021/007OL:</w:t>
      </w:r>
      <w:r>
        <w:t xml:space="preserve"> </w:t>
      </w:r>
      <w:hyperlink r:id="rId19">
        <w:r>
          <w:rPr>
            <w:rStyle w:val="Hyperlink"/>
          </w:rPr>
          <w:t xml:space="preserve">leitlinienprogramm-onkologie.de</w:t>
        </w:r>
      </w:hyperlink>
    </w:p>
    <w:p>
      <w:pPr>
        <w:pStyle w:val="Compact"/>
        <w:numPr>
          <w:ilvl w:val="0"/>
          <w:numId w:val="1004"/>
        </w:numPr>
      </w:pPr>
      <w:r>
        <w:t xml:space="preserve">AWMF-Regelwerk Leitlinien:</w:t>
      </w:r>
      <w:r>
        <w:t xml:space="preserve"> </w:t>
      </w:r>
      <w:hyperlink r:id="rId25">
        <w:r>
          <w:rPr>
            <w:rStyle w:val="Hyperlink"/>
          </w:rPr>
          <w:t xml:space="preserve">awmf.org/regelwerk</w:t>
        </w:r>
      </w:hyperlink>
    </w:p>
    <w:p>
      <w:pPr>
        <w:pStyle w:val="Compact"/>
        <w:numPr>
          <w:ilvl w:val="0"/>
          <w:numId w:val="1004"/>
        </w:numPr>
      </w:pPr>
      <w:r>
        <w:t xml:space="preserve">HL7 CPG-on-FHIR Profiles:</w:t>
      </w:r>
      <w:r>
        <w:t xml:space="preserve"> </w:t>
      </w:r>
      <w:hyperlink r:id="rId26">
        <w:r>
          <w:rPr>
            <w:rStyle w:val="Hyperlink"/>
          </w:rPr>
          <w:t xml:space="preserve">build.fhir.org/ig/HL7/cqf-recommendations/en/profiles.html</w:t>
        </w:r>
      </w:hyperlink>
    </w:p>
    <w:p>
      <w:pPr>
        <w:pStyle w:val="Compact"/>
        <w:numPr>
          <w:ilvl w:val="0"/>
          <w:numId w:val="1004"/>
        </w:numPr>
      </w:pPr>
      <w:r>
        <w:t xml:space="preserve">Technische Details der Profilierung folgen in LG-03 (Implementation Guide).</w:t>
      </w:r>
    </w:p>
    <w:bookmarkEnd w:id="27"/>
    <w:bookmarkEnd w:id="28"/>
    <w:sectPr w:rsidR="00FC693F" w:rsidRPr="0006063C" w:rsidSect="00034616">
      <w:headerReference r:id="rId9" w:type="default"/>
      <w:footerReference r:id="rId10" w:type="default"/>
      <w:pgSz w:h="15840" w:w="12240"/>
      <w:pgMar w:bottom="1417" w:footer="680" w:gutter="0" w:header="68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ira Sans" w:hAnsi="Fira Sans" w:cs="Fira Sans" w:eastAsia="Fira Sans"/>
        <w:color w:val="9D9D9D"/>
        <w:sz w:val="16"/>
      </w:rPr>
      <w:t>BIH-CEI · Gematik KIG Onkologische Therapieziele · unoffizielle Vorlage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60000" cy="5533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h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533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Fira Sans" w:cs="Fira Sans" w:eastAsia="Fira Sans" w:hAnsi="Fira Sans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outlineLvl w:val="0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00375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0ACC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23C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Fira Sans" w:asciiTheme="majorHAnsi" w:cs="Fira Sans" w:cstheme="majorBidi" w:eastAsia="Fira Sans" w:eastAsiaTheme="majorEastAsia" w:hAnsi="Fira Sans" w:hAnsiTheme="majorHAnsi"/>
      <w:b/>
      <w:bCs/>
      <w:i/>
      <w:iCs/>
      <w:color w:val="4C626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Fira Sans" w:asciiTheme="majorHAnsi" w:cs="Fira Sans" w:cstheme="majorBidi" w:eastAsia="Fira Sans" w:eastAsiaTheme="majorEastAsia" w:hAnsi="Fira Sans" w:hAnsiTheme="majorHAnsi"/>
      <w:b/>
      <w:color w:val="00375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Fira Sans" w:asciiTheme="majorHAnsi" w:cs="Fira Sans" w:cstheme="majorBidi" w:eastAsia="Fira Sans" w:eastAsiaTheme="majorEastAsia" w:hAnsi="Fira Sans" w:hAnsiTheme="majorHAnsi"/>
      <w:b w:val="0"/>
      <w:i/>
      <w:iCs/>
      <w:color w:val="70ACC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283"/>
    </w:pPr>
    <w:rPr>
      <w:rFonts w:ascii="Fira Sans" w:cs="Fira Sans" w:eastAsia="Fira Sans" w:hAnsi="Fira Sans"/>
      <w:i/>
      <w:iCs/>
      <w:color w:val="723C5D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cs="Fira Sans" w:eastAsia="Fira Sans" w:hAnsi="Fira Sans"/>
      <w:b/>
      <w:bCs/>
      <w:color w:val="4C626C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283" w:right="936"/>
    </w:pPr>
    <w:rPr>
      <w:rFonts w:ascii="Fira Sans" w:cs="Fira Sans" w:eastAsia="Fira Sans" w:hAnsi="Fira Sans"/>
      <w:b/>
      <w:bCs/>
      <w:i/>
      <w:iCs/>
      <w:color w:val="723C5D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Fira Sans" w:cs="Fira Sans" w:eastAsia="Fira Sans" w:hAnsi="Fira San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ompact" w:type="paragraph">
    <w:name w:val="Compact"/>
    <w:basedOn w:val="Normal"/>
    <w:pPr>
      <w:spacing w:after="0" w:line="240" w:lineRule="auto"/>
    </w:pPr>
    <w:rPr>
      <w:rFonts w:ascii="Fira Sans" w:cs="Fira Sans" w:hAnsi="Fira Sans"/>
      <w:sz w:val="20"/>
    </w:rPr>
  </w:style>
  <w:style w:styleId="Table" w:type="table">
    <w:name w:val="Table"/>
    <w:basedOn w:val="TableNormal"/>
    <w:uiPriority w:val="59"/>
    <w:rPr>
      <w:rFonts w:ascii="Fira Sans" w:cs="Fira Sans" w:hAnsi="Fira Sans"/>
      <w:sz w:val="20"/>
    </w:rPr>
    <w:tblPr>
      <w:tblBorders>
        <w:top w:color="70ACC0" w:space="0" w:sz="4" w:val="single"/>
        <w:left w:color="70ACC0" w:space="0" w:sz="4" w:val="single"/>
        <w:bottom w:color="70ACC0" w:space="0" w:sz="4" w:val="single"/>
        <w:right w:color="70ACC0" w:space="0" w:sz="4" w:val="single"/>
        <w:insideH w:color="70ACC0" w:space="0" w:sz="4" w:val="single"/>
        <w:insideV w:color="70ACC0" w:space="0" w:sz="4" w:val="single"/>
      </w:tblBorders>
    </w:tblPr>
    <w:tblStylePr w:type="firstRow">
      <w:rPr>
        <w:b/>
        <w:color w:val="FFFFFF"/>
      </w:rPr>
      <w:tcPr>
        <w:shd w:color="auto" w:fill="003754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6" Target="https://build.fhir.org/ig/HL7/cqf-recommendations/en/profiles.html" TargetMode="External" /><Relationship Type="http://schemas.openxmlformats.org/officeDocument/2006/relationships/hyperlink" Id="rId25" Target="https://www.awmf.org/regelwerk/" TargetMode="External" /><Relationship Type="http://schemas.openxmlformats.org/officeDocument/2006/relationships/hyperlink" Id="rId19" Target="https://www.leitlinienprogramm-onkologie.de/leitlinien/kolorektales-karzin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build.fhir.org/ig/HL7/cqf-recommendations/en/profiles.html" TargetMode="External" /><Relationship Type="http://schemas.openxmlformats.org/officeDocument/2006/relationships/hyperlink" Id="rId25" Target="https://www.awmf.org/regelwerk/" TargetMode="External" /><Relationship Type="http://schemas.openxmlformats.org/officeDocument/2006/relationships/hyperlink" Id="rId19" Target="https://www.leitlinienprogramm-onkologie.de/leitlinien/kolorektales-karzinom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2026-05-18T08:07:24Z</dcterms:created>
  <dcterms:modified xsi:type="dcterms:W3CDTF">2026-05-18T08:07:24Z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