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X33fad4080f326cddc968367c0abd1febf290377"/>
    <w:p>
      <w:pPr>
        <w:pStyle w:val="Heading1"/>
      </w:pPr>
      <w:r>
        <w:t xml:space="preserve">HL7 CPG-on-FHIR — Analysebaustein „Onkologische Therapieziele"</w:t>
      </w:r>
    </w:p>
    <w:p>
      <w:pPr>
        <w:pStyle w:val="FirstParagraph"/>
      </w:pPr>
      <w:r>
        <w:t xml:space="preserve">Baustein für Liefergegenstand LG-01 · Gematik-Auftrag · BIH-CEI</w:t>
      </w:r>
    </w:p>
    <w:p>
      <w:pPr>
        <w:pStyle w:val="BodyText"/>
      </w:pPr>
      <w:r>
        <w:rPr>
          <w:b/>
          <w:bCs/>
        </w:rPr>
        <w:t xml:space="preserve">Quelle:</w:t>
      </w:r>
      <w:r>
        <w:t xml:space="preserve"> </w:t>
      </w:r>
      <w:r>
        <w:t xml:space="preserve">HL7</w:t>
      </w:r>
      <w:r>
        <w:t xml:space="preserve"> </w:t>
      </w:r>
      <w:r>
        <w:rPr>
          <w:i/>
          <w:iCs/>
        </w:rPr>
        <w:t xml:space="preserve">Clinical Practice Guidelines (CPG-on-FHIR) Implementation Guide</w:t>
      </w:r>
      <w:r>
        <w:t xml:space="preserve"> </w:t>
      </w:r>
      <w:r>
        <w:t xml:space="preserve">(v2.0.0 STU2, CI-Build Mai 2026; Package</w:t>
      </w:r>
      <w:r>
        <w:t xml:space="preserve"> </w:t>
      </w:r>
      <w:r>
        <w:rPr>
          <w:rStyle w:val="VerbatimChar"/>
        </w:rPr>
        <w:t xml:space="preserve">hl7.fhir.uv.cpg#2.0.0</w:t>
      </w:r>
      <w:r>
        <w:t xml:space="preserve">, FHIR R4). Maintained durch HL7 Clinical Decision Support / Clinical Quality Framework. Untersuchte Seiten:</w:t>
      </w:r>
      <w:r>
        <w:t xml:space="preserve"> </w:t>
      </w:r>
      <w:r>
        <w:rPr>
          <w:i/>
          <w:iCs/>
        </w:rPr>
        <w:t xml:space="preserve">Methodology</w:t>
      </w:r>
      <w:r>
        <w:t xml:space="preserve">,</w:t>
      </w:r>
      <w:r>
        <w:t xml:space="preserve"> </w:t>
      </w:r>
      <w:r>
        <w:rPr>
          <w:i/>
          <w:iCs/>
        </w:rPr>
        <w:t xml:space="preserve">Profiles</w:t>
      </w:r>
      <w:r>
        <w:t xml:space="preserve">.</w:t>
      </w:r>
    </w:p>
    <w:p>
      <w:pPr>
        <w:pStyle w:val="BodyText"/>
      </w:pPr>
      <w:r>
        <w:t xml:space="preserve">URLs:</w:t>
      </w:r>
      <w:r>
        <w:t xml:space="preserve"> </w:t>
      </w:r>
      <w:hyperlink r:id="rId19">
        <w:r>
          <w:rPr>
            <w:rStyle w:val="Hyperlink"/>
          </w:rPr>
          <w:t xml:space="preserve">build.fhir.org/ig/HL7/cqf-recommendations/en/methodology.html</w:t>
        </w:r>
      </w:hyperlink>
      <w:r>
        <w:t xml:space="preserve"> </w:t>
      </w:r>
      <w:r>
        <w:t xml:space="preserve">·</w:t>
      </w:r>
      <w:r>
        <w:t xml:space="preserve"> </w:t>
      </w:r>
      <w:hyperlink r:id="rId20">
        <w:r>
          <w:rPr>
            <w:rStyle w:val="Hyperlink"/>
          </w:rPr>
          <w:t xml:space="preserve">build.fhir.org/ig/HL7/cqf-recommendations/en/profiles.html</w:t>
        </w:r>
      </w:hyperlink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STU2, methodisch ausgereift, in Produktion bei CDC Opioid, WHO Antenatal Care, HEDIS Quality Measures. Tooling-Ökosystem (CQL, CQF Ruler, CDS Hooks Sandbox, CRMI) stabil.</w:t>
      </w:r>
    </w:p>
    <w:bookmarkStart w:id="21" w:name="Xc4f093abbf62775b211795a81e4f26dcecf7a72"/>
    <w:p>
      <w:pPr>
        <w:pStyle w:val="Heading2"/>
      </w:pPr>
      <w:r>
        <w:t xml:space="preserve">1. Übertragbares Muster: L1–L4-Continuum, Vier-Schritt-Methodik, Reasoning-Ressourcen</w:t>
      </w:r>
    </w:p>
    <w:p>
      <w:pPr>
        <w:pStyle w:val="FirstParagraph"/>
      </w:pPr>
      <w:r>
        <w:t xml:space="preserve">CPG-on-FHIR liefert ein</w:t>
      </w:r>
      <w:r>
        <w:t xml:space="preserve"> </w:t>
      </w:r>
      <w:r>
        <w:rPr>
          <w:b/>
          <w:bCs/>
        </w:rPr>
        <w:t xml:space="preserve">methodisches Framework</w:t>
      </w:r>
      <w:r>
        <w:t xml:space="preserve"> </w:t>
      </w:r>
      <w:r>
        <w:t xml:space="preserve">zur Überführung narrativer Leitlinien in ausführbare FHIR-Wissensartefakte. Zentrale Bausteine:</w:t>
      </w:r>
    </w:p>
    <w:p>
      <w:pPr>
        <w:pStyle w:val="BodyText"/>
      </w:pPr>
      <w:r>
        <w:rPr>
          <w:b/>
          <w:bCs/>
        </w:rPr>
        <w:t xml:space="preserve">Knowledge Representation Continuum (L1–L4):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L1 Narrativ</w:t>
      </w:r>
      <w:r>
        <w:t xml:space="preserve"> </w:t>
      </w:r>
      <w:r>
        <w:t xml:space="preserve">— Leitlinientext (S3-Leitlinien-Onkologie, ESMO Clinical Practice Guidelines)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L2 Semi-strukturiert</w:t>
      </w:r>
      <w:r>
        <w:t xml:space="preserve"> </w:t>
      </w:r>
      <w:r>
        <w:t xml:space="preserve">— Data Dictionary, Pseudo-Code, Flussdiagramme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L3 Strukturiert</w:t>
      </w:r>
      <w:r>
        <w:t xml:space="preserve"> </w:t>
      </w:r>
      <w:r>
        <w:t xml:space="preserve">— FHIR-Profile, CQL-Bibliotheken, ValueSets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L4 Ausführbar</w:t>
      </w:r>
      <w:r>
        <w:t xml:space="preserve"> </w:t>
      </w:r>
      <w:r>
        <w:t xml:space="preserve">— CDS Hooks / EHR Pathway Engine</w:t>
      </w:r>
    </w:p>
    <w:p>
      <w:pPr>
        <w:pStyle w:val="FirstParagraph"/>
      </w:pPr>
      <w:r>
        <w:t xml:space="preserve">Übergänge sind graduell und iterativ; Validierung auf L3 deckt Mehrdeutigkeiten in L1 auf.</w:t>
      </w:r>
    </w:p>
    <w:p>
      <w:pPr>
        <w:pStyle w:val="BodyText"/>
      </w:pPr>
      <w:r>
        <w:rPr>
          <w:b/>
          <w:bCs/>
        </w:rPr>
        <w:t xml:space="preserve">Vier-Schritt-Methodik: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</w:t>
      </w:r>
      <w:r>
        <w:t xml:space="preserve"> </w:t>
      </w:r>
      <w:r>
        <w:t xml:space="preserve">— Personas, Activities, Processes, Settings, Support (W-Fragen mit eigenen CodeSystemen)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Represent</w:t>
      </w:r>
      <w:r>
        <w:t xml:space="preserve"> </w:t>
      </w:r>
      <w:r>
        <w:t xml:space="preserve">— Data Dictionary + Pseudo-Code + Flussdiagramme als L2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Translate</w:t>
      </w:r>
      <w:r>
        <w:t xml:space="preserve"> </w:t>
      </w:r>
      <w:r>
        <w:t xml:space="preserve">— Content IG, Profile, CQL, ActivityDefinition, PlanDefinition, Extensions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Validate</w:t>
      </w:r>
      <w:r>
        <w:t xml:space="preserve"> </w:t>
      </w:r>
      <w:r>
        <w:t xml:space="preserve">— Conformance, Expert Review, Test-Szenarien (ExampleScenario), Unit/Komponenten-/Integrationstests (CQF Ruler, CDS Hooks Sandbox)</w:t>
      </w:r>
    </w:p>
    <w:p>
      <w:pPr>
        <w:pStyle w:val="FirstParagraph"/>
      </w:pPr>
      <w:r>
        <w:rPr>
          <w:b/>
          <w:bCs/>
        </w:rPr>
        <w:t xml:space="preserve">Vier Reasoning-Kernressourcen: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Library</w:t>
      </w:r>
      <w:r>
        <w:t xml:space="preserve"> </w:t>
      </w:r>
      <w:r>
        <w:t xml:space="preserve">— CQL-Logik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ActivityDefinition</w:t>
      </w:r>
      <w:r>
        <w:t xml:space="preserve"> </w:t>
      </w:r>
      <w:r>
        <w:t xml:space="preserve">— wiederverwendbare Aktivitätsschablone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PlanDefinition</w:t>
      </w:r>
      <w:r>
        <w:t xml:space="preserve"> </w:t>
      </w:r>
      <w:r>
        <w:t xml:space="preserve">— Empfehlung, Strategie oder Pfad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Measure</w:t>
      </w:r>
      <w:r>
        <w:t xml:space="preserve"> </w:t>
      </w:r>
      <w:r>
        <w:t xml:space="preserve">— Qualitätsmessung</w:t>
      </w:r>
    </w:p>
    <w:p>
      <w:pPr>
        <w:pStyle w:val="FirstParagraph"/>
      </w:pPr>
      <w:r>
        <w:rPr>
          <w:b/>
          <w:bCs/>
        </w:rPr>
        <w:t xml:space="preserve">Drei PlanDefinition-Anwendungen</w:t>
      </w:r>
      <w:r>
        <w:t xml:space="preserve"> </w:t>
      </w:r>
      <w:r>
        <w:t xml:space="preserve">(mit eigenen Profilen):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CPGRecommendationDefinition</w:t>
      </w:r>
      <w:r>
        <w:t xml:space="preserve"> </w:t>
      </w:r>
      <w:r>
        <w:t xml:space="preserve">— Event-Condition-Action-Regel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CPGStrategyDefinition</w:t>
      </w:r>
      <w:r>
        <w:t xml:space="preserve"> </w:t>
      </w:r>
      <w:r>
        <w:t xml:space="preserve">— sequenzierte Aktivitäten an Workflowpunkten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CPGPathwayDefinition</w:t>
      </w:r>
      <w:r>
        <w:t xml:space="preserve"> </w:t>
      </w:r>
      <w:r>
        <w:t xml:space="preserve">— längsschnittliche Orchestrierung mit mehreren Eintrittspunkten</w:t>
      </w:r>
    </w:p>
    <w:p>
      <w:pPr>
        <w:pStyle w:val="FirstParagraph"/>
      </w:pPr>
      <w:r>
        <w:rPr>
          <w:b/>
          <w:bCs/>
        </w:rPr>
        <w:t xml:space="preserve">Aktivitäts-Workflow (Definition → Request → Event):</w:t>
      </w:r>
      <w:r>
        <w:t xml:space="preserve"> </w:t>
      </w:r>
      <w:r>
        <w:t xml:space="preserve">Pro Aktivitätstyp je ein Definitions-, Request- und Event-Profil mit</w:t>
      </w:r>
      <w:r>
        <w:t xml:space="preserve"> </w:t>
      </w:r>
      <w:r>
        <w:rPr>
          <w:rStyle w:val="VerbatimChar"/>
        </w:rPr>
        <w:t xml:space="preserve">CPG</w:t>
      </w:r>
      <w:r>
        <w:t xml:space="preserve">-Präfix (z. B.</w:t>
      </w:r>
      <w:r>
        <w:t xml:space="preserve"> </w:t>
      </w:r>
      <w:r>
        <w:rPr>
          <w:rStyle w:val="VerbatimChar"/>
        </w:rPr>
        <w:t xml:space="preserve">CPGMedicationRequestActivity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CPGMedicationRequest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CPGMedicationAdministration</w:t>
      </w:r>
      <w:r>
        <w:t xml:space="preserve">). Verknüpfung über</w:t>
      </w:r>
      <w:r>
        <w:t xml:space="preserve"> </w:t>
      </w:r>
      <w:r>
        <w:rPr>
          <w:rStyle w:val="VerbatimChar"/>
        </w:rPr>
        <w:t xml:space="preserve">instantiatesCanonical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basedOn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Supporting-Information-Extensions</w:t>
      </w:r>
      <w:r>
        <w:t xml:space="preserve"> </w:t>
      </w:r>
      <w:r>
        <w:t xml:space="preserve">(FHIR-Base + CPG-spezifisch):</w:t>
      </w:r>
      <w:r>
        <w:t xml:space="preserve"> </w:t>
      </w:r>
      <w:r>
        <w:rPr>
          <w:rStyle w:val="VerbatimChar"/>
        </w:rPr>
        <w:t xml:space="preserve">qualityOfEvidence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strengthOfRecommendation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directionOfRecommendation</w:t>
      </w:r>
      <w:r>
        <w:t xml:space="preserve">. Bewertungssystem (GRADE, NHS, AHA/ACC etc.) ist nicht vorgeschrieben, MUSS aber deklariert werden.</w:t>
      </w:r>
    </w:p>
    <w:bookmarkEnd w:id="21"/>
    <w:bookmarkStart w:id="22" w:name="X838d2f5a1ee52ffa33615ffaee9131b694303bf"/>
    <w:p>
      <w:pPr>
        <w:pStyle w:val="Heading2"/>
      </w:pPr>
      <w:r>
        <w:t xml:space="preserve">2. Anwendungsbeispiel: Leitlinienkonformität vs. Abweichung</w:t>
      </w:r>
    </w:p>
    <w:p>
      <w:pPr>
        <w:pStyle w:val="FirstParagraph"/>
      </w:pPr>
      <w:r>
        <w:rPr>
          <w:b/>
          <w:bCs/>
        </w:rPr>
        <w:t xml:space="preserve">CDC Opioid Prescribing Recommendation 4</w:t>
      </w:r>
      <w:r>
        <w:t xml:space="preserve"> </w:t>
      </w:r>
      <w:r>
        <w:t xml:space="preserve">ist der Referenz-Use-Case für eine "Recommendation": Trigger bei</w:t>
      </w:r>
      <w:r>
        <w:t xml:space="preserve"> </w:t>
      </w:r>
      <w:r>
        <w:rPr>
          <w:rStyle w:val="VerbatimChar"/>
        </w:rPr>
        <w:t xml:space="preserve">medication-prescribe</w:t>
      </w:r>
      <w:r>
        <w:t xml:space="preserve">, CQL-Library mit Inclusion-Criteria (Alter, Komorbidität, MME-Schwelle),</w:t>
      </w:r>
      <w:r>
        <w:t xml:space="preserve"> </w:t>
      </w:r>
      <w:r>
        <w:rPr>
          <w:rStyle w:val="VerbatimChar"/>
        </w:rPr>
        <w:t xml:space="preserve">CPGCommunicationRequest</w:t>
      </w:r>
      <w:r>
        <w:t xml:space="preserve"> </w:t>
      </w:r>
      <w:r>
        <w:t xml:space="preserve">als Alert-Output.</w:t>
      </w:r>
    </w:p>
    <w:p>
      <w:pPr>
        <w:pStyle w:val="BodyText"/>
      </w:pPr>
      <w:r>
        <w:rPr>
          <w:b/>
          <w:bCs/>
        </w:rPr>
        <w:t xml:space="preserve">WHO Antenatal Care</w:t>
      </w:r>
      <w:r>
        <w:t xml:space="preserve"> </w:t>
      </w:r>
      <w:r>
        <w:t xml:space="preserve">demonstriert das "Pathway"-Pattern: acht Kontaktpunkte über die Schwangerschaft, jeder mit eigener Applicability-Logik und nachgeordneten Recommendations.</w:t>
      </w:r>
    </w:p>
    <w:p>
      <w:pPr>
        <w:pStyle w:val="BodyText"/>
      </w:pPr>
      <w:r>
        <w:t xml:space="preserve">Übertragen auf unsere Spec ergibt sich eine</w:t>
      </w:r>
      <w:r>
        <w:t xml:space="preserve"> </w:t>
      </w:r>
      <w:r>
        <w:rPr>
          <w:b/>
          <w:bCs/>
        </w:rPr>
        <w:t xml:space="preserve">Verweisbild-/Detailbild-Asymmetrie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Modellierung</w:t>
            </w:r>
          </w:p>
        </w:tc>
        <w:tc>
          <w:tcPr/>
          <w:p>
            <w:pPr>
              <w:pStyle w:val="Compact"/>
            </w:pPr>
            <w:r>
              <w:t xml:space="preserve">Visualisierung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Leitlinienkonform</w:t>
            </w:r>
          </w:p>
        </w:tc>
        <w:tc>
          <w:tcPr/>
          <w:p>
            <w:pPr>
              <w:pStyle w:val="Compact"/>
            </w:pPr>
            <w:r>
              <w:t xml:space="preserve">Verweis (</w:t>
            </w:r>
            <w:r>
              <w:rPr>
                <w:rStyle w:val="VerbatimChar"/>
              </w:rPr>
              <w:t xml:space="preserve">instantiatesCanonical</w:t>
            </w:r>
            <w:r>
              <w:t xml:space="preserve">) auf</w:t>
            </w:r>
            <w:r>
              <w:t xml:space="preserve"> </w:t>
            </w:r>
            <w:r>
              <w:rPr>
                <w:rStyle w:val="VerbatimChar"/>
              </w:rPr>
              <w:t xml:space="preserve">CPGRecommendationDefinition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CPGPathwayDefinition</w:t>
            </w:r>
          </w:p>
        </w:tc>
        <w:tc>
          <w:tcPr/>
          <w:p>
            <w:pPr>
              <w:pStyle w:val="Compact"/>
            </w:pPr>
            <w:r>
              <w:t xml:space="preserve">Kompakt: "folgt S3-Leitlinie X, Empfehlung Y"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Bewusste Abweichung (Präferenz, Komorbidität, Studienteilnahme)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CPGCarePlan</w:t>
            </w:r>
            <w:r>
              <w:t xml:space="preserve"> </w:t>
            </w:r>
            <w:r>
              <w:t xml:space="preserve">mit eigener Beschreibung, optional weiter</w:t>
            </w:r>
            <w:r>
              <w:t xml:space="preserve"> </w:t>
            </w:r>
            <w:r>
              <w:rPr>
                <w:rStyle w:val="VerbatimChar"/>
              </w:rPr>
              <w:t xml:space="preserve">instantiatesCanonical</w:t>
            </w:r>
            <w:r>
              <w:t xml:space="preserve"> </w:t>
            </w:r>
            <w:r>
              <w:t xml:space="preserve">+ Annotation</w:t>
            </w:r>
          </w:p>
        </w:tc>
        <w:tc>
          <w:tcPr/>
          <w:p>
            <w:pPr>
              <w:pStyle w:val="Compact"/>
            </w:pPr>
            <w:r>
              <w:t xml:space="preserve">Parallele Spur mit Begründung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Unbewusste Abweichung (Versorgungsdrift)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CPGCarePlan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CPGDetectedIssue</w:t>
            </w:r>
            <w:r>
              <w:t xml:space="preserve">-Flag</w:t>
            </w:r>
          </w:p>
        </w:tc>
        <w:tc>
          <w:tcPr/>
          <w:p>
            <w:pPr>
              <w:pStyle w:val="Compact"/>
            </w:pPr>
            <w:r>
              <w:t xml:space="preserve">Differenz sichtbar, Audit-Anker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Kontraindizierte Empfehlung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CPGCarePlan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CPGRecordDetectedIssueTask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CPGFlag</w:t>
            </w:r>
            <w:r>
              <w:t xml:space="preserve"> </w:t>
            </w:r>
            <w:r>
              <w:t xml:space="preserve">mit Begründung</w:t>
            </w:r>
          </w:p>
        </w:tc>
        <w:tc>
          <w:tcPr/>
          <w:p>
            <w:pPr>
              <w:pStyle w:val="Compact"/>
            </w:pPr>
            <w:r>
              <w:t xml:space="preserve">Empfehlung explizit als "nicht angewandt — Kontraindikation"</w:t>
            </w:r>
          </w:p>
        </w:tc>
      </w:tr>
    </w:tbl>
    <w:p>
      <w:pPr>
        <w:pStyle w:val="BodyText"/>
      </w:pPr>
      <w:r>
        <w:t xml:space="preserve">Die Versorgungsforschung (WiZen-Studie, Mamma-NCCN-Konkordanz, mCRC-AIO-Daten) zeigt 15–30 % strukturierte Abweichung — diese Asymmetrie ist also für jeden vierten bis fünften Verlauf relevant.</w:t>
      </w:r>
    </w:p>
    <w:bookmarkEnd w:id="22"/>
    <w:bookmarkStart w:id="23" w:name="X75942e91da74dc03af9b02fad0bb9c4be2f265a"/>
    <w:p>
      <w:pPr>
        <w:pStyle w:val="Heading2"/>
      </w:pPr>
      <w:r>
        <w:t xml:space="preserve">3. Lücken in CPG-on-FHIR und Lösungsansätze für unsere Spec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Lücke / Designentscheidung</w:t>
            </w:r>
          </w:p>
        </w:tc>
        <w:tc>
          <w:tcPr/>
          <w:p>
            <w:pPr>
              <w:pStyle w:val="Compact"/>
            </w:pPr>
            <w:r>
              <w:t xml:space="preserve">Lösungsansatz für unsere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Build-Status (STU2)</w:t>
            </w:r>
            <w:r>
              <w:t xml:space="preserve"> </w:t>
            </w:r>
            <w:r>
              <w:t xml:space="preserve">— Tooling ausgereift, aber nicht alle Tools (insb. ActivityDefinition-Authoring) sind editorseitig komfortabel</w:t>
            </w:r>
          </w:p>
        </w:tc>
        <w:tc>
          <w:tcPr/>
          <w:p>
            <w:pPr>
              <w:pStyle w:val="Compact"/>
            </w:pPr>
            <w:r>
              <w:t xml:space="preserve">Frühzeitig Tooling-Setup: VSCode + CQL-Plug-in, SUSHI/FSH für Profile, CQF Ruler als Validator. Eigene FSH-Templates für KIGO-Aktivitäten ableiten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CPG-Personas / Activity Type / Common Process CodeSysteme</w:t>
            </w:r>
            <w:r>
              <w:t xml:space="preserve"> </w:t>
            </w:r>
            <w:r>
              <w:t xml:space="preserve">sind international gehalten (US-/CDC-/WHO-zentriert)</w:t>
            </w:r>
          </w:p>
        </w:tc>
        <w:tc>
          <w:tcPr/>
          <w:p>
            <w:pPr>
              <w:pStyle w:val="Compact"/>
            </w:pPr>
            <w:r>
              <w:t xml:space="preserve">Eigenes CodeSystem</w:t>
            </w:r>
            <w:r>
              <w:t xml:space="preserve"> </w:t>
            </w:r>
            <w:r>
              <w:rPr>
                <w:rStyle w:val="VerbatimChar"/>
              </w:rPr>
              <w:t xml:space="preserve">kigo-onco-personas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kigo-onco-activity-type</w:t>
            </w:r>
            <w:r>
              <w:t xml:space="preserve"> </w:t>
            </w:r>
            <w:r>
              <w:t xml:space="preserve">ableiten; Mapping-Tabelle auf CPG-Common erstellen; bei generischen Konzepten direkt CPG-Common nutzen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Kein Bewertungssystem vorgeschrieben</w:t>
            </w:r>
            <w:r>
              <w:t xml:space="preserve"> </w:t>
            </w:r>
            <w:r>
              <w:t xml:space="preserve">(GRADE, NHS, etc. sind alle erlaubt)</w:t>
            </w:r>
          </w:p>
        </w:tc>
        <w:tc>
          <w:tcPr/>
          <w:p>
            <w:pPr>
              <w:pStyle w:val="Compact"/>
            </w:pPr>
            <w:r>
              <w:t xml:space="preserve">Für unsere Spec</w:t>
            </w:r>
            <w:r>
              <w:t xml:space="preserve"> </w:t>
            </w:r>
            <w:r>
              <w:rPr>
                <w:b/>
                <w:bCs/>
              </w:rPr>
              <w:t xml:space="preserve">GRADE</w:t>
            </w:r>
            <w:r>
              <w:t xml:space="preserve"> </w:t>
            </w:r>
            <w:r>
              <w:t xml:space="preserve">verbindlich festlegen — kompatibel mit S3-Leitlinien-Onkologie und EHA-/ESMO-Standard. Mapping-Doku für andere Systeme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IPS als Interoperabilitätsbasis</w:t>
            </w:r>
            <w:r>
              <w:t xml:space="preserve"> </w:t>
            </w:r>
            <w:r>
              <w:t xml:space="preserve">ist im CPG-IG empfohlen, aber unvollständig</w:t>
            </w:r>
          </w:p>
        </w:tc>
        <w:tc>
          <w:tcPr/>
          <w:p>
            <w:pPr>
              <w:pStyle w:val="Compact"/>
            </w:pPr>
            <w:r>
              <w:t xml:space="preserve">Für unsere Spec</w:t>
            </w:r>
            <w:r>
              <w:t xml:space="preserve"> </w:t>
            </w:r>
            <w:r>
              <w:rPr>
                <w:b/>
                <w:bCs/>
              </w:rPr>
              <w:t xml:space="preserve">MII KDS-Onkologie</w:t>
            </w:r>
            <w:r>
              <w:t xml:space="preserve"> </w:t>
            </w:r>
            <w:r>
              <w:t xml:space="preserve">als primärer Interop-Basis statt IPS; Mapping auf IPS/EPS für EHDS-Anschluss separat dokumentieren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MDT-Logik nicht explizit modelliert</w:t>
            </w:r>
            <w:r>
              <w:t xml:space="preserve"> </w:t>
            </w:r>
            <w:r>
              <w:t xml:space="preserve">— kein "Tumorboard-Entscheidung als Pathway-Knoten"-Pattern</w:t>
            </w:r>
          </w:p>
        </w:tc>
        <w:tc>
          <w:tcPr/>
          <w:p>
            <w:pPr>
              <w:pStyle w:val="Compact"/>
            </w:pPr>
            <w:r>
              <w:t xml:space="preserve">Eigene</w:t>
            </w:r>
            <w:r>
              <w:t xml:space="preserve"> </w:t>
            </w:r>
            <w:r>
              <w:rPr>
                <w:rStyle w:val="VerbatimChar"/>
              </w:rPr>
              <w:t xml:space="preserve">KIGOTumorboardDecision</w:t>
            </w:r>
            <w:r>
              <w:t xml:space="preserve">-Aktivität (auf</w:t>
            </w:r>
            <w:r>
              <w:t xml:space="preserve"> </w:t>
            </w:r>
            <w:r>
              <w:rPr>
                <w:rStyle w:val="VerbatimChar"/>
              </w:rPr>
              <w:t xml:space="preserve">CPGServiceRequestActivity</w:t>
            </w:r>
            <w:r>
              <w:t xml:space="preserve"> </w:t>
            </w:r>
            <w:r>
              <w:t xml:space="preserve">basierend) mit</w:t>
            </w:r>
            <w:r>
              <w:t xml:space="preserve"> </w:t>
            </w:r>
            <w:r>
              <w:rPr>
                <w:rStyle w:val="VerbatimChar"/>
              </w:rPr>
              <w:t xml:space="preserve">KIGOClinicalImpression</w:t>
            </w:r>
            <w:r>
              <w:t xml:space="preserve"> </w:t>
            </w:r>
            <w:r>
              <w:t xml:space="preserve">als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CarePlan-Detail bei Abweichung</w:t>
            </w:r>
            <w:r>
              <w:t xml:space="preserve"> </w:t>
            </w:r>
            <w:r>
              <w:t xml:space="preserve">ist im IG nur skizziert, nicht als Pflicht-Pattern ausformuliert</w:t>
            </w:r>
          </w:p>
        </w:tc>
        <w:tc>
          <w:tcPr/>
          <w:p>
            <w:pPr>
              <w:pStyle w:val="Compact"/>
            </w:pPr>
            <w:r>
              <w:t xml:space="preserve">Pflicht-Pattern in unserer Spec: bei Abweichung von einer referenzierten Recommendation MUSS ein</w:t>
            </w:r>
            <w:r>
              <w:t xml:space="preserve"> </w:t>
            </w:r>
            <w:r>
              <w:rPr>
                <w:rStyle w:val="VerbatimChar"/>
              </w:rPr>
              <w:t xml:space="preserve">KIGOCarePlan</w:t>
            </w:r>
            <w:r>
              <w:t xml:space="preserve">-Detail mit codiertem</w:t>
            </w:r>
            <w:r>
              <w:t xml:space="preserve"> </w:t>
            </w:r>
            <w:r>
              <w:rPr>
                <w:rStyle w:val="VerbatimChar"/>
              </w:rPr>
              <w:t xml:space="preserve">KIGODetectedIssue</w:t>
            </w:r>
            <w:r>
              <w:t xml:space="preserve"> </w:t>
            </w:r>
            <w:r>
              <w:t xml:space="preserve">(deviation-reason) hinterlegt werden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Versions-Pflege</w:t>
            </w:r>
            <w:r>
              <w:t xml:space="preserve"> </w:t>
            </w:r>
            <w:r>
              <w:t xml:space="preserve">zwischen Leitlinien-Update und IG-Release ist Trägerverantwortung — kein Standardprozess</w:t>
            </w:r>
          </w:p>
        </w:tc>
        <w:tc>
          <w:tcPr/>
          <w:p>
            <w:pPr>
              <w:pStyle w:val="Compact"/>
            </w:pPr>
            <w:r>
              <w:t xml:space="preserve">KIG-Onko Pflegeprozess definieren: jährlicher Review-Zyklus, Versionierung an S3-Leitlinien-Updates der Leitlinienprogramm Onkologie gekoppelt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Mapping Pflicht</w:t>
            </w:r>
            <w:r>
              <w:t xml:space="preserve"> </w:t>
            </w:r>
            <w:r>
              <w:t xml:space="preserve">— IPS und andere Standards nie vollständig — KEIN "set-and-forget" möglich</w:t>
            </w:r>
          </w:p>
        </w:tc>
        <w:tc>
          <w:tcPr/>
          <w:p>
            <w:pPr>
              <w:pStyle w:val="Compact"/>
            </w:pPr>
            <w:r>
              <w:t xml:space="preserve">Mapping als eigenes Lieferobjekt im IG ausweisen (analog DEQM, SDC); ConceptMaps für ICD-10-GM × SNOMED, oBDS × FHIR-Profile, MII-Module × KIGO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Patientensicht / Patient-Reported-Outcomes</w:t>
            </w:r>
            <w:r>
              <w:t xml:space="preserve"> </w:t>
            </w:r>
            <w:r>
              <w:t xml:space="preserve">sind im CPG-Kern nicht prominent</w:t>
            </w:r>
          </w:p>
        </w:tc>
        <w:tc>
          <w:tcPr/>
          <w:p>
            <w:pPr>
              <w:pStyle w:val="Compact"/>
            </w:pPr>
            <w:r>
              <w:t xml:space="preserve">Anbindung an PCO IG und EU-PRO-CTCAE ergänzen — siehe PCO-Baustein</w:t>
            </w:r>
          </w:p>
        </w:tc>
      </w:tr>
    </w:tbl>
    <w:bookmarkEnd w:id="23"/>
    <w:bookmarkStart w:id="24" w:name="X33f89d8714afc5ae5c30f8d0f734957731418ab"/>
    <w:p>
      <w:pPr>
        <w:pStyle w:val="Heading2"/>
      </w:pPr>
      <w:r>
        <w:t xml:space="preserve">4. Direkt übernehmbare Elemente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L1–L4-Continuum</w:t>
      </w:r>
      <w:r>
        <w:t xml:space="preserve"> </w:t>
      </w:r>
      <w:r>
        <w:t xml:space="preserve">als Stufungsvokabular für Workshop-Kommunikation und Projektmeilensteine — etabliert, prägnant, international anschlussfähig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Vier-Schritt-Methodik (Select → Represent → Translate → Validate)</w:t>
      </w:r>
      <w:r>
        <w:t xml:space="preserve"> </w:t>
      </w:r>
      <w:r>
        <w:t xml:space="preserve">als methodisches Gerüst des IG-Authoring-Prozesses; passt direkt in die Phasen 2–4 unseres Meilensteinplans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PlanDefinition-Pathway-Pattern</w:t>
      </w:r>
      <w:r>
        <w:t xml:space="preserve"> </w:t>
      </w:r>
      <w:r>
        <w:t xml:space="preserve">als natürliche Modellierungsform für onkologische Behandlungspfade über Zeit (z. B. mCRC 1L → 2L → 3L als</w:t>
      </w:r>
      <w:r>
        <w:t xml:space="preserve"> </w:t>
      </w:r>
      <w:r>
        <w:rPr>
          <w:rStyle w:val="VerbatimChar"/>
        </w:rPr>
        <w:t xml:space="preserve">CPGPathwayDefinition</w:t>
      </w:r>
      <w:r>
        <w:t xml:space="preserve">, einzelne Linien als</w:t>
      </w:r>
      <w:r>
        <w:t xml:space="preserve"> </w:t>
      </w:r>
      <w:r>
        <w:rPr>
          <w:rStyle w:val="VerbatimChar"/>
        </w:rPr>
        <w:t xml:space="preserve">CPGStrategyDefinition</w:t>
      </w:r>
      <w:r>
        <w:t xml:space="preserve">, konkrete Therapieentscheidungen als</w:t>
      </w:r>
      <w:r>
        <w:t xml:space="preserve"> </w:t>
      </w:r>
      <w:r>
        <w:rPr>
          <w:rStyle w:val="VerbatimChar"/>
        </w:rPr>
        <w:t xml:space="preserve">CPGRecommendationDefinition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Definition–Request–Event-Triade</w:t>
      </w:r>
      <w:r>
        <w:t xml:space="preserve"> </w:t>
      </w:r>
      <w:r>
        <w:t xml:space="preserve">als Achsenmodell für die Visualisierung: Definition = Therapiebaustein, Request = geplante Linie, Event = tatsächlich verabreichte Therapie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Case Features</w:t>
      </w:r>
      <w:r>
        <w:t xml:space="preserve"> </w:t>
      </w:r>
      <w:r>
        <w:t xml:space="preserve">als Anschlusspunkt an MII KDS-Module — jedes MII-Profil wird zu einem Case Feature in unserem Content IG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Bewertungs-Extensions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qualityOfEvidence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strengthOfRecommendation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directionOfRecommendation</w:t>
      </w:r>
      <w:r>
        <w:t xml:space="preserve">) für die Anbindung an S3-Leitlinien-GRADE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CRMI (Canonical Resource Management Infrastructure)</w:t>
      </w:r>
      <w:r>
        <w:t xml:space="preserve"> </w:t>
      </w:r>
      <w:r>
        <w:t xml:space="preserve">für Lifecycle-Management, Versionierung, Paketierung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Shareable-/Publishable-Capability-Profile</w:t>
      </w:r>
      <w:r>
        <w:t xml:space="preserve"> </w:t>
      </w:r>
      <w:r>
        <w:t xml:space="preserve">als Pflicht für alle definitorischen Ressourcen — sorgt für konsistente Metadaten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CQF Ruler + CDS Hooks Sandbox</w:t>
      </w:r>
      <w:r>
        <w:t xml:space="preserve"> </w:t>
      </w:r>
      <w:r>
        <w:t xml:space="preserve">als Validierungsumgebung (Open Source, HAPI-basiert) — geringer Einstiegsaufwand</w:t>
      </w:r>
    </w:p>
    <w:bookmarkEnd w:id="24"/>
    <w:bookmarkStart w:id="25" w:name="Xa7a886f6a6c0c161fd8e8a8dea52acca7e0d2f1"/>
    <w:p>
      <w:pPr>
        <w:pStyle w:val="Heading2"/>
      </w:pPr>
      <w:r>
        <w:t xml:space="preserve">5. Fazit: Was wir übernehmen und warum</w:t>
      </w:r>
    </w:p>
    <w:p>
      <w:pPr>
        <w:pStyle w:val="FirstParagraph"/>
      </w:pPr>
      <w:r>
        <w:rPr>
          <w:b/>
          <w:bCs/>
        </w:rPr>
        <w:t xml:space="preserve">Übernehmen: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CPG-on-FHIR als methodischen und profiltechnischen Unterbau</w:t>
      </w:r>
      <w:r>
        <w:t xml:space="preserve"> </w:t>
      </w:r>
      <w:r>
        <w:t xml:space="preserve">unserer Spec. Begründung: einziges international etabliertes, FHIR-natives Framework für computable Leitlinieninhalte; Alternativen (CDS Hooks pur, SDC pur, Quality Measure IG pur) decken jeweils nur Teilaspekte ab; CPG-on-FHIR integriert sie und liefert das gemeinsame Vokabular (CRMI-Lifecycle, Reasoning-Ressourcen, Activity-Workflow).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PlanDefinition als zentrale Strukturressource</w:t>
      </w:r>
      <w:r>
        <w:t xml:space="preserve"> </w:t>
      </w:r>
      <w:r>
        <w:t xml:space="preserve">für onkologische Pfade in drei Anwendungen (Pathway / Strategy / Recommendation). Begründung: keine andere FHIR-Ressource bildet längsschnittliche Behandlungspfade mit verschachtelter Entscheidungs- und Aktivitätslogik so granular und ausführbar ab.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Definition–Request–Event-Pattern</w:t>
      </w:r>
      <w:r>
        <w:t xml:space="preserve"> </w:t>
      </w:r>
      <w:r>
        <w:t xml:space="preserve">für die Modellierung jedes Therapiebausteins. Begründung: spiegelt die klinische Realität (Empfehlung → Verordnung → Verabreichung); ermöglicht klare Trennung von Soll und Ist in der Visualisierung; ist die Voraussetzung für</w:t>
      </w:r>
      <w:r>
        <w:t xml:space="preserve"> </w:t>
      </w:r>
      <w:r>
        <w:rPr>
          <w:rStyle w:val="VerbatimChar"/>
        </w:rPr>
        <w:t xml:space="preserve">instantiatesCanonical</w:t>
      </w:r>
      <w:r>
        <w:t xml:space="preserve">-basierte Adhärenzauswertung.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Verweisbild-/Detailbild-Asymmetrie</w:t>
      </w:r>
      <w:r>
        <w:t xml:space="preserve"> </w:t>
      </w:r>
      <w:r>
        <w:t xml:space="preserve">(Leitlinie verlinkt, CarePlan ausführlich bei Abweichung). Begründung: WiZen-Daten und internationale Studien zeigen 15–30 % strukturierte Abweichung — eine kompakte Konformitätsdarstellung mit detaillierter Abweichungsbegründung ist klinisch (Tumorboard), qualitätsmedizinisch (DKG-QIs) und gesundheitspolitisch (Erstattung) genau die richtige Asymmetrie.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Bewertungs-Extensions optional unterstützen</w:t>
      </w:r>
      <w:r>
        <w:t xml:space="preserve"> </w:t>
      </w:r>
      <w:r>
        <w:t xml:space="preserve">(</w:t>
      </w:r>
      <w:r>
        <w:rPr>
          <w:rStyle w:val="VerbatimChar"/>
        </w:rPr>
        <w:t xml:space="preserve">qualityOfEvidence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strengthOfRecommendation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directionOfRecommendation</w:t>
      </w:r>
      <w:r>
        <w:t xml:space="preserve">); für die deutsche Versorgung empfiehlt sich ergänzend ein</w:t>
      </w:r>
      <w:r>
        <w:t xml:space="preserve"> </w:t>
      </w:r>
      <w:r>
        <w:rPr>
          <w:b/>
          <w:bCs/>
        </w:rPr>
        <w:t xml:space="preserve">AWMF-S3-LoE-/Empfehlungsstärke-Mapping</w:t>
      </w:r>
      <w:r>
        <w:t xml:space="preserve"> </w:t>
      </w:r>
      <w:r>
        <w:t xml:space="preserve">als separater Anhang (nicht im Kern der Spec verpflichtend).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CQF Ruler + CDS Hooks Sandbox</w:t>
      </w:r>
      <w:r>
        <w:t xml:space="preserve"> </w:t>
      </w:r>
      <w:r>
        <w:t xml:space="preserve">als Validierungsstack. Begründung: Open Source, HAPI-Basis (anschlussfähig an deutsche FHIR-Infrastruktur), wird im IG selbst als Referenz benannt.</w:t>
      </w:r>
    </w:p>
    <w:p>
      <w:pPr>
        <w:pStyle w:val="FirstParagraph"/>
      </w:pPr>
      <w:r>
        <w:rPr>
          <w:b/>
          <w:bCs/>
        </w:rPr>
        <w:t xml:space="preserve">Erweitern / spezialisieren: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Eigene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KIGO</w:t>
      </w:r>
      <w:r>
        <w:rPr>
          <w:b/>
          <w:bCs/>
        </w:rPr>
        <w:t xml:space="preserve">-Profile</w:t>
      </w:r>
      <w:r>
        <w:t xml:space="preserve"> </w:t>
      </w:r>
      <w:r>
        <w:t xml:space="preserve">auf CPG-Basis (z. B.</w:t>
      </w:r>
      <w:r>
        <w:t xml:space="preserve"> </w:t>
      </w:r>
      <w:r>
        <w:rPr>
          <w:rStyle w:val="VerbatimChar"/>
        </w:rPr>
        <w:t xml:space="preserve">KIGOTherapyLine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KIGOTumorboardDecision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KIGOCarePlan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KIGODetectedIssue</w:t>
      </w:r>
      <w:r>
        <w:t xml:space="preserve">). Begründung: deutsche Versorgungsstrukturen (Tumorboard-Pflicht, Konsiliumssystem, DKG-Quality-Indicators) benötigen spezifische Erweiterungen, die international nicht abgebildet sind.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Pflicht-Pattern für CarePlan-Detail bei Abweichung</w:t>
      </w:r>
      <w:r>
        <w:t xml:space="preserve"> </w:t>
      </w:r>
      <w:r>
        <w:t xml:space="preserve">statt nur skizzierten Möglichkeit. Begründung: macht Abweichungsdokumentation auditierbar, was für WiZen-artige Versorgungsforschung und QI-Erfüllung entscheidend ist.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MII KDS-Onkologie statt IPS</w:t>
      </w:r>
      <w:r>
        <w:t xml:space="preserve"> </w:t>
      </w:r>
      <w:r>
        <w:t xml:space="preserve">als primärer Interop-Basis. Begründung: deutsche Realität, etablierte Datenflüsse aus DIZ/oncoBox/oBDS; IPS/EPS-Anschluss als sekundäre Mapping-Schicht für EHDS-Konformität.</w:t>
      </w:r>
    </w:p>
    <w:p>
      <w:pPr>
        <w:pStyle w:val="FirstParagraph"/>
      </w:pPr>
      <w:r>
        <w:rPr>
          <w:b/>
          <w:bCs/>
        </w:rPr>
        <w:t xml:space="preserve">Nicht übernehmen / bewusst abweichen: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CPG-internationale Personas / Activity Type / Process CodeSysteme</w:t>
      </w:r>
      <w:r>
        <w:t xml:space="preserve"> </w:t>
      </w:r>
      <w:r>
        <w:t xml:space="preserve">im Original. Stattdessen: eigene</w:t>
      </w:r>
      <w:r>
        <w:t xml:space="preserve"> </w:t>
      </w:r>
      <w:r>
        <w:rPr>
          <w:rStyle w:val="VerbatimChar"/>
        </w:rPr>
        <w:t xml:space="preserve">kigo-onco-*</w:t>
      </w:r>
      <w:r>
        <w:t xml:space="preserve"> </w:t>
      </w:r>
      <w:r>
        <w:t xml:space="preserve">CodeSysteme mit Mapping-Tabelle auf CPG-Common. Begründung: deutsche Versorgungsterminologie ist spezifischer (z. B. Konsiliararzt, MTRA, Studienassistenz) und muss eigenständig modelliert sein.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Reine Ableitung von IPS-Composition</w:t>
      </w:r>
      <w:r>
        <w:t xml:space="preserve"> </w:t>
      </w:r>
      <w:r>
        <w:t xml:space="preserve">für Patient Summary. Begründung: für unseren Use Case "Therapieziel &amp; Linien" reicht IPS-Komposition nicht — siehe IPS/EPS-Baustein für die Detailbegründung.</w:t>
      </w:r>
    </w:p>
    <w:bookmarkEnd w:id="25"/>
    <w:bookmarkStart w:id="26" w:name="X0d2e6e60cb6fce00eedbbbfb7a0b2fcb24057d7"/>
    <w:p>
      <w:pPr>
        <w:pStyle w:val="Heading2"/>
      </w:pPr>
      <w:r>
        <w:t xml:space="preserve">6. Vor LG-01-Release zu verifizieren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STU2 vs. STU3-Roadmap</w:t>
      </w:r>
      <w:r>
        <w:t xml:space="preserve"> </w:t>
      </w:r>
      <w:r>
        <w:t xml:space="preserve">prüfen — gibt es kommende Breaking Changes, die unsere Profilstrategie beeinflussen?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Lizenzlage</w:t>
      </w:r>
      <w:r>
        <w:t xml:space="preserve"> </w:t>
      </w:r>
      <w:r>
        <w:t xml:space="preserve">der referenzierten CPG-Beispiele (CDC Opioid, WHO ANC) — Verweisbarkeit im LG-01-Bericht abklären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CQF Ruler / HAPI</w:t>
      </w:r>
      <w:r>
        <w:t xml:space="preserve"> </w:t>
      </w:r>
      <w:r>
        <w:t xml:space="preserve">Versionskompatibilität gegen MII-Tooling und ÖGD-/Gematik-Infrastruktur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CodeSystem-Strategie:</w:t>
      </w:r>
      <w:r>
        <w:t xml:space="preserve"> </w:t>
      </w:r>
      <w:r>
        <w:t xml:space="preserve">eigene</w:t>
      </w:r>
      <w:r>
        <w:t xml:space="preserve"> </w:t>
      </w:r>
      <w:r>
        <w:rPr>
          <w:rStyle w:val="VerbatimChar"/>
        </w:rPr>
        <w:t xml:space="preserve">kigo-onco-*</w:t>
      </w:r>
      <w:r>
        <w:t xml:space="preserve"> </w:t>
      </w:r>
      <w:r>
        <w:t xml:space="preserve">vs. SNOMED CT vs. LOINC — finale Festlegung für Workshop 1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GRADE-Mapping auf</w:t>
      </w:r>
      <w:r>
        <w:t xml:space="preserve"> </w:t>
      </w:r>
      <w:r>
        <w:rPr>
          <w:rStyle w:val="VerbatimChar"/>
        </w:rPr>
        <w:t xml:space="preserve">strengthOfRecommendation</w:t>
      </w:r>
      <w:r>
        <w:t xml:space="preserve">-Extension (Werteset</w:t>
      </w:r>
      <w:r>
        <w:t xml:space="preserve"> </w:t>
      </w:r>
      <w:r>
        <w:rPr>
          <w:rStyle w:val="VerbatimChar"/>
        </w:rPr>
        <w:t xml:space="preserve">weak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strong</w:t>
      </w:r>
      <w:r>
        <w:t xml:space="preserve"> </w:t>
      </w:r>
      <w:r>
        <w:t xml:space="preserve">reicht nicht für GRADE; ggf. Sub-CodeSystem nötig)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Pflegeprozess</w:t>
      </w:r>
      <w:r>
        <w:t xml:space="preserve"> </w:t>
      </w:r>
      <w:r>
        <w:t xml:space="preserve">mit der Leitlinienprogramm-Onkologie-Geschäftsstelle der DKG / AWMF abklären (jährlicher Review-Zyklus, Versionssynchronisation S3-Leitlinie ↔ IG-Release)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MII-Anschluss-Workshop</w:t>
      </w:r>
      <w:r>
        <w:t xml:space="preserve"> </w:t>
      </w:r>
      <w:r>
        <w:t xml:space="preserve">vor LG-05 — wie wird unser Content IG in das MII-Erweiterungsmodul Onkologie integriert?</w:t>
      </w:r>
    </w:p>
    <w:bookmarkEnd w:id="26"/>
    <w:bookmarkStart w:id="31" w:name="X28cf1cec3b85250e6e55fe9bbb026242ec6a28f"/>
    <w:p>
      <w:pPr>
        <w:pStyle w:val="Heading2"/>
      </w:pPr>
      <w:r>
        <w:t xml:space="preserve">7. Quellen</w:t>
      </w:r>
    </w:p>
    <w:p>
      <w:pPr>
        <w:pStyle w:val="Compact"/>
        <w:numPr>
          <w:ilvl w:val="0"/>
          <w:numId w:val="1010"/>
        </w:numPr>
      </w:pPr>
      <w:r>
        <w:t xml:space="preserve">HL7</w:t>
      </w:r>
      <w:r>
        <w:t xml:space="preserve"> </w:t>
      </w:r>
      <w:r>
        <w:rPr>
          <w:i/>
          <w:iCs/>
        </w:rPr>
        <w:t xml:space="preserve">Clinical Practice Guidelines (CPG-on-FHIR) IG</w:t>
      </w:r>
      <w:r>
        <w:t xml:space="preserve"> </w:t>
      </w:r>
      <w:r>
        <w:t xml:space="preserve">v2.0.0 STU2 (CI-Build Mai 2026). Methodology:</w:t>
      </w:r>
      <w:r>
        <w:t xml:space="preserve"> </w:t>
      </w:r>
      <w:hyperlink r:id="rId19">
        <w:r>
          <w:rPr>
            <w:rStyle w:val="Hyperlink"/>
          </w:rPr>
          <w:t xml:space="preserve">build.fhir.org/ig/HL7/cqf-recommendations/en/methodology.html</w:t>
        </w:r>
      </w:hyperlink>
      <w:r>
        <w:t xml:space="preserve"> </w:t>
      </w:r>
      <w:r>
        <w:t xml:space="preserve">· Profiles:</w:t>
      </w:r>
      <w:r>
        <w:t xml:space="preserve"> </w:t>
      </w:r>
      <w:hyperlink r:id="rId20">
        <w:r>
          <w:rPr>
            <w:rStyle w:val="Hyperlink"/>
          </w:rPr>
          <w:t xml:space="preserve">build.fhir.org/ig/HL7/cqf-recommendations/en/profiles.html</w:t>
        </w:r>
      </w:hyperlink>
    </w:p>
    <w:p>
      <w:pPr>
        <w:pStyle w:val="Compact"/>
        <w:numPr>
          <w:ilvl w:val="0"/>
          <w:numId w:val="1010"/>
        </w:numPr>
      </w:pPr>
      <w:r>
        <w:t xml:space="preserve">HL7</w:t>
      </w:r>
      <w:r>
        <w:t xml:space="preserve"> </w:t>
      </w:r>
      <w:r>
        <w:rPr>
          <w:i/>
          <w:iCs/>
        </w:rPr>
        <w:t xml:space="preserve">Clinical Quality Language (CQL)</w:t>
      </w:r>
      <w:r>
        <w:t xml:space="preserve"> </w:t>
      </w:r>
      <w:r>
        <w:t xml:space="preserve">Specification:</w:t>
      </w:r>
      <w:r>
        <w:t xml:space="preserve"> </w:t>
      </w:r>
      <w:hyperlink r:id="rId27">
        <w:r>
          <w:rPr>
            <w:rStyle w:val="Hyperlink"/>
          </w:rPr>
          <w:t xml:space="preserve">cql.hl7.org</w:t>
        </w:r>
      </w:hyperlink>
    </w:p>
    <w:p>
      <w:pPr>
        <w:pStyle w:val="Compact"/>
        <w:numPr>
          <w:ilvl w:val="0"/>
          <w:numId w:val="1010"/>
        </w:numPr>
      </w:pPr>
      <w:r>
        <w:t xml:space="preserve">HL7</w:t>
      </w:r>
      <w:r>
        <w:t xml:space="preserve"> </w:t>
      </w:r>
      <w:r>
        <w:rPr>
          <w:i/>
          <w:iCs/>
        </w:rPr>
        <w:t xml:space="preserve">CDS Hooks</w:t>
      </w:r>
      <w:r>
        <w:t xml:space="preserve">:</w:t>
      </w:r>
      <w:r>
        <w:t xml:space="preserve"> </w:t>
      </w:r>
      <w:hyperlink r:id="rId28">
        <w:r>
          <w:rPr>
            <w:rStyle w:val="Hyperlink"/>
          </w:rPr>
          <w:t xml:space="preserve">cds-hooks.org</w:t>
        </w:r>
      </w:hyperlink>
    </w:p>
    <w:p>
      <w:pPr>
        <w:pStyle w:val="Compact"/>
        <w:numPr>
          <w:ilvl w:val="0"/>
          <w:numId w:val="1010"/>
        </w:numPr>
      </w:pPr>
      <w:r>
        <w:t xml:space="preserve">HL7</w:t>
      </w:r>
      <w:r>
        <w:t xml:space="preserve"> </w:t>
      </w:r>
      <w:r>
        <w:rPr>
          <w:i/>
          <w:iCs/>
        </w:rPr>
        <w:t xml:space="preserve">Canonical Resource Management Infrastructure (CRMI)</w:t>
      </w:r>
      <w:r>
        <w:t xml:space="preserve"> </w:t>
      </w:r>
      <w:r>
        <w:t xml:space="preserve">IG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CQF Ruler</w:t>
      </w:r>
      <w:r>
        <w:t xml:space="preserve"> </w:t>
      </w:r>
      <w:r>
        <w:t xml:space="preserve">Reference Implementation:</w:t>
      </w:r>
      <w:r>
        <w:t xml:space="preserve"> </w:t>
      </w:r>
      <w:hyperlink r:id="rId29">
        <w:r>
          <w:rPr>
            <w:rStyle w:val="Hyperlink"/>
          </w:rPr>
          <w:t xml:space="preserve">github.com/cqframework/cqf-ruler</w:t>
        </w:r>
      </w:hyperlink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CDS Connect Authoring Tool</w:t>
      </w:r>
      <w:r>
        <w:t xml:space="preserve">:</w:t>
      </w:r>
      <w:r>
        <w:t xml:space="preserve"> </w:t>
      </w:r>
      <w:hyperlink r:id="rId30">
        <w:r>
          <w:rPr>
            <w:rStyle w:val="Hyperlink"/>
          </w:rPr>
          <w:t xml:space="preserve">cds.ahrq.gov/cdsconnect/authoring</w:t>
        </w:r>
      </w:hyperlink>
    </w:p>
    <w:p>
      <w:pPr>
        <w:pStyle w:val="Compact"/>
        <w:numPr>
          <w:ilvl w:val="0"/>
          <w:numId w:val="1010"/>
        </w:numPr>
      </w:pPr>
      <w:r>
        <w:t xml:space="preserve">Projektinterne Volltextzusammenfassung:</w:t>
      </w:r>
      <w:r>
        <w:t xml:space="preserve"> </w:t>
      </w:r>
      <w:r>
        <w:rPr>
          <w:rStyle w:val="VerbatimChar"/>
        </w:rPr>
        <w:t xml:space="preserve">visualisierung-therapieziel/cqf-recommendations-methodology-zusammenfassung.md</w:t>
      </w:r>
    </w:p>
    <w:p>
      <w:pPr>
        <w:pStyle w:val="Compact"/>
        <w:numPr>
          <w:ilvl w:val="0"/>
          <w:numId w:val="1010"/>
        </w:numPr>
      </w:pPr>
      <w:r>
        <w:t xml:space="preserve">Verwandte Specification IGs: Quality Measure IG, DEQM, SDC (Structured Data Capture), EBM-on-FHIR</w:t>
      </w:r>
    </w:p>
    <w:p>
      <w:pPr>
        <w:pStyle w:val="Compact"/>
        <w:numPr>
          <w:ilvl w:val="0"/>
          <w:numId w:val="1010"/>
        </w:numPr>
      </w:pPr>
      <w:r>
        <w:t xml:space="preserve">Referenzbeispiele: CDC Opioid Prescribing IG, WHO Antenatal Care IG, HEDIS Quality Measures</w:t>
      </w:r>
    </w:p>
    <w:bookmarkEnd w:id="31"/>
    <w:bookmarkEnd w:id="32"/>
    <w:sectPr w:rsidR="00FC693F" w:rsidRPr="0006063C" w:rsidSect="00034616">
      <w:headerReference r:id="rId9" w:type="default"/>
      <w:footerReference r:id="rId10" w:type="default"/>
      <w:pgSz w:h="15840" w:w="12240"/>
      <w:pgMar w:bottom="1417" w:footer="680" w:gutter="0" w:header="68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Fira Sans" w:hAnsi="Fira Sans" w:cs="Fira Sans" w:eastAsia="Fira Sans"/>
        <w:color w:val="9D9D9D"/>
        <w:sz w:val="16"/>
      </w:rPr>
      <w:t>BIH-CEI · Gematik KIG Onkologische Therapieziele · unoffizielle Vorlage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60000" cy="55339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ih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55339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00" w:lineRule="auto"/>
    </w:pPr>
    <w:rPr>
      <w:rFonts w:ascii="Fira Sans" w:cs="Fira Sans" w:eastAsia="Fira Sans" w:hAnsi="Fira Sans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80"/>
      <w:outlineLvl w:val="0"/>
    </w:pPr>
    <w:rPr>
      <w:rFonts w:ascii="Fira Sans" w:asciiTheme="majorHAnsi" w:cs="Fira Sans" w:cstheme="majorBidi" w:eastAsia="Fira Sans" w:eastAsiaTheme="majorEastAsia" w:hAnsi="Fira Sans" w:hAnsiTheme="majorHAnsi"/>
      <w:b/>
      <w:bCs/>
      <w:color w:val="003754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Fira Sans" w:asciiTheme="majorHAnsi" w:cs="Fira Sans" w:cstheme="majorBidi" w:eastAsia="Fira Sans" w:eastAsiaTheme="majorEastAsia" w:hAnsi="Fira Sans" w:hAnsiTheme="majorHAnsi"/>
      <w:b/>
      <w:bCs/>
      <w:color w:val="70ACC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Fira Sans" w:asciiTheme="majorHAnsi" w:cs="Fira Sans" w:cstheme="majorBidi" w:eastAsia="Fira Sans" w:eastAsiaTheme="majorEastAsia" w:hAnsi="Fira Sans" w:hAnsiTheme="majorHAnsi"/>
      <w:b/>
      <w:bCs/>
      <w:color w:val="723C5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200"/>
      <w:outlineLvl w:val="3"/>
    </w:pPr>
    <w:rPr>
      <w:rFonts w:ascii="Fira Sans" w:asciiTheme="majorHAnsi" w:cs="Fira Sans" w:cstheme="majorBidi" w:eastAsia="Fira Sans" w:eastAsiaTheme="majorEastAsia" w:hAnsi="Fira Sans" w:hAnsiTheme="majorHAnsi"/>
      <w:b/>
      <w:bCs/>
      <w:i/>
      <w:iCs/>
      <w:color w:val="4C626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0" w:line="240" w:lineRule="auto"/>
      <w:contextualSpacing/>
    </w:pPr>
    <w:rPr>
      <w:rFonts w:ascii="Fira Sans" w:asciiTheme="majorHAnsi" w:cs="Fira Sans" w:cstheme="majorBidi" w:eastAsia="Fira Sans" w:eastAsiaTheme="majorEastAsia" w:hAnsi="Fira Sans" w:hAnsiTheme="majorHAnsi"/>
      <w:b/>
      <w:color w:val="00375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="Fira Sans" w:asciiTheme="majorHAnsi" w:cs="Fira Sans" w:cstheme="majorBidi" w:eastAsia="Fira Sans" w:eastAsiaTheme="majorEastAsia" w:hAnsi="Fira Sans" w:hAnsiTheme="majorHAnsi"/>
      <w:b w:val="0"/>
      <w:i/>
      <w:iCs/>
      <w:color w:val="70ACC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Fira Sans" w:cs="Fira Sans" w:eastAsia="Fira Sans" w:hAnsi="Fira Sans"/>
      <w:color w:val="000000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Fira Sans" w:cs="Fira Sans" w:eastAsia="Fira Sans" w:hAnsi="Fira Sans"/>
      <w:color w:val="000000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ind w:left="283"/>
    </w:pPr>
    <w:rPr>
      <w:rFonts w:ascii="Fira Sans" w:cs="Fira Sans" w:eastAsia="Fira Sans" w:hAnsi="Fira Sans"/>
      <w:i/>
      <w:iCs/>
      <w:color w:val="723C5D"/>
      <w:sz w:val="2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Fira Sans" w:cs="Fira Sans" w:eastAsia="Fira Sans" w:hAnsi="Fira Sans"/>
      <w:b/>
      <w:bCs/>
      <w:color w:val="4C626C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283" w:right="936"/>
    </w:pPr>
    <w:rPr>
      <w:rFonts w:ascii="Fira Sans" w:cs="Fira Sans" w:eastAsia="Fira Sans" w:hAnsi="Fira Sans"/>
      <w:b/>
      <w:bCs/>
      <w:i/>
      <w:iCs/>
      <w:color w:val="723C5D"/>
      <w:sz w:val="2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Fira Sans" w:cs="Fira Sans" w:eastAsia="Fira Sans" w:hAnsi="Fira Sans"/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Compact" w:type="paragraph">
    <w:name w:val="Compact"/>
    <w:basedOn w:val="Normal"/>
    <w:pPr>
      <w:spacing w:after="0" w:line="240" w:lineRule="auto"/>
    </w:pPr>
    <w:rPr>
      <w:rFonts w:ascii="Fira Sans" w:cs="Fira Sans" w:hAnsi="Fira Sans"/>
      <w:sz w:val="20"/>
    </w:rPr>
  </w:style>
  <w:style w:styleId="Table" w:type="table">
    <w:name w:val="Table"/>
    <w:basedOn w:val="TableNormal"/>
    <w:uiPriority w:val="59"/>
    <w:rPr>
      <w:rFonts w:ascii="Fira Sans" w:cs="Fira Sans" w:hAnsi="Fira Sans"/>
      <w:sz w:val="20"/>
    </w:rPr>
    <w:tblPr>
      <w:tblBorders>
        <w:top w:color="70ACC0" w:space="0" w:sz="4" w:val="single"/>
        <w:left w:color="70ACC0" w:space="0" w:sz="4" w:val="single"/>
        <w:bottom w:color="70ACC0" w:space="0" w:sz="4" w:val="single"/>
        <w:right w:color="70ACC0" w:space="0" w:sz="4" w:val="single"/>
        <w:insideH w:color="70ACC0" w:space="0" w:sz="4" w:val="single"/>
        <w:insideV w:color="70ACC0" w:space="0" w:sz="4" w:val="single"/>
      </w:tblBorders>
    </w:tblPr>
    <w:tblStylePr w:type="firstRow">
      <w:rPr>
        <w:b/>
        <w:color w:val="FFFFFF"/>
      </w:rPr>
      <w:tcPr>
        <w:shd w:color="auto" w:fill="003754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19" Target="https://build.fhir.org/ig/HL7/cqf-recommendations/en/methodology.html" TargetMode="External" /><Relationship Type="http://schemas.openxmlformats.org/officeDocument/2006/relationships/hyperlink" Id="rId20" Target="https://build.fhir.org/ig/HL7/cqf-recommendations/en/profiles.html" TargetMode="External" /><Relationship Type="http://schemas.openxmlformats.org/officeDocument/2006/relationships/hyperlink" Id="rId28" Target="https://cds-hooks.org/" TargetMode="External" /><Relationship Type="http://schemas.openxmlformats.org/officeDocument/2006/relationships/hyperlink" Id="rId30" Target="https://cds.ahrq.gov/cdsconnect/authoring" TargetMode="External" /><Relationship Type="http://schemas.openxmlformats.org/officeDocument/2006/relationships/hyperlink" Id="rId27" Target="https://cql.hl7.org/" TargetMode="External" /><Relationship Type="http://schemas.openxmlformats.org/officeDocument/2006/relationships/hyperlink" Id="rId29" Target="https://github.com/cqframework/cqf-rul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build.fhir.org/ig/HL7/cqf-recommendations/en/methodology.html" TargetMode="External" /><Relationship Type="http://schemas.openxmlformats.org/officeDocument/2006/relationships/hyperlink" Id="rId20" Target="https://build.fhir.org/ig/HL7/cqf-recommendations/en/profiles.html" TargetMode="External" /><Relationship Type="http://schemas.openxmlformats.org/officeDocument/2006/relationships/hyperlink" Id="rId28" Target="https://cds-hooks.org/" TargetMode="External" /><Relationship Type="http://schemas.openxmlformats.org/officeDocument/2006/relationships/hyperlink" Id="rId30" Target="https://cds.ahrq.gov/cdsconnect/authoring" TargetMode="External" /><Relationship Type="http://schemas.openxmlformats.org/officeDocument/2006/relationships/hyperlink" Id="rId27" Target="https://cql.hl7.org/" TargetMode="External" /><Relationship Type="http://schemas.openxmlformats.org/officeDocument/2006/relationships/hyperlink" Id="rId29" Target="https://github.com/cqframework/cqf-ruler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2026-05-18T08:04:03Z</dcterms:created>
  <dcterms:modified xsi:type="dcterms:W3CDTF">2026-05-18T08:04:03Z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