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X1e665bb4eb5e9b4d29b07250428f75a9e195732"/>
    <w:p>
      <w:pPr>
        <w:pStyle w:val="Heading1"/>
      </w:pPr>
      <w:r>
        <w:t xml:space="preserve">EnLiST — Analysebaustein „Onkologische Therapieziele"</w:t>
      </w:r>
    </w:p>
    <w:p>
      <w:pPr>
        <w:pStyle w:val="FirstParagraph"/>
      </w:pPr>
      <w:r>
        <w:t xml:space="preserve">Baustein für Liefergegenstand LG-01 · Gematik-Auftrag · BIH-CEI</w:t>
      </w:r>
    </w:p>
    <w:p>
      <w:pPr>
        <w:pStyle w:val="BodyText"/>
      </w:pPr>
      <w:r>
        <w:rPr>
          <w:b/>
          <w:bCs/>
        </w:rPr>
        <w:t xml:space="preserve">Quelle:</w:t>
      </w:r>
      <w:r>
        <w:t xml:space="preserve"> </w:t>
      </w:r>
      <w:r>
        <w:t xml:space="preserve">Saini KS, Koopman M, Martins-Branco D et al.</w:t>
      </w:r>
      <w:r>
        <w:t xml:space="preserve"> </w:t>
      </w:r>
      <w:r>
        <w:rPr>
          <w:i/>
          <w:iCs/>
        </w:rPr>
        <w:t xml:space="preserve">ESMO adaptation of Lines of Systemic Therapy (EnLiST): a consensus framework for standardising the designation of lines of therapy in solid tumours.</w:t>
      </w:r>
      <w:r>
        <w:t xml:space="preserve"> </w:t>
      </w:r>
      <w:r>
        <w:t xml:space="preserve">Annals of Oncology 2026;37(5):608–623. DOI:</w:t>
      </w:r>
      <w:r>
        <w:t xml:space="preserve"> </w:t>
      </w:r>
      <w:hyperlink r:id="rId19">
        <w:r>
          <w:rPr>
            <w:rStyle w:val="Hyperlink"/>
          </w:rPr>
          <w:t xml:space="preserve">10.1016/j.annonc.2026.02.008</w:t>
        </w:r>
      </w:hyperlink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Publiziert Februar 2026, erster paneuropäischer Delphi-Konsens (26 Stakeholder, Endkonsens ≥ 87,5 %, vier Leitlinien einstimmig). Geltungsbereich solide Tumoren; hämatologische Adaption als separates Konzept.</w:t>
      </w:r>
    </w:p>
    <w:bookmarkStart w:id="20" w:name="Xa698841842993f4014025a15c42b0ed0d6956c5"/>
    <w:p>
      <w:pPr>
        <w:pStyle w:val="Heading2"/>
      </w:pPr>
      <w:r>
        <w:t xml:space="preserve">1. Übertragbares Muster: X.Y-Notation, Drei-Settings-Architektur, Mindestdatensatz</w:t>
      </w:r>
    </w:p>
    <w:p>
      <w:pPr>
        <w:pStyle w:val="FirstParagraph"/>
      </w:pPr>
      <w:r>
        <w:t xml:space="preserve">Drei strukturierende Elemente sind direkt übernehmbar:</w:t>
      </w:r>
    </w:p>
    <w:p>
      <w:pPr>
        <w:pStyle w:val="BodyText"/>
      </w:pPr>
      <w:r>
        <w:rPr>
          <w:b/>
          <w:bCs/>
        </w:rPr>
        <w:t xml:space="preserve">Settings-Trennung (separate Zählung):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eLoT</w:t>
      </w:r>
      <w:r>
        <w:t xml:space="preserve"> </w:t>
      </w:r>
      <w:r>
        <w:t xml:space="preserve">— Early-stage (resektabel, neoadjuvant, adjuvant, perioperativ)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aLoT</w:t>
      </w:r>
      <w:r>
        <w:t xml:space="preserve"> </w:t>
      </w:r>
      <w:r>
        <w:t xml:space="preserve">— Advanced-stage (lokal fortgeschritten oder metastasiert)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iLoT</w:t>
      </w:r>
      <w:r>
        <w:t xml:space="preserve"> </w:t>
      </w:r>
      <w:r>
        <w:t xml:space="preserve">— Investigational: SACT mit ausschließlich nicht EMA/FDA-zugelassenen Komponenten, unabhängig vom Setting</w:t>
      </w:r>
    </w:p>
    <w:p>
      <w:pPr>
        <w:pStyle w:val="FirstParagraph"/>
      </w:pPr>
      <w:r>
        <w:rPr>
          <w:b/>
          <w:bCs/>
        </w:rPr>
        <w:t xml:space="preserve">Notation pro Setting als X.Y:</w:t>
      </w:r>
    </w:p>
    <w:p>
      <w:pPr>
        <w:pStyle w:val="Compact"/>
        <w:numPr>
          <w:ilvl w:val="0"/>
          <w:numId w:val="1002"/>
        </w:numPr>
      </w:pPr>
      <w:r>
        <w:t xml:space="preserve">X = Gesamtzahl der</w:t>
      </w:r>
      <w:r>
        <w:t xml:space="preserve"> </w:t>
      </w:r>
      <w:r>
        <w:rPr>
          <w:i/>
          <w:iCs/>
        </w:rPr>
        <w:t xml:space="preserve">New LoTs</w:t>
      </w:r>
      <w:r>
        <w:t xml:space="preserve"> </w:t>
      </w:r>
      <w:r>
        <w:t xml:space="preserve">(links vom Punkt)</w:t>
      </w:r>
    </w:p>
    <w:p>
      <w:pPr>
        <w:pStyle w:val="Compact"/>
        <w:numPr>
          <w:ilvl w:val="0"/>
          <w:numId w:val="1002"/>
        </w:numPr>
      </w:pPr>
      <w:r>
        <w:t xml:space="preserve">Y = Gesamtzahl der</w:t>
      </w:r>
      <w:r>
        <w:t xml:space="preserve"> </w:t>
      </w:r>
      <w:r>
        <w:rPr>
          <w:i/>
          <w:iCs/>
        </w:rPr>
        <w:t xml:space="preserve">Modified LoTs</w:t>
      </w:r>
      <w:r>
        <w:t xml:space="preserve"> </w:t>
      </w:r>
      <w:r>
        <w:t xml:space="preserve">seit der letzten New LoT (rechts vom Punkt; bei jedem X-Inkrement Reset auf 0)</w:t>
      </w:r>
    </w:p>
    <w:p>
      <w:pPr>
        <w:pStyle w:val="Compact"/>
        <w:numPr>
          <w:ilvl w:val="0"/>
          <w:numId w:val="1002"/>
        </w:numPr>
      </w:pPr>
      <w:r>
        <w:t xml:space="preserve">Gesamtdarstellung:</w:t>
      </w:r>
      <w:r>
        <w:t xml:space="preserve"> </w:t>
      </w:r>
      <w:r>
        <w:rPr>
          <w:rStyle w:val="VerbatimChar"/>
        </w:rPr>
        <w:t xml:space="preserve">[eLoT + aLoT] + iLoT</w:t>
      </w:r>
      <w:r>
        <w:t xml:space="preserve">, z. B.</w:t>
      </w:r>
      <w:r>
        <w:t xml:space="preserve"> </w:t>
      </w:r>
      <w:r>
        <w:rPr>
          <w:rStyle w:val="VerbatimChar"/>
        </w:rPr>
        <w:t xml:space="preserve">[eLoT 2.0 + aLoT 2.1] + iLoT 1.0</w:t>
      </w:r>
    </w:p>
    <w:p>
      <w:pPr>
        <w:pStyle w:val="FirstParagraph"/>
      </w:pPr>
      <w:r>
        <w:rPr>
          <w:b/>
          <w:bCs/>
        </w:rPr>
        <w:t xml:space="preserve">Drei-Änderungstypen-Logik: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New LoT</w:t>
      </w:r>
      <w:r>
        <w:t xml:space="preserve"> </w:t>
      </w:r>
      <w:r>
        <w:t xml:space="preserve">— bei klinischer Progression (cPD) oder fehlendem adäquatem Ansprechen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Modified LoT</w:t>
      </w:r>
      <w:r>
        <w:t xml:space="preserve"> </w:t>
      </w:r>
      <w:r>
        <w:t xml:space="preserve">— bei nicht-progressionsbedingten Änderungen (Intoleranz, Hinzunahme/Wechsel eines Agens, finanzielle/logistische Gründe)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Same LoT</w:t>
      </w:r>
      <w:r>
        <w:t xml:space="preserve"> </w:t>
      </w:r>
      <w:r>
        <w:t xml:space="preserve">— bei prospektiv geplanten Änderungen (Dosis, Schedule, Route, Erhaltungstherapie, Drug Holiday mit unveränderter Reintroduktion)</w:t>
      </w:r>
    </w:p>
    <w:p>
      <w:pPr>
        <w:pStyle w:val="FirstParagraph"/>
      </w:pPr>
      <w:r>
        <w:rPr>
          <w:b/>
          <w:bCs/>
        </w:rPr>
        <w:t xml:space="preserve">Mindestdatensatz (10 Items, 100 % Delphi-Konsens):</w:t>
      </w:r>
    </w:p>
    <w:p>
      <w:pPr>
        <w:pStyle w:val="Compact"/>
        <w:numPr>
          <w:ilvl w:val="0"/>
          <w:numId w:val="1004"/>
        </w:numPr>
      </w:pPr>
      <w:r>
        <w:t xml:space="preserve">Clinical setting · 2. Treatment intent · 3. Datum letzte cPD · 4. Anticancer modality · 5. SACT-Agent(en) · 6. Startdatum · 7. Stoppdatum · 8. Grund des Absetzens · 9. Kommentare · 10. Lines of therapy</w:t>
      </w:r>
    </w:p>
    <w:p>
      <w:pPr>
        <w:pStyle w:val="FirstParagraph"/>
      </w:pPr>
      <w:r>
        <w:rPr>
          <w:b/>
          <w:bCs/>
        </w:rPr>
        <w:t xml:space="preserve">Vier Konsens-Leitlinien</w:t>
      </w:r>
      <w:r>
        <w:t xml:space="preserve"> </w:t>
      </w:r>
      <w:r>
        <w:t xml:space="preserve">regeln Re-Challenge nach Drug Holiday, Wechsel ohne cPD, Hinzunahme/Wegfall von Agenzien (siehe Sektion 3 für Mapping auf unsere Spec).</w:t>
      </w:r>
    </w:p>
    <w:bookmarkEnd w:id="20"/>
    <w:bookmarkStart w:id="21" w:name="X0c8cebceab527f632c5b2fe14811608ba9843e9"/>
    <w:p>
      <w:pPr>
        <w:pStyle w:val="Heading2"/>
      </w:pPr>
      <w:r>
        <w:t xml:space="preserve">2. Anwendungsbeispiel (aus dem Paper)</w:t>
      </w:r>
    </w:p>
    <w:p>
      <w:pPr>
        <w:pStyle w:val="FirstParagraph"/>
      </w:pPr>
      <w:r>
        <w:t xml:space="preserve">Mammakarzinom Stage III mit kurativer Intention:</w:t>
      </w:r>
    </w:p>
    <w:p>
      <w:pPr>
        <w:pStyle w:val="Compact"/>
        <w:numPr>
          <w:ilvl w:val="0"/>
          <w:numId w:val="1005"/>
        </w:numPr>
      </w:pPr>
      <w:r>
        <w:t xml:space="preserve">FEC × 6 → BCS + EBRT → Tamoxifen 2 J → Letrozol 3 J geplant; Letrozol-Intoleranz, Wechsel auf Anastrozol =</w:t>
      </w:r>
      <w:r>
        <w:t xml:space="preserve"> </w:t>
      </w:r>
      <w:r>
        <w:rPr>
          <w:rStyle w:val="VerbatimChar"/>
        </w:rPr>
        <w:t xml:space="preserve">eLoT 1.1</w:t>
      </w:r>
      <w:r>
        <w:t xml:space="preserve"> </w:t>
      </w:r>
      <w:r>
        <w:t xml:space="preserve">(Modified)</w:t>
      </w:r>
    </w:p>
    <w:p>
      <w:pPr>
        <w:pStyle w:val="Compact"/>
        <w:numPr>
          <w:ilvl w:val="0"/>
          <w:numId w:val="1005"/>
        </w:numPr>
      </w:pPr>
      <w:r>
        <w:t xml:space="preserve">Isoliertes Lokalrezidiv → Mastektomie + Exemestan =</w:t>
      </w:r>
      <w:r>
        <w:t xml:space="preserve"> </w:t>
      </w:r>
      <w:r>
        <w:rPr>
          <w:rStyle w:val="VerbatimChar"/>
        </w:rPr>
        <w:t xml:space="preserve">eLoT 2.0</w:t>
      </w:r>
      <w:r>
        <w:t xml:space="preserve"> </w:t>
      </w:r>
      <w:r>
        <w:t xml:space="preserve">(New)</w:t>
      </w:r>
    </w:p>
    <w:p>
      <w:pPr>
        <w:pStyle w:val="Compact"/>
        <w:numPr>
          <w:ilvl w:val="0"/>
          <w:numId w:val="1005"/>
        </w:numPr>
      </w:pPr>
      <w:r>
        <w:t xml:space="preserve">Spätere nicht-resektable Manifestation → Ribociclib + Fulvestrant =</w:t>
      </w:r>
      <w:r>
        <w:t xml:space="preserve"> </w:t>
      </w:r>
      <w:r>
        <w:rPr>
          <w:rStyle w:val="VerbatimChar"/>
        </w:rPr>
        <w:t xml:space="preserve">aLoT 1.0</w:t>
      </w:r>
      <w:r>
        <w:t xml:space="preserve"> </w:t>
      </w:r>
      <w:r>
        <w:t xml:space="preserve">(im fortgeschrittenen Setting eigene Zählung)</w:t>
      </w:r>
    </w:p>
    <w:p>
      <w:pPr>
        <w:pStyle w:val="Compact"/>
        <w:numPr>
          <w:ilvl w:val="0"/>
          <w:numId w:val="1005"/>
        </w:numPr>
      </w:pPr>
      <w:r>
        <w:t xml:space="preserve">Phase-I LAG3-Antikörper nach cPD =</w:t>
      </w:r>
      <w:r>
        <w:t xml:space="preserve"> </w:t>
      </w:r>
      <w:r>
        <w:rPr>
          <w:rStyle w:val="VerbatimChar"/>
        </w:rPr>
        <w:t xml:space="preserve">iLoT 1.0</w:t>
      </w:r>
    </w:p>
    <w:p>
      <w:pPr>
        <w:pStyle w:val="FirstParagraph"/>
      </w:pPr>
      <w:r>
        <w:t xml:space="preserve">Gesamtnotation:</w:t>
      </w:r>
      <w:r>
        <w:t xml:space="preserve"> </w:t>
      </w:r>
      <w:r>
        <w:rPr>
          <w:rStyle w:val="VerbatimChar"/>
        </w:rPr>
        <w:t xml:space="preserve">[eLoT 2.0 + aLoT 1.0] + iLoT 1.0</w:t>
      </w:r>
      <w:r>
        <w:t xml:space="preserve">. Das Beispiel zeigt, dass die Notation gleichzeitig Zeitverlauf, Setting-Übergänge und Studienbeteiligung in kompakter Form abbildet — direkt nutzbar als Achsenmodell für unsere Visualisierung.</w:t>
      </w:r>
    </w:p>
    <w:bookmarkEnd w:id="21"/>
    <w:bookmarkStart w:id="22" w:name="Xce81d313641f57ef8c5a0150cc10d432d8fe6c9"/>
    <w:p>
      <w:pPr>
        <w:pStyle w:val="Heading2"/>
      </w:pPr>
      <w:r>
        <w:t xml:space="preserve">3. Lücken in EnLiST und Lösungsansätze für unsere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Lücke / Designentscheidung in EnLiST</w:t>
            </w:r>
          </w:p>
        </w:tc>
        <w:tc>
          <w:tcPr/>
          <w:p>
            <w:pPr>
              <w:pStyle w:val="Compact"/>
            </w:pPr>
            <w:r>
              <w:t xml:space="preserve">Lösungsansatz für unsere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Nur solide Tumoren</w:t>
            </w:r>
            <w:r>
              <w:t xml:space="preserve"> </w:t>
            </w:r>
            <w:r>
              <w:t xml:space="preserve">im Scope; Hämatologie ausgeklammert</w:t>
            </w:r>
          </w:p>
        </w:tc>
        <w:tc>
          <w:tcPr/>
          <w:p>
            <w:pPr>
              <w:pStyle w:val="Compact"/>
            </w:pPr>
            <w:r>
              <w:t xml:space="preserve">Setting-Achse parametrierbar (</w:t>
            </w:r>
            <w:r>
              <w:rPr>
                <w:rStyle w:val="VerbatimChar"/>
              </w:rPr>
              <w:t xml:space="preserve">lot_axis_type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solid-setting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haem-phase</w:t>
            </w:r>
            <w:r>
              <w:t xml:space="preserve">); Hämatologie-Adaption als separate IG-Seite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Lokoregionale Therapien</w:t>
            </w:r>
            <w:r>
              <w:t xml:space="preserve"> </w:t>
            </w:r>
            <w:r>
              <w:t xml:space="preserve">(Chirurgie, Strahlentherapie, Ablation) ohne LoT</w:t>
            </w:r>
          </w:p>
        </w:tc>
        <w:tc>
          <w:tcPr/>
          <w:p>
            <w:pPr>
              <w:pStyle w:val="Compact"/>
            </w:pPr>
            <w:r>
              <w:t xml:space="preserve">Eigene Modalitäten-Spur in der Visualisierung, nicht in LoT-Zählung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 harte</w:t>
            </w:r>
            <w:r>
              <w:t xml:space="preserve"> </w:t>
            </w:r>
            <w:r>
              <w:rPr>
                <w:b/>
                <w:bCs/>
              </w:rPr>
              <w:t xml:space="preserve">Treatment-Holiday-Dauer</w:t>
            </w:r>
            <w:r>
              <w:t xml:space="preserve"> </w:t>
            </w:r>
            <w:r>
              <w:t xml:space="preserve">als Cut-off</w:t>
            </w:r>
          </w:p>
        </w:tc>
        <w:tc>
          <w:tcPr/>
          <w:p>
            <w:pPr>
              <w:pStyle w:val="Compact"/>
            </w:pPr>
            <w:r>
              <w:t xml:space="preserve">Entitäts- und protokollspezifische Heuristiken zulassen; optional als Konfiguration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"Locally advanced"</w:t>
            </w:r>
            <w:r>
              <w:t xml:space="preserve"> </w:t>
            </w:r>
            <w:r>
              <w:t xml:space="preserve">unter aLoT geführt — tumorspezifisch diskutabel</w:t>
            </w:r>
          </w:p>
        </w:tc>
        <w:tc>
          <w:tcPr/>
          <w:p>
            <w:pPr>
              <w:pStyle w:val="Compact"/>
            </w:pPr>
            <w:r>
              <w:t xml:space="preserve">aLoT führen, aber</w:t>
            </w:r>
            <w:r>
              <w:t xml:space="preserve"> </w:t>
            </w:r>
            <w:r>
              <w:rPr>
                <w:rStyle w:val="VerbatimChar"/>
              </w:rPr>
              <w:t xml:space="preserve">clinicalSetting</w:t>
            </w:r>
            <w:r>
              <w:t xml:space="preserve"> </w:t>
            </w:r>
            <w:r>
              <w:t xml:space="preserve">codiert (early / advanced-locally / advanced-metastatic) erhalten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Chemoradiotherapie-LoT</w:t>
            </w:r>
            <w:r>
              <w:t xml:space="preserve"> </w:t>
            </w:r>
            <w:r>
              <w:t xml:space="preserve">abhängig von SACT-Dosis und klinischem Urteil</w:t>
            </w:r>
          </w:p>
        </w:tc>
        <w:tc>
          <w:tcPr/>
          <w:p>
            <w:pPr>
              <w:pStyle w:val="Compact"/>
            </w:pPr>
            <w:r>
              <w:t xml:space="preserve">Im Mindestdatensatz optional als codiertes Kommentar-Feld "CRT included"; explizite Doku im 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 vs. Setting</w:t>
            </w:r>
            <w:r>
              <w:t xml:space="preserve"> </w:t>
            </w:r>
            <w:r>
              <w:t xml:space="preserve">entkoppelt — Paper rät zur Setting-Achse als primärer Strukturierung</w:t>
            </w:r>
          </w:p>
        </w:tc>
        <w:tc>
          <w:tcPr/>
          <w:p>
            <w:pPr>
              <w:pStyle w:val="Compact"/>
            </w:pPr>
            <w:r>
              <w:t xml:space="preserve">Beide Felder erhalten:</w:t>
            </w:r>
            <w:r>
              <w:t xml:space="preserve"> </w:t>
            </w:r>
            <w:r>
              <w:rPr>
                <w:rStyle w:val="VerbatimChar"/>
              </w:rPr>
              <w:t xml:space="preserve">clinicalSetting</w:t>
            </w:r>
            <w:r>
              <w:t xml:space="preserve"> </w:t>
            </w:r>
            <w:r>
              <w:t xml:space="preserve">und</w:t>
            </w:r>
            <w:r>
              <w:t xml:space="preserve"> </w:t>
            </w:r>
            <w:r>
              <w:rPr>
                <w:rStyle w:val="VerbatimChar"/>
              </w:rPr>
              <w:t xml:space="preserve">treatmentIntent</w:t>
            </w:r>
            <w:r>
              <w:t xml:space="preserve"> </w:t>
            </w:r>
            <w:r>
              <w:t xml:space="preserve">separat, Setting impliziert nicht 1:1 Intent (z. B. palliativer Frühphasen-Einsatz)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</w:t>
            </w:r>
            <w:r>
              <w:t xml:space="preserve"> </w:t>
            </w:r>
            <w:r>
              <w:rPr>
                <w:b/>
                <w:bCs/>
              </w:rPr>
              <w:t xml:space="preserve">FHIR-Profil-Set</w:t>
            </w:r>
            <w:r>
              <w:t xml:space="preserve"> </w:t>
            </w:r>
            <w:r>
              <w:t xml:space="preserve">— EnLiST ist konzeptionell, nicht profiltechnisch</w:t>
            </w:r>
          </w:p>
        </w:tc>
        <w:tc>
          <w:tcPr/>
          <w:p>
            <w:pPr>
              <w:pStyle w:val="Compact"/>
            </w:pPr>
            <w:r>
              <w:t xml:space="preserve">Eigene Profile:</w:t>
            </w:r>
            <w:r>
              <w:t xml:space="preserve"> </w:t>
            </w:r>
            <w:r>
              <w:rPr>
                <w:rStyle w:val="VerbatimChar"/>
              </w:rPr>
              <w:t xml:space="preserve">KIGOTherapyLine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KIGOTherapyIntent</w:t>
            </w:r>
            <w:r>
              <w:t xml:space="preserve"> </w:t>
            </w:r>
            <w:r>
              <w:t xml:space="preserve">(Extension),</w:t>
            </w:r>
            <w:r>
              <w:t xml:space="preserve"> </w:t>
            </w:r>
            <w:r>
              <w:rPr>
                <w:rStyle w:val="VerbatimChar"/>
              </w:rPr>
              <w:t xml:space="preserve">KIGOClinicalSetting</w:t>
            </w:r>
            <w:r>
              <w:t xml:space="preserve"> </w:t>
            </w:r>
            <w:r>
              <w:t xml:space="preserve">(Extension); CodeSysteme</w:t>
            </w:r>
            <w:r>
              <w:t xml:space="preserve"> </w:t>
            </w:r>
            <w:r>
              <w:rPr>
                <w:rStyle w:val="VerbatimChar"/>
              </w:rPr>
              <w:t xml:space="preserve">kigo-lot-setting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kigo-treatment-intent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 direkte</w:t>
            </w:r>
            <w:r>
              <w:t xml:space="preserve"> </w:t>
            </w:r>
            <w:r>
              <w:rPr>
                <w:b/>
                <w:bCs/>
              </w:rPr>
              <w:t xml:space="preserve">Anbindung an MII KDS</w:t>
            </w:r>
          </w:p>
        </w:tc>
        <w:tc>
          <w:tcPr/>
          <w:p>
            <w:pPr>
              <w:pStyle w:val="Compact"/>
            </w:pPr>
            <w:r>
              <w:t xml:space="preserve">Mapping-Tabellen: EnLiST</w:t>
            </w:r>
            <w:r>
              <w:t xml:space="preserve"> </w:t>
            </w:r>
            <w:r>
              <w:rPr>
                <w:rStyle w:val="VerbatimChar"/>
              </w:rPr>
              <w:t xml:space="preserve">anticancer_modality</w:t>
            </w:r>
            <w:r>
              <w:t xml:space="preserve"> </w:t>
            </w:r>
            <w:r>
              <w:t xml:space="preserve">× MII-Medikation; EnLiST</w:t>
            </w:r>
            <w:r>
              <w:t xml:space="preserve"> </w:t>
            </w:r>
            <w:r>
              <w:rPr>
                <w:rStyle w:val="VerbatimChar"/>
              </w:rPr>
              <w:t xml:space="preserve">cPD</w:t>
            </w:r>
            <w:r>
              <w:t xml:space="preserve"> </w:t>
            </w:r>
            <w:r>
              <w:t xml:space="preserve">× oncoBox/oBDS-Progression;</w:t>
            </w:r>
            <w:r>
              <w:t xml:space="preserve"> </w:t>
            </w:r>
            <w:r>
              <w:rPr>
                <w:rStyle w:val="VerbatimChar"/>
              </w:rPr>
              <w:t xml:space="preserve">stop_reason</w:t>
            </w:r>
            <w:r>
              <w:t xml:space="preserve"> </w:t>
            </w:r>
            <w:r>
              <w:t xml:space="preserve">× oBDS-Therapieendegrund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Keine</w:t>
            </w:r>
            <w:r>
              <w:t xml:space="preserve"> </w:t>
            </w:r>
            <w:r>
              <w:rPr>
                <w:b/>
                <w:bCs/>
              </w:rPr>
              <w:t xml:space="preserve">Transformationsereignisse</w:t>
            </w:r>
            <w:r>
              <w:t xml:space="preserve"> </w:t>
            </w:r>
            <w:r>
              <w:t xml:space="preserve">(auch in soliden Tumoren relevant, z. B. NSCLC → SCLC unter EGFR-TKI)</w:t>
            </w:r>
          </w:p>
        </w:tc>
        <w:tc>
          <w:tcPr/>
          <w:p>
            <w:pPr>
              <w:pStyle w:val="Compact"/>
            </w:pPr>
            <w:r>
              <w:t xml:space="preserve">Eigenes Event-Konzept analog zur Hämatologie-Adaption; ValueSet</w:t>
            </w:r>
            <w:r>
              <w:t xml:space="preserve"> </w:t>
            </w:r>
            <w:r>
              <w:rPr>
                <w:rStyle w:val="VerbatimChar"/>
              </w:rPr>
              <w:t xml:space="preserve">kigo-transformation-event</w:t>
            </w:r>
          </w:p>
        </w:tc>
      </w:tr>
    </w:tbl>
    <w:bookmarkEnd w:id="22"/>
    <w:bookmarkStart w:id="23" w:name="X33f89d8714afc5ae5c30f8d0f734957731418ab"/>
    <w:p>
      <w:pPr>
        <w:pStyle w:val="Heading2"/>
      </w:pPr>
      <w:r>
        <w:t xml:space="preserve">4. Direkt übernehmbare Elemente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X.Y-Notation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[eLoT + aLoT] + iLoT</w:t>
      </w:r>
      <w:r>
        <w:t xml:space="preserve">-Gesamtdarstellung — als computable Repräsentation in einem</w:t>
      </w:r>
      <w:r>
        <w:t xml:space="preserve"> </w:t>
      </w:r>
      <w:r>
        <w:rPr>
          <w:rStyle w:val="VerbatimChar"/>
        </w:rPr>
        <w:t xml:space="preserve">KIGOLineOfTherapy</w:t>
      </w:r>
      <w:r>
        <w:t xml:space="preserve">-Profil mit Slot-basierten Komponenten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Drei-Änderungstypen-Logik</w:t>
      </w:r>
      <w:r>
        <w:t xml:space="preserve"> </w:t>
      </w:r>
      <w:r>
        <w:t xml:space="preserve">(New/Modified/Same) — ValueSet</w:t>
      </w:r>
      <w:r>
        <w:t xml:space="preserve"> </w:t>
      </w:r>
      <w:r>
        <w:rPr>
          <w:rStyle w:val="VerbatimChar"/>
        </w:rPr>
        <w:t xml:space="preserve">kigo-lot-change-type</w:t>
      </w:r>
      <w:r>
        <w:t xml:space="preserve"> </w:t>
      </w:r>
      <w:r>
        <w:t xml:space="preserve">und Pflichtfeld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Mindestdatensatz mit 10 Items</w:t>
      </w:r>
      <w:r>
        <w:t xml:space="preserve"> </w:t>
      </w:r>
      <w:r>
        <w:t xml:space="preserve">als MustSupport-Set des LoT-Profils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Vier Konsens-Leitlinien</w:t>
      </w:r>
      <w:r>
        <w:t xml:space="preserve"> </w:t>
      </w:r>
      <w:r>
        <w:t xml:space="preserve">als Invariants/Guidance im IG (z. B.</w:t>
      </w:r>
      <w:r>
        <w:t xml:space="preserve"> </w:t>
      </w:r>
      <w:r>
        <w:rPr>
          <w:rStyle w:val="VerbatimChar"/>
        </w:rPr>
        <w:t xml:space="preserve">inv-kigo-1</w:t>
      </w:r>
      <w:r>
        <w:t xml:space="preserve">: "Re-Challenge nach Treatment Holiday ohne dazwischenliegendes anderes Regime ergibt Same LoT")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SACT-Definition</w:t>
      </w:r>
      <w:r>
        <w:t xml:space="preserve"> </w:t>
      </w:r>
      <w:r>
        <w:t xml:space="preserve">mit acht Subkategorien (zytotoxisch, endokrin, targeted, Immuntherapie, Zell-/Gentherapie, Krebsvakzine, Radiopharmaka, Sonstige) — CodeSystem</w:t>
      </w:r>
      <w:r>
        <w:t xml:space="preserve"> </w:t>
      </w:r>
      <w:r>
        <w:rPr>
          <w:rStyle w:val="VerbatimChar"/>
        </w:rPr>
        <w:t xml:space="preserve">kigo-anticancer-modality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iLoT-Konzept</w:t>
      </w:r>
      <w:r>
        <w:t xml:space="preserve"> </w:t>
      </w:r>
      <w:r>
        <w:t xml:space="preserve">als Differenzierungsachse für Studienteilnahme — essenziell für RWD-Auswertbarkeit gemischter Real-World-/Studien-Verläufe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Trennung Intent / Setting / LoT-Zählung</w:t>
      </w:r>
      <w:r>
        <w:t xml:space="preserve"> </w:t>
      </w:r>
      <w:r>
        <w:t xml:space="preserve">als drei orthogonale Achsen — auch als Kommunikationsmuster für Workshop 1</w:t>
      </w:r>
    </w:p>
    <w:bookmarkEnd w:id="23"/>
    <w:bookmarkStart w:id="24" w:name="Xa7a886f6a6c0c161fd8e8a8dea52acca7e0d2f1"/>
    <w:p>
      <w:pPr>
        <w:pStyle w:val="Heading2"/>
      </w:pPr>
      <w:r>
        <w:t xml:space="preserve">5. Fazit: Was wir übernehmen und warum</w:t>
      </w:r>
    </w:p>
    <w:p>
      <w:pPr>
        <w:pStyle w:val="FirstParagraph"/>
      </w:pPr>
      <w:r>
        <w:rPr>
          <w:b/>
          <w:bCs/>
        </w:rPr>
        <w:t xml:space="preserve">Übernehmen: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X.Y-Notation und Drei-Settings-Architektur</w:t>
      </w:r>
      <w:r>
        <w:t xml:space="preserve"> </w:t>
      </w:r>
      <w:r>
        <w:t xml:space="preserve">als zentrale Strukturachse unseres Therapielinien-Konzepts. Begründung: einziger paneuropäischer Delphi-Konsens für solide Tumoren mit hohem Konsensgrad; international anschlussfähig; existierende Alternativen (Saini &amp; Twelves 2021, NHS England, OPTUM Claims, ChemoCare) sind entweder Vorläufer oder kontextlimitiert; mCODE/PCO/IPS adressieren das Problem strukturell nicht.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Mindestdatensatz mit 10 Items</w:t>
      </w:r>
      <w:r>
        <w:t xml:space="preserve"> </w:t>
      </w:r>
      <w:r>
        <w:t xml:space="preserve">als MustSupport-Set. Begründung: 100 %-Konsens-Item-Liste, deckt sich semantisch mit MII-KDS-Medikation und oBDS-Therapie zu ~80 %; verbleibende Felder (cPD-Datum, Treatment Intent, Stop-Reason als codiertes Set) sind genau die in IPS/mCODE/PCO fehlenden Verknüpfungen.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Trennung von Treatment Intent und Clinical Setting</w:t>
      </w:r>
      <w:r>
        <w:t xml:space="preserve"> </w:t>
      </w:r>
      <w:r>
        <w:t xml:space="preserve">als orthogonale Felder. Begründung: für deutsche Versorgung (palliative Frühphasen-Therapie, kurative Intention auch im fortgeschrittenen Setting bei Oligometastasen) ist die 1:1-Kopplung "advanced = palliativ" empirisch falsch; EnLiST entkoppelt sie sauber.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iLoT-Konzept</w:t>
      </w:r>
      <w:r>
        <w:t xml:space="preserve"> </w:t>
      </w:r>
      <w:r>
        <w:t xml:space="preserve">für Studienteilnahme. Begründung: in deutschen onkologischen Zentren (besonders Comprehensive Cancer Centers, NCTs) ist Studienbeteiligung Versorgungsstandard; ohne iLoT-Trennung wird die Erstattungslogik (Linien-gebundene Zulassung) verfälscht.</w:t>
      </w:r>
    </w:p>
    <w:p>
      <w:pPr>
        <w:pStyle w:val="FirstParagraph"/>
      </w:pPr>
      <w:r>
        <w:rPr>
          <w:b/>
          <w:bCs/>
        </w:rPr>
        <w:t xml:space="preserve">Erweitern: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Hämatologie-Adaption</w:t>
      </w:r>
      <w:r>
        <w:t xml:space="preserve"> </w:t>
      </w:r>
      <w:r>
        <w:t xml:space="preserve">durch Phasen-Achse statt Setting-Achse (entitätsspezifische Phasen, Transformationsereignis). Begründung: hämatologische Patient*innen sind in deutschen Tumorzentren regelmäßig vertreten; ein hämatologisches EnLiST-Pendant existiert nicht (außer Rajkumar 2015 für MM); Adaptionspfad ist in</w:t>
      </w:r>
      <w:r>
        <w:t xml:space="preserve"> </w:t>
      </w:r>
      <w:r>
        <w:rPr>
          <w:rStyle w:val="VerbatimChar"/>
        </w:rPr>
        <w:t xml:space="preserve">ig-page-haematology-adaptation.md</w:t>
      </w:r>
      <w:r>
        <w:t xml:space="preserve"> </w:t>
      </w:r>
      <w:r>
        <w:t xml:space="preserve">skizziert.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Transformationsereignisse für solide Tumoren</w:t>
      </w:r>
      <w:r>
        <w:t xml:space="preserve"> </w:t>
      </w:r>
      <w:r>
        <w:t xml:space="preserve">(z. B. NSCLC → SCLC unter EGFR-TKI, Mamma ER+ → ER– unter endokriner Therapie). Begründung: in EnLiST nicht explizit modelliert, aber klinisch und für die LoT-Logik konsequent. Analog zur Hämatologie-Adaption.</w:t>
      </w:r>
    </w:p>
    <w:p>
      <w:pPr>
        <w:pStyle w:val="FirstParagraph"/>
      </w:pPr>
      <w:r>
        <w:rPr>
          <w:b/>
          <w:bCs/>
        </w:rPr>
        <w:t xml:space="preserve">Nicht übernehmen / bewusst abweichen: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Locally-advanced-Pauschalzuordnung zu aLoT</w:t>
      </w:r>
      <w:r>
        <w:t xml:space="preserve"> </w:t>
      </w:r>
      <w:r>
        <w:t xml:space="preserve">— wir behalten die feinere Setting-Codierung (early / advanced-locally / advanced-metastatic), um tumorspezifische Auswertungen zu erlauben (z. B. Hodenkarzinom vs. Pankreas).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Reine Konzeptebene</w:t>
      </w:r>
      <w:r>
        <w:t xml:space="preserve"> </w:t>
      </w:r>
      <w:r>
        <w:t xml:space="preserve">— wir liefern Profile, ValueSets, Extensions, Invariants in FHIR; das ist unser Mehrwert gegenüber dem rein konzeptionellen EnLiST.</w:t>
      </w:r>
    </w:p>
    <w:bookmarkEnd w:id="24"/>
    <w:bookmarkStart w:id="25" w:name="X0d2e6e60cb6fce00eedbbbfb7a0b2fcb24057d7"/>
    <w:p>
      <w:pPr>
        <w:pStyle w:val="Heading2"/>
      </w:pPr>
      <w:r>
        <w:t xml:space="preserve">6. Vor LG-01-Release zu verifizieren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Konformitätsstrategie:</w:t>
      </w:r>
      <w:r>
        <w:t xml:space="preserve"> </w:t>
      </w:r>
      <w:r>
        <w:t xml:space="preserve">EnLiST-Notation strikt oder mit Erweiterungen (Phasenachse Hämatologie, Transformationsevents) — Auswirkung auf internationalen Anschluss klären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Mapping auf MII KDS-Onkologie</w:t>
      </w:r>
      <w:r>
        <w:t xml:space="preserve"> </w:t>
      </w:r>
      <w:r>
        <w:t xml:space="preserve">und oBDS prüfen, insbesondere</w:t>
      </w:r>
      <w:r>
        <w:t xml:space="preserve"> </w:t>
      </w:r>
      <w:r>
        <w:rPr>
          <w:rStyle w:val="VerbatimChar"/>
        </w:rPr>
        <w:t xml:space="preserve">anticancer_modality</w:t>
      </w:r>
      <w:r>
        <w:t xml:space="preserve">-Subkategorien gegen MII-Medikations- und Therapieprofile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GRADE-Bewertungsangaben</w:t>
      </w:r>
      <w:r>
        <w:t xml:space="preserve"> </w:t>
      </w:r>
      <w:r>
        <w:t xml:space="preserve">(qualityOfEvidence / strengthOfRecommendation) für Anbindung an S3-Leitlinien klären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des Frameworks:</w:t>
      </w:r>
      <w:r>
        <w:t xml:space="preserve"> </w:t>
      </w:r>
      <w:r>
        <w:t xml:space="preserve">"road testing" durch ESMO 2026–2027 — unsere Spec versionskompatibel zu möglichen Updates halten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Onkologische Fachkommission der KIG</w:t>
      </w:r>
      <w:r>
        <w:t xml:space="preserve"> </w:t>
      </w:r>
      <w:r>
        <w:t xml:space="preserve">einbinden für Validierung der Übertragbarkeit auf deutsche Versorgungsrealität (Konsiliumsärzte, Tumorboard-Strukturen)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CRT und Erhaltungstherapie:</w:t>
      </w:r>
      <w:r>
        <w:t xml:space="preserve"> </w:t>
      </w:r>
      <w:r>
        <w:t xml:space="preserve">Versorgungspraxis in DE gegen EnLiST-Auslegung spiegeln (FOLFIRINOX-TNT rectal; CDK4/6-Inhibitor-Maintenance; Olaparib-Maintenance)</w:t>
      </w:r>
    </w:p>
    <w:bookmarkEnd w:id="25"/>
    <w:bookmarkStart w:id="26" w:name="X28cf1cec3b85250e6e55fe9bbb026242ec6a28f"/>
    <w:p>
      <w:pPr>
        <w:pStyle w:val="Heading2"/>
      </w:pPr>
      <w:r>
        <w:t xml:space="preserve">7. Quellen</w:t>
      </w:r>
    </w:p>
    <w:p>
      <w:pPr>
        <w:pStyle w:val="Compact"/>
        <w:numPr>
          <w:ilvl w:val="0"/>
          <w:numId w:val="1011"/>
        </w:numPr>
      </w:pPr>
      <w:r>
        <w:t xml:space="preserve">Saini KS, Koopman M, Martins-Branco D et al.</w:t>
      </w:r>
      <w:r>
        <w:t xml:space="preserve"> </w:t>
      </w:r>
      <w:r>
        <w:rPr>
          <w:i/>
          <w:iCs/>
        </w:rPr>
        <w:t xml:space="preserve">ESMO adaptation of Lines of Systemic Therapy (EnLiST): a consensus framework for standardising the designation of lines of therapy in solid tumours.</w:t>
      </w:r>
      <w:r>
        <w:t xml:space="preserve"> </w:t>
      </w:r>
      <w:r>
        <w:t xml:space="preserve">Annals of Oncology 2026;37(5):608–623. DOI:</w:t>
      </w:r>
      <w:r>
        <w:t xml:space="preserve"> </w:t>
      </w:r>
      <w:hyperlink r:id="rId19">
        <w:r>
          <w:rPr>
            <w:rStyle w:val="Hyperlink"/>
          </w:rPr>
          <w:t xml:space="preserve">10.1016/j.annonc.2026.02.008</w:t>
        </w:r>
      </w:hyperlink>
    </w:p>
    <w:p>
      <w:pPr>
        <w:pStyle w:val="Compact"/>
        <w:numPr>
          <w:ilvl w:val="0"/>
          <w:numId w:val="1011"/>
        </w:numPr>
      </w:pPr>
      <w:r>
        <w:t xml:space="preserve">Saini KS, Twelves C.</w:t>
      </w:r>
      <w:r>
        <w:t xml:space="preserve"> </w:t>
      </w:r>
      <w:r>
        <w:rPr>
          <w:i/>
          <w:iCs/>
        </w:rPr>
        <w:t xml:space="preserve">Determining lines of therapy in patients with solid cancers: a proposed new systematic and comprehensive framework.</w:t>
      </w:r>
      <w:r>
        <w:t xml:space="preserve"> </w:t>
      </w:r>
      <w:r>
        <w:t xml:space="preserve">Br J Cancer 2021;125(2):155–163. (EnLiST-Vorgänger)</w:t>
      </w:r>
    </w:p>
    <w:p>
      <w:pPr>
        <w:pStyle w:val="Compact"/>
        <w:numPr>
          <w:ilvl w:val="0"/>
          <w:numId w:val="1011"/>
        </w:numPr>
      </w:pPr>
      <w:r>
        <w:t xml:space="preserve">Rajkumar SV, Richardson PG, San Miguel JF.</w:t>
      </w:r>
      <w:r>
        <w:t xml:space="preserve"> </w:t>
      </w:r>
      <w:r>
        <w:rPr>
          <w:i/>
          <w:iCs/>
        </w:rPr>
        <w:t xml:space="preserve">Guidelines for determination of the number of prior lines of therapy in multiple myeloma.</w:t>
      </w:r>
      <w:r>
        <w:t xml:space="preserve"> </w:t>
      </w:r>
      <w:r>
        <w:t xml:space="preserve">Blood 2015;126(7):921–922. (Hämatologie-Vorbild, außerhalb des Hauptscope)</w:t>
      </w:r>
    </w:p>
    <w:p>
      <w:pPr>
        <w:pStyle w:val="Compact"/>
        <w:numPr>
          <w:ilvl w:val="0"/>
          <w:numId w:val="1011"/>
        </w:numPr>
      </w:pPr>
      <w:r>
        <w:t xml:space="preserve">Projektinterne Volltextzusammenfassung:</w:t>
      </w:r>
      <w:r>
        <w:t xml:space="preserve"> </w:t>
      </w:r>
      <w:r>
        <w:rPr>
          <w:rStyle w:val="VerbatimChar"/>
        </w:rPr>
        <w:t xml:space="preserve">visualisierung-therapieziel/esmo-enlist-framework-2026-zusammenfassung.md</w:t>
      </w:r>
    </w:p>
    <w:p>
      <w:pPr>
        <w:pStyle w:val="Compact"/>
        <w:numPr>
          <w:ilvl w:val="0"/>
          <w:numId w:val="1011"/>
        </w:numPr>
      </w:pPr>
      <w:r>
        <w:t xml:space="preserve">Hämatologie-Adaptionspfad:</w:t>
      </w:r>
      <w:r>
        <w:t xml:space="preserve"> </w:t>
      </w:r>
      <w:r>
        <w:rPr>
          <w:rStyle w:val="VerbatimChar"/>
        </w:rPr>
        <w:t xml:space="preserve">visualisierung-therapieziel/ig-page-haematology-adaptation.md</w:t>
      </w:r>
    </w:p>
    <w:p>
      <w:pPr>
        <w:pStyle w:val="Compact"/>
        <w:numPr>
          <w:ilvl w:val="0"/>
          <w:numId w:val="1011"/>
        </w:numPr>
      </w:pPr>
      <w:r>
        <w:t xml:space="preserve">Versorgungsforschungs-Evidenz zur Leitlinienadhärenz:</w:t>
      </w:r>
      <w:r>
        <w:t xml:space="preserve"> </w:t>
      </w:r>
      <w:r>
        <w:rPr>
          <w:rStyle w:val="VerbatimChar"/>
        </w:rPr>
        <w:t xml:space="preserve">visualisierung-therapieziel/leitlinienadhaerenz-evidenz.md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5840" w:w="12240"/>
      <w:pgMar w:bottom="1417" w:footer="680" w:gutter="0" w:header="680" w:left="141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ira Sans" w:hAnsi="Fira Sans" w:cs="Fira Sans" w:eastAsia="Fira Sans"/>
        <w:color w:val="9D9D9D"/>
        <w:sz w:val="16"/>
      </w:rPr>
      <w:t>BIH-CEI · Gematik KIG Onkologische Therapieziele · unoffizielle Vorlage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60000" cy="5533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h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5533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Fira Sans" w:cs="Fira Sans" w:eastAsia="Fira Sans" w:hAnsi="Fira Sans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80"/>
      <w:outlineLvl w:val="0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003754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0ACC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/>
      <w:outlineLvl w:val="2"/>
    </w:pPr>
    <w:rPr>
      <w:rFonts w:ascii="Fira Sans" w:asciiTheme="majorHAnsi" w:cs="Fira Sans" w:cstheme="majorBidi" w:eastAsia="Fira Sans" w:eastAsiaTheme="majorEastAsia" w:hAnsi="Fira Sans" w:hAnsiTheme="majorHAnsi"/>
      <w:b/>
      <w:bCs/>
      <w:color w:val="723C5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200"/>
      <w:outlineLvl w:val="3"/>
    </w:pPr>
    <w:rPr>
      <w:rFonts w:ascii="Fira Sans" w:asciiTheme="majorHAnsi" w:cs="Fira Sans" w:cstheme="majorBidi" w:eastAsia="Fira Sans" w:eastAsiaTheme="majorEastAsia" w:hAnsi="Fira Sans" w:hAnsiTheme="majorHAnsi"/>
      <w:b/>
      <w:bCs/>
      <w:i/>
      <w:iCs/>
      <w:color w:val="4C626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Fira Sans" w:asciiTheme="majorHAnsi" w:cs="Fira Sans" w:cstheme="majorBidi" w:eastAsia="Fira Sans" w:eastAsiaTheme="majorEastAsia" w:hAnsi="Fira Sans" w:hAnsiTheme="majorHAnsi"/>
      <w:b/>
      <w:color w:val="00375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="Fira Sans" w:asciiTheme="majorHAnsi" w:cs="Fira Sans" w:cstheme="majorBidi" w:eastAsia="Fira Sans" w:eastAsiaTheme="majorEastAsia" w:hAnsi="Fira Sans" w:hAnsiTheme="majorHAnsi"/>
      <w:b w:val="0"/>
      <w:i/>
      <w:iCs/>
      <w:color w:val="70ACC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cs="Fira Sans" w:eastAsia="Fira Sans" w:hAnsi="Fira Sans"/>
      <w:color w:val="000000"/>
      <w:sz w:val="2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ind w:left="283"/>
    </w:pPr>
    <w:rPr>
      <w:rFonts w:ascii="Fira Sans" w:cs="Fira Sans" w:eastAsia="Fira Sans" w:hAnsi="Fira Sans"/>
      <w:i/>
      <w:iCs/>
      <w:color w:val="723C5D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cs="Fira Sans" w:eastAsia="Fira Sans" w:hAnsi="Fira Sans"/>
      <w:b/>
      <w:bCs/>
      <w:color w:val="4C626C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283" w:right="936"/>
    </w:pPr>
    <w:rPr>
      <w:rFonts w:ascii="Fira Sans" w:cs="Fira Sans" w:eastAsia="Fira Sans" w:hAnsi="Fira Sans"/>
      <w:b/>
      <w:bCs/>
      <w:i/>
      <w:iCs/>
      <w:color w:val="723C5D"/>
      <w:sz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Fira Sans" w:cs="Fira Sans" w:eastAsia="Fira Sans" w:hAnsi="Fira Sans"/>
      <w:sz w:val="20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Compact" w:type="paragraph">
    <w:name w:val="Compact"/>
    <w:basedOn w:val="Normal"/>
    <w:pPr>
      <w:spacing w:after="0" w:line="240" w:lineRule="auto"/>
    </w:pPr>
    <w:rPr>
      <w:rFonts w:ascii="Fira Sans" w:cs="Fira Sans" w:hAnsi="Fira Sans"/>
      <w:sz w:val="20"/>
    </w:rPr>
  </w:style>
  <w:style w:styleId="Table" w:type="table">
    <w:name w:val="Table"/>
    <w:basedOn w:val="TableNormal"/>
    <w:uiPriority w:val="59"/>
    <w:rPr>
      <w:rFonts w:ascii="Fira Sans" w:cs="Fira Sans" w:hAnsi="Fira Sans"/>
      <w:sz w:val="20"/>
    </w:rPr>
    <w:tblPr>
      <w:tblBorders>
        <w:top w:color="70ACC0" w:space="0" w:sz="4" w:val="single"/>
        <w:left w:color="70ACC0" w:space="0" w:sz="4" w:val="single"/>
        <w:bottom w:color="70ACC0" w:space="0" w:sz="4" w:val="single"/>
        <w:right w:color="70ACC0" w:space="0" w:sz="4" w:val="single"/>
        <w:insideH w:color="70ACC0" w:space="0" w:sz="4" w:val="single"/>
        <w:insideV w:color="70ACC0" w:space="0" w:sz="4" w:val="single"/>
      </w:tblBorders>
    </w:tblPr>
    <w:tblStylePr w:type="firstRow">
      <w:rPr>
        <w:b/>
        <w:color w:val="FFFFFF"/>
      </w:rPr>
      <w:tcPr>
        <w:shd w:color="auto" w:fill="003754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19" Target="https://doi.org/10.1016/j.annonc.2026.02.00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oi.org/10.1016/j.annonc.2026.02.008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2026-05-18T07:47:48Z</dcterms:created>
  <dcterms:modified xsi:type="dcterms:W3CDTF">2026-05-18T07:47:48Z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