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69833A" w14:textId="77777777" w:rsidR="0087425A" w:rsidRDefault="0F4C0B7F">
      <w:pPr>
        <w:spacing w:after="40"/>
      </w:pPr>
      <w:r w:rsidRPr="0F4C0B7F">
        <w:rPr>
          <w:b/>
          <w:bCs/>
          <w:color w:val="1F4E79"/>
          <w:sz w:val="30"/>
          <w:szCs w:val="30"/>
          <w:lang w:val="en-US"/>
        </w:rPr>
        <w:t>IPS &amp; EPS – Zusammenfassung für „Onkologische Therapieziele“</w:t>
      </w:r>
    </w:p>
    <w:p w14:paraId="773129ED" w14:textId="77777777" w:rsidR="0087425A" w:rsidRDefault="0F4C0B7F">
      <w:pPr>
        <w:spacing w:after="120"/>
      </w:pPr>
      <w:r w:rsidRPr="0F4C0B7F">
        <w:rPr>
          <w:i/>
          <w:iCs/>
          <w:color w:val="595959"/>
          <w:sz w:val="19"/>
          <w:szCs w:val="19"/>
          <w:lang w:val="en-US"/>
        </w:rPr>
        <w:t>Baustein für Liefergegenstand LG-01 · Gematik-Auftrag · BIH-CEI</w:t>
      </w:r>
    </w:p>
    <w:p w14:paraId="551BC12B" w14:textId="77777777" w:rsidR="0087425A" w:rsidRDefault="0F4C0B7F">
      <w:pPr>
        <w:pStyle w:val="heading20"/>
      </w:pPr>
      <w:r w:rsidRPr="0F4C0B7F">
        <w:rPr>
          <w:lang w:val="en-US"/>
        </w:rPr>
        <w:t>1. Management-Zusammenfassung</w:t>
      </w:r>
    </w:p>
    <w:p w14:paraId="4C757DC7" w14:textId="77777777" w:rsidR="0087425A" w:rsidRDefault="0F4C0B7F">
      <w:pPr>
        <w:spacing w:after="80" w:line="260" w:lineRule="auto"/>
      </w:pPr>
      <w:r w:rsidRPr="0F4C0B7F">
        <w:rPr>
          <w:lang w:val="en-US"/>
        </w:rPr>
        <w:t xml:space="preserve">Die </w:t>
      </w:r>
      <w:r w:rsidRPr="0F4C0B7F">
        <w:rPr>
          <w:b/>
          <w:bCs/>
          <w:lang w:val="en-US"/>
        </w:rPr>
        <w:t>International Patient Summary (IPS) v2.0.0 STU 2</w:t>
      </w:r>
      <w:r w:rsidRPr="0F4C0B7F">
        <w:rPr>
          <w:lang w:val="en-US"/>
        </w:rPr>
        <w:t xml:space="preserve"> (HL7 International, FHIR R4, ISO/EN 27269) ist die normative Referenz für condition-agnostische Patientenzusammenfassungen. Die </w:t>
      </w:r>
      <w:r w:rsidRPr="0F4C0B7F">
        <w:rPr>
          <w:b/>
          <w:bCs/>
          <w:lang w:val="en-US"/>
        </w:rPr>
        <w:t>European Patient Summary (EPS) v1.0.0-xtehr</w:t>
      </w:r>
      <w:r w:rsidRPr="0F4C0B7F">
        <w:rPr>
          <w:lang w:val="en-US"/>
        </w:rPr>
        <w:t xml:space="preserve"> (HL7 Europe, QA-Preview Februar 2026) leitet sich direkt aus IPS ab („imposes profile IPS Composition“) und ergänzt EU-Core-Profile und Xt-EHR-Obligations. EPS ist die strategisch relevante Bezugsgröße für EHDS-/EEHRxF-Konformität.</w:t>
      </w:r>
    </w:p>
    <w:p w14:paraId="762C9261" w14:textId="77777777" w:rsidR="0087425A" w:rsidRDefault="0F4C0B7F">
      <w:pPr>
        <w:spacing w:after="80" w:line="260" w:lineRule="auto"/>
      </w:pPr>
      <w:r w:rsidRPr="0F4C0B7F">
        <w:rPr>
          <w:lang w:val="en-US"/>
        </w:rPr>
        <w:t xml:space="preserve">Beide Guides liefern </w:t>
      </w:r>
      <w:r w:rsidRPr="0F4C0B7F">
        <w:rPr>
          <w:b/>
          <w:bCs/>
          <w:lang w:val="en-US"/>
        </w:rPr>
        <w:t>übertragbare strukturelle Muster</w:t>
      </w:r>
      <w:r w:rsidRPr="0F4C0B7F">
        <w:rPr>
          <w:lang w:val="en-US"/>
        </w:rPr>
        <w:t xml:space="preserve">, adressieren aber </w:t>
      </w:r>
      <w:r w:rsidRPr="0F4C0B7F">
        <w:rPr>
          <w:b/>
          <w:bCs/>
          <w:lang w:val="en-US"/>
        </w:rPr>
        <w:t>keinerlei strukturierte Therapieziele, Therapieintention oder Therapielinien</w:t>
      </w:r>
      <w:r w:rsidRPr="0F4C0B7F">
        <w:rPr>
          <w:lang w:val="en-US"/>
        </w:rPr>
        <w:t>. Das offizielle IPS-Referenzbeispiel ist selbst ein Mammakarzinom-Fall und illustriert die Lücke im Standard direkt. Unsere Spezifikation sollte daher die IPS/EPS-Architektur übernehmen, die Core-Profile um onkologische Tiefe erweitern und die Ziel- und Abschnitts-Konzepte neu definieren.</w:t>
      </w:r>
    </w:p>
    <w:p w14:paraId="7D8FCBEF" w14:textId="77777777" w:rsidR="0087425A" w:rsidRDefault="0F4C0B7F">
      <w:pPr>
        <w:pStyle w:val="heading20"/>
      </w:pPr>
      <w:r w:rsidRPr="0F4C0B7F">
        <w:rPr>
          <w:lang w:val="en-US"/>
        </w:rPr>
        <w:t>2. Übertragbares Muster: Composition-Architektur und Plan of Care</w:t>
      </w:r>
    </w:p>
    <w:p w14:paraId="5FE0E1D9" w14:textId="77777777" w:rsidR="0087425A" w:rsidRDefault="0F4C0B7F">
      <w:pPr>
        <w:spacing w:after="80" w:line="260" w:lineRule="auto"/>
      </w:pPr>
      <w:r w:rsidRPr="0F4C0B7F">
        <w:rPr>
          <w:lang w:val="en-US"/>
        </w:rPr>
        <w:t xml:space="preserve">IPS definiert eine FHIR-Composition (Document-Type </w:t>
      </w:r>
      <w:r w:rsidRPr="0F4C0B7F">
        <w:rPr>
          <w:rFonts w:ascii="Consolas" w:eastAsia="Consolas" w:hAnsi="Consolas" w:cs="Consolas"/>
          <w:sz w:val="19"/>
          <w:szCs w:val="19"/>
          <w:lang w:val="en-US"/>
        </w:rPr>
        <w:t>LOINC 60591-5</w:t>
      </w:r>
      <w:r w:rsidRPr="0F4C0B7F">
        <w:rPr>
          <w:lang w:val="en-US"/>
        </w:rPr>
        <w:t xml:space="preserve">) mit 16 sliced Sektionen: drei Required (Problems </w:t>
      </w:r>
      <w:r w:rsidRPr="0F4C0B7F">
        <w:rPr>
          <w:rFonts w:ascii="Consolas" w:eastAsia="Consolas" w:hAnsi="Consolas" w:cs="Consolas"/>
          <w:sz w:val="19"/>
          <w:szCs w:val="19"/>
          <w:lang w:val="en-US"/>
        </w:rPr>
        <w:t>11450-4</w:t>
      </w:r>
      <w:r w:rsidRPr="0F4C0B7F">
        <w:rPr>
          <w:lang w:val="en-US"/>
        </w:rPr>
        <w:t xml:space="preserve">, Medications </w:t>
      </w:r>
      <w:r w:rsidRPr="0F4C0B7F">
        <w:rPr>
          <w:rFonts w:ascii="Consolas" w:eastAsia="Consolas" w:hAnsi="Consolas" w:cs="Consolas"/>
          <w:sz w:val="19"/>
          <w:szCs w:val="19"/>
          <w:lang w:val="en-US"/>
        </w:rPr>
        <w:t>10160-0</w:t>
      </w:r>
      <w:r w:rsidRPr="0F4C0B7F">
        <w:rPr>
          <w:lang w:val="en-US"/>
        </w:rPr>
        <w:t xml:space="preserve">, Allergies </w:t>
      </w:r>
      <w:r w:rsidRPr="0F4C0B7F">
        <w:rPr>
          <w:rFonts w:ascii="Consolas" w:eastAsia="Consolas" w:hAnsi="Consolas" w:cs="Consolas"/>
          <w:sz w:val="19"/>
          <w:szCs w:val="19"/>
          <w:lang w:val="en-US"/>
        </w:rPr>
        <w:t>48765-2</w:t>
      </w:r>
      <w:r w:rsidRPr="0F4C0B7F">
        <w:rPr>
          <w:lang w:val="en-US"/>
        </w:rPr>
        <w:t xml:space="preserve">), eine Recommended (Immunizations </w:t>
      </w:r>
      <w:r w:rsidRPr="0F4C0B7F">
        <w:rPr>
          <w:rFonts w:ascii="Consolas" w:eastAsia="Consolas" w:hAnsi="Consolas" w:cs="Consolas"/>
          <w:sz w:val="19"/>
          <w:szCs w:val="19"/>
          <w:lang w:val="en-US"/>
        </w:rPr>
        <w:t>11369-6</w:t>
      </w:r>
      <w:r w:rsidRPr="0F4C0B7F">
        <w:rPr>
          <w:lang w:val="en-US"/>
        </w:rPr>
        <w:t xml:space="preserve">), zwölf Optional. Jede Sektion trägt einen LOINC-Code, menschenlesbaren Narrative-Text und eine definierte Ressourcen-Liste; das </w:t>
      </w:r>
      <w:r w:rsidRPr="0F4C0B7F">
        <w:rPr>
          <w:b/>
          <w:bCs/>
          <w:lang w:val="en-US"/>
        </w:rPr>
        <w:t>emptyReason-Muster</w:t>
      </w:r>
      <w:r w:rsidRPr="0F4C0B7F">
        <w:rPr>
          <w:lang w:val="en-US"/>
        </w:rPr>
        <w:t xml:space="preserve"> macht „nicht vorhanden“ explizit. Der Slice </w:t>
      </w:r>
      <w:r w:rsidRPr="0F4C0B7F">
        <w:rPr>
          <w:rFonts w:ascii="Consolas" w:eastAsia="Consolas" w:hAnsi="Consolas" w:cs="Consolas"/>
          <w:sz w:val="19"/>
          <w:szCs w:val="19"/>
          <w:lang w:val="en-US"/>
        </w:rPr>
        <w:t>Composition.event:careProvisioningEvent</w:t>
      </w:r>
      <w:r w:rsidRPr="0F4C0B7F">
        <w:rPr>
          <w:lang w:val="en-US"/>
        </w:rPr>
        <w:t xml:space="preserve"> (v3-ActCode </w:t>
      </w:r>
      <w:r w:rsidRPr="0F4C0B7F">
        <w:rPr>
          <w:rFonts w:ascii="Consolas" w:eastAsia="Consolas" w:hAnsi="Consolas" w:cs="Consolas"/>
          <w:sz w:val="19"/>
          <w:szCs w:val="19"/>
          <w:lang w:val="en-US"/>
        </w:rPr>
        <w:t>PCPR</w:t>
      </w:r>
      <w:r w:rsidRPr="0F4C0B7F">
        <w:rPr>
          <w:lang w:val="en-US"/>
        </w:rPr>
        <w:t xml:space="preserve">, </w:t>
      </w:r>
      <w:r w:rsidRPr="0F4C0B7F">
        <w:rPr>
          <w:rFonts w:ascii="Consolas" w:eastAsia="Consolas" w:hAnsi="Consolas" w:cs="Consolas"/>
          <w:sz w:val="19"/>
          <w:szCs w:val="19"/>
          <w:lang w:val="en-US"/>
        </w:rPr>
        <w:t>event.period</w:t>
      </w:r>
      <w:r w:rsidRPr="0F4C0B7F">
        <w:rPr>
          <w:lang w:val="en-US"/>
        </w:rPr>
        <w:t>) ist der einzige vorhandene Anker für Behandlungszeiträume – mit Kardinalität 0..1 für unsere Spec zu eng. Therapieziel-relevant sind vor allem drei optionale Sektionen:</w:t>
      </w:r>
    </w:p>
    <w:tbl>
      <w:tblPr>
        <w:tblW w:w="9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1400"/>
        <w:gridCol w:w="5206"/>
      </w:tblGrid>
      <w:tr w:rsidR="0087425A" w14:paraId="6CBE0AEF" w14:textId="77777777" w:rsidTr="0F4C0B7F">
        <w:trPr>
          <w:tblHeader/>
        </w:trPr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18CD9D" w14:textId="77777777" w:rsidR="0087425A" w:rsidRDefault="0F4C0B7F">
            <w:pPr>
              <w:spacing w:line="250" w:lineRule="auto"/>
            </w:pPr>
            <w:r w:rsidRPr="0F4C0B7F">
              <w:rPr>
                <w:b/>
                <w:bCs/>
                <w:lang w:val="en-US"/>
              </w:rPr>
              <w:t>Optionale Sektion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B2C363" w14:textId="77777777" w:rsidR="0087425A" w:rsidRDefault="0001525A">
            <w:pPr>
              <w:spacing w:line="250" w:lineRule="auto"/>
            </w:pPr>
            <w:r>
              <w:rPr>
                <w:b/>
                <w:bCs/>
              </w:rPr>
              <w:t>LOINC</w:t>
            </w:r>
          </w:p>
        </w:tc>
        <w:tc>
          <w:tcPr>
            <w:tcW w:w="52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406F46" w14:textId="77777777" w:rsidR="0087425A" w:rsidRDefault="0F4C0B7F">
            <w:pPr>
              <w:spacing w:line="250" w:lineRule="auto"/>
            </w:pPr>
            <w:r w:rsidRPr="0F4C0B7F">
              <w:rPr>
                <w:b/>
                <w:bCs/>
                <w:lang w:val="en-US"/>
              </w:rPr>
              <w:t>Relevanz</w:t>
            </w:r>
          </w:p>
        </w:tc>
      </w:tr>
      <w:tr w:rsidR="0087425A" w14:paraId="620FF226" w14:textId="77777777" w:rsidTr="0F4C0B7F"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D5740A" w14:textId="77777777" w:rsidR="0087425A" w:rsidRDefault="0001525A">
            <w:pPr>
              <w:spacing w:line="250" w:lineRule="auto"/>
            </w:pPr>
            <w:r>
              <w:t>Plan of Care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C86CEC" w14:textId="77777777" w:rsidR="0087425A" w:rsidRDefault="0001525A">
            <w:pPr>
              <w:spacing w:line="250" w:lineRule="auto"/>
            </w:pPr>
            <w:r>
              <w:t>18776-5</w:t>
            </w:r>
          </w:p>
        </w:tc>
        <w:tc>
          <w:tcPr>
            <w:tcW w:w="52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A34BA8" w14:textId="77777777" w:rsidR="0087425A" w:rsidRDefault="0F4C0B7F">
            <w:pPr>
              <w:spacing w:line="250" w:lineRule="auto"/>
            </w:pPr>
            <w:r w:rsidRPr="0F4C0B7F">
              <w:rPr>
                <w:lang w:val="en-US"/>
              </w:rPr>
              <w:t>CarePlan + Goal – Kernansatz für Therapieziele</w:t>
            </w:r>
          </w:p>
        </w:tc>
      </w:tr>
      <w:tr w:rsidR="0087425A" w14:paraId="14FAD396" w14:textId="77777777" w:rsidTr="0F4C0B7F"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F584A0" w14:textId="77777777" w:rsidR="0087425A" w:rsidRDefault="0001525A">
            <w:pPr>
              <w:spacing w:line="250" w:lineRule="auto"/>
            </w:pPr>
            <w:r>
              <w:t>Patient Story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A30D21" w14:textId="77777777" w:rsidR="0087425A" w:rsidRDefault="0001525A">
            <w:pPr>
              <w:spacing w:line="250" w:lineRule="auto"/>
            </w:pPr>
            <w:r>
              <w:t>81338-6</w:t>
            </w:r>
          </w:p>
        </w:tc>
        <w:tc>
          <w:tcPr>
            <w:tcW w:w="52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4A6F36" w14:textId="77777777" w:rsidR="0087425A" w:rsidRDefault="0F4C0B7F">
            <w:pPr>
              <w:spacing w:line="250" w:lineRule="auto"/>
            </w:pPr>
            <w:r w:rsidRPr="0F4C0B7F">
              <w:rPr>
                <w:lang w:val="en-US"/>
              </w:rPr>
              <w:t>Patientenzentrierte Präferenzen, Lebensqualitätsziele</w:t>
            </w:r>
          </w:p>
        </w:tc>
      </w:tr>
      <w:tr w:rsidR="0087425A" w14:paraId="04683F6A" w14:textId="77777777" w:rsidTr="0F4C0B7F"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7362BB" w14:textId="77777777" w:rsidR="0087425A" w:rsidRDefault="0001525A">
            <w:pPr>
              <w:spacing w:line="250" w:lineRule="auto"/>
            </w:pPr>
            <w:r>
              <w:t>History of Past Problems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400D1B" w14:textId="77777777" w:rsidR="0087425A" w:rsidRDefault="0001525A">
            <w:pPr>
              <w:spacing w:line="250" w:lineRule="auto"/>
            </w:pPr>
            <w:r>
              <w:t>11348-0</w:t>
            </w:r>
          </w:p>
        </w:tc>
        <w:tc>
          <w:tcPr>
            <w:tcW w:w="52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7ED8DF" w14:textId="77777777" w:rsidR="0087425A" w:rsidRDefault="0F4C0B7F">
            <w:pPr>
              <w:spacing w:line="250" w:lineRule="auto"/>
            </w:pPr>
            <w:r w:rsidRPr="0F4C0B7F">
              <w:rPr>
                <w:lang w:val="en-US"/>
              </w:rPr>
              <w:t>Rezidivnachweis, Remissionsstatus</w:t>
            </w:r>
          </w:p>
        </w:tc>
      </w:tr>
    </w:tbl>
    <w:p w14:paraId="672A6659" w14:textId="77777777" w:rsidR="0087425A" w:rsidRDefault="0087425A">
      <w:pPr>
        <w:spacing w:after="60" w:line="260" w:lineRule="auto"/>
      </w:pPr>
    </w:p>
    <w:p w14:paraId="4E441A02" w14:textId="77777777" w:rsidR="0087425A" w:rsidRDefault="0F4C0B7F">
      <w:pPr>
        <w:spacing w:after="80" w:line="260" w:lineRule="auto"/>
      </w:pPr>
      <w:r w:rsidRPr="0F4C0B7F">
        <w:rPr>
          <w:lang w:val="en-US"/>
        </w:rPr>
        <w:t xml:space="preserve">Die Plan-of-Care-Sektion erlaubt </w:t>
      </w:r>
      <w:r w:rsidRPr="0F4C0B7F">
        <w:rPr>
          <w:rFonts w:ascii="Consolas" w:eastAsia="Consolas" w:hAnsi="Consolas" w:cs="Consolas"/>
          <w:sz w:val="19"/>
          <w:szCs w:val="19"/>
          <w:lang w:val="en-US"/>
        </w:rPr>
        <w:t>CarePlan</w:t>
      </w:r>
      <w:r w:rsidRPr="0F4C0B7F">
        <w:rPr>
          <w:lang w:val="en-US"/>
        </w:rPr>
        <w:t xml:space="preserve"> und </w:t>
      </w:r>
      <w:r w:rsidRPr="0F4C0B7F">
        <w:rPr>
          <w:rFonts w:ascii="Consolas" w:eastAsia="Consolas" w:hAnsi="Consolas" w:cs="Consolas"/>
          <w:sz w:val="19"/>
          <w:szCs w:val="19"/>
          <w:lang w:val="en-US"/>
        </w:rPr>
        <w:t>ImmunizationRecommendation</w:t>
      </w:r>
      <w:r w:rsidRPr="0F4C0B7F">
        <w:rPr>
          <w:lang w:val="en-US"/>
        </w:rPr>
        <w:t xml:space="preserve">; </w:t>
      </w:r>
      <w:r w:rsidRPr="0F4C0B7F">
        <w:rPr>
          <w:rFonts w:ascii="Consolas" w:eastAsia="Consolas" w:hAnsi="Consolas" w:cs="Consolas"/>
          <w:sz w:val="19"/>
          <w:szCs w:val="19"/>
          <w:lang w:val="en-US"/>
        </w:rPr>
        <w:t>CarePlan.goal</w:t>
      </w:r>
      <w:r w:rsidRPr="0F4C0B7F">
        <w:rPr>
          <w:lang w:val="en-US"/>
        </w:rPr>
        <w:t xml:space="preserve"> → </w:t>
      </w:r>
      <w:r w:rsidRPr="0F4C0B7F">
        <w:rPr>
          <w:rFonts w:ascii="Consolas" w:eastAsia="Consolas" w:hAnsi="Consolas" w:cs="Consolas"/>
          <w:sz w:val="19"/>
          <w:szCs w:val="19"/>
          <w:lang w:val="en-US"/>
        </w:rPr>
        <w:t>Goal</w:t>
      </w:r>
      <w:r w:rsidRPr="0F4C0B7F">
        <w:rPr>
          <w:lang w:val="en-US"/>
        </w:rPr>
        <w:t xml:space="preserve">, </w:t>
      </w:r>
      <w:r w:rsidRPr="0F4C0B7F">
        <w:rPr>
          <w:b/>
          <w:bCs/>
          <w:lang w:val="en-US"/>
        </w:rPr>
        <w:t>aber ein Goal-Profil ist weder in IPS noch in EPS definiert</w:t>
      </w:r>
      <w:r w:rsidRPr="0F4C0B7F">
        <w:rPr>
          <w:lang w:val="en-US"/>
        </w:rPr>
        <w:t xml:space="preserve">. IPS ist zudem laut General Principles ein </w:t>
      </w:r>
      <w:r w:rsidRPr="0F4C0B7F">
        <w:rPr>
          <w:i/>
          <w:iCs/>
          <w:lang w:val="en-US"/>
        </w:rPr>
        <w:t>informatives Dokument</w:t>
      </w:r>
      <w:r w:rsidRPr="0F4C0B7F">
        <w:rPr>
          <w:lang w:val="en-US"/>
        </w:rPr>
        <w:t xml:space="preserve"> – MedicationRequests oder CarePlans daraus dürfen nicht aktioniert werden. Zentrale Designfrage für unsere Spec: Therapieziele rein deskriptiv oder workflow-fähig?</w:t>
      </w:r>
    </w:p>
    <w:p w14:paraId="2D36C203" w14:textId="77777777" w:rsidR="0087425A" w:rsidRDefault="0F4C0B7F">
      <w:pPr>
        <w:pStyle w:val="heading20"/>
      </w:pPr>
      <w:r w:rsidRPr="0F4C0B7F">
        <w:rPr>
          <w:lang w:val="en-US"/>
        </w:rPr>
        <w:t>3. Das IPS-Referenzbeispiel illustriert die Lücke</w:t>
      </w:r>
    </w:p>
    <w:p w14:paraId="6CE99208" w14:textId="77777777" w:rsidR="0087425A" w:rsidRDefault="0F4C0B7F">
      <w:pPr>
        <w:spacing w:after="80" w:line="260" w:lineRule="auto"/>
      </w:pPr>
      <w:r w:rsidRPr="0F4C0B7F">
        <w:rPr>
          <w:lang w:val="en-US"/>
        </w:rPr>
        <w:t xml:space="preserve">Das offizielle IPS-Bundle </w:t>
      </w:r>
      <w:r w:rsidRPr="0F4C0B7F">
        <w:rPr>
          <w:rFonts w:ascii="Consolas" w:eastAsia="Consolas" w:hAnsi="Consolas" w:cs="Consolas"/>
          <w:sz w:val="19"/>
          <w:szCs w:val="19"/>
          <w:lang w:val="en-US"/>
        </w:rPr>
        <w:t>Bundle-IPS-examples-Bundle-01</w:t>
      </w:r>
      <w:r w:rsidRPr="0F4C0B7F">
        <w:rPr>
          <w:lang w:val="en-US"/>
        </w:rPr>
        <w:t xml:space="preserve"> (Patientin „Martha DeLarosa“, Mammakarzinom Stage II in Remission, </w:t>
      </w:r>
      <w:r w:rsidRPr="0F4C0B7F">
        <w:rPr>
          <w:rFonts w:ascii="Consolas" w:eastAsia="Consolas" w:hAnsi="Consolas" w:cs="Consolas"/>
          <w:sz w:val="19"/>
          <w:szCs w:val="19"/>
          <w:lang w:val="en-US"/>
        </w:rPr>
        <w:t>abatement = 2015-03</w:t>
      </w:r>
      <w:r w:rsidRPr="0F4C0B7F">
        <w:rPr>
          <w:lang w:val="en-US"/>
        </w:rPr>
        <w:t xml:space="preserve">) enthält Anastrozol 1 mg als </w:t>
      </w:r>
      <w:r w:rsidRPr="0F4C0B7F">
        <w:rPr>
          <w:rFonts w:ascii="Consolas" w:eastAsia="Consolas" w:hAnsi="Consolas" w:cs="Consolas"/>
          <w:sz w:val="19"/>
          <w:szCs w:val="19"/>
          <w:lang w:val="en-US"/>
        </w:rPr>
        <w:t>MedicationStatement</w:t>
      </w:r>
      <w:r w:rsidRPr="0F4C0B7F">
        <w:rPr>
          <w:lang w:val="en-US"/>
        </w:rPr>
        <w:t xml:space="preserve"> mit </w:t>
      </w:r>
      <w:r w:rsidRPr="0F4C0B7F">
        <w:rPr>
          <w:rFonts w:ascii="Consolas" w:eastAsia="Consolas" w:hAnsi="Consolas" w:cs="Consolas"/>
          <w:sz w:val="19"/>
          <w:szCs w:val="19"/>
          <w:lang w:val="en-US"/>
        </w:rPr>
        <w:t>effective: 2016-01 --&gt; (ongoing)</w:t>
      </w:r>
      <w:r w:rsidRPr="0F4C0B7F">
        <w:rPr>
          <w:lang w:val="en-US"/>
        </w:rPr>
        <w:t xml:space="preserve"> und Freitext „treatment for breast cancer“ – </w:t>
      </w:r>
      <w:r w:rsidRPr="0F4C0B7F">
        <w:rPr>
          <w:b/>
          <w:bCs/>
          <w:lang w:val="en-US"/>
        </w:rPr>
        <w:t>ohne strukturierte Verknüpfung zur Diagnose, ohne Therapieintention, ohne CarePlan/Goal</w:t>
      </w:r>
      <w:r w:rsidRPr="0F4C0B7F">
        <w:rPr>
          <w:lang w:val="en-US"/>
        </w:rPr>
        <w:t xml:space="preserve">. Der „Plan of Treatment“ („Continue hormone medication … for total of 5 years and monitor for potential breast cancer recurrence“) steht ausschließlich im Narrative. </w:t>
      </w:r>
      <w:r w:rsidRPr="0F4C0B7F">
        <w:rPr>
          <w:rFonts w:ascii="Consolas" w:eastAsia="Consolas" w:hAnsi="Consolas" w:cs="Consolas"/>
          <w:sz w:val="19"/>
          <w:szCs w:val="19"/>
          <w:lang w:val="en-US"/>
        </w:rPr>
        <w:t>Menopausal flushing</w:t>
      </w:r>
      <w:r w:rsidRPr="0F4C0B7F">
        <w:rPr>
          <w:lang w:val="en-US"/>
        </w:rPr>
        <w:t xml:space="preserve"> ist als aktives Problem geführt, aber semantisch nicht mit der Hormontherapie verknüpft – obwohl unser Use Case „Therapieumstellung durch Nebenwirkungssymptome“ genau diese Kopplung braucht. Das Beispiel eignet sich in LG-01 als Referenzfall für eine Vorher-/Nachher-Gegenüberstellung gegen unsere Spec.</w:t>
      </w:r>
    </w:p>
    <w:p w14:paraId="354CDE90" w14:textId="77777777" w:rsidR="0087425A" w:rsidRDefault="0F4C0B7F">
      <w:pPr>
        <w:pStyle w:val="heading20"/>
      </w:pPr>
      <w:r w:rsidRPr="0F4C0B7F">
        <w:rPr>
          <w:lang w:val="en-US"/>
        </w:rPr>
        <w:t>4. Lücken in IPS/EPS und Lösungsansätze für unsere Spec</w:t>
      </w:r>
    </w:p>
    <w:tbl>
      <w:tblPr>
        <w:tblW w:w="9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00"/>
        <w:gridCol w:w="5606"/>
      </w:tblGrid>
      <w:tr w:rsidR="0087425A" w14:paraId="051586FF" w14:textId="77777777" w:rsidTr="0F4C0B7F">
        <w:trPr>
          <w:tblHeader/>
        </w:trPr>
        <w:tc>
          <w:tcPr>
            <w:tcW w:w="3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AA6368" w14:textId="77777777" w:rsidR="0087425A" w:rsidRDefault="0F4C0B7F">
            <w:pPr>
              <w:spacing w:line="250" w:lineRule="auto"/>
            </w:pPr>
            <w:r w:rsidRPr="0F4C0B7F">
              <w:rPr>
                <w:b/>
                <w:bCs/>
                <w:lang w:val="en-US"/>
              </w:rPr>
              <w:t>Lücke in IPS/EPS</w:t>
            </w:r>
          </w:p>
        </w:tc>
        <w:tc>
          <w:tcPr>
            <w:tcW w:w="5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AE7D06" w14:textId="77777777" w:rsidR="0087425A" w:rsidRDefault="0F4C0B7F">
            <w:pPr>
              <w:spacing w:line="250" w:lineRule="auto"/>
            </w:pPr>
            <w:r w:rsidRPr="0F4C0B7F">
              <w:rPr>
                <w:b/>
                <w:bCs/>
                <w:lang w:val="en-US"/>
              </w:rPr>
              <w:t>Lösungsansatz für unsere Spec</w:t>
            </w:r>
          </w:p>
        </w:tc>
      </w:tr>
      <w:tr w:rsidR="0087425A" w14:paraId="4F52B520" w14:textId="77777777" w:rsidTr="0F4C0B7F">
        <w:tc>
          <w:tcPr>
            <w:tcW w:w="3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B66F88" w14:textId="77777777" w:rsidR="0087425A" w:rsidRDefault="0F4C0B7F">
            <w:pPr>
              <w:spacing w:line="250" w:lineRule="auto"/>
            </w:pPr>
            <w:r w:rsidRPr="0F4C0B7F">
              <w:rPr>
                <w:lang w:val="en-US"/>
              </w:rPr>
              <w:t>Kein Goal-Profil</w:t>
            </w:r>
          </w:p>
        </w:tc>
        <w:tc>
          <w:tcPr>
            <w:tcW w:w="5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004EB5" w14:textId="77777777" w:rsidR="0087425A" w:rsidRDefault="0F4C0B7F">
            <w:pPr>
              <w:spacing w:line="250" w:lineRule="auto"/>
            </w:pPr>
            <w:r w:rsidRPr="0F4C0B7F">
              <w:rPr>
                <w:lang w:val="en-US"/>
              </w:rPr>
              <w:t>Neues Profil „Therapieziel Onkologie“ auf Basis Goal (Zielart, Condition-Bezug, Zielzeitraum, Zielstatus, Outcome-Observation)</w:t>
            </w:r>
          </w:p>
        </w:tc>
      </w:tr>
      <w:tr w:rsidR="0087425A" w14:paraId="2851CDA5" w14:textId="77777777" w:rsidTr="0F4C0B7F">
        <w:tc>
          <w:tcPr>
            <w:tcW w:w="3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D48BCE" w14:textId="77777777" w:rsidR="0087425A" w:rsidRDefault="0F4C0B7F">
            <w:pPr>
              <w:spacing w:line="250" w:lineRule="auto"/>
            </w:pPr>
            <w:r w:rsidRPr="0F4C0B7F">
              <w:rPr>
                <w:lang w:val="en-US"/>
              </w:rPr>
              <w:t>Keine Therapieintention</w:t>
            </w:r>
          </w:p>
        </w:tc>
        <w:tc>
          <w:tcPr>
            <w:tcW w:w="5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97F45F" w14:textId="77777777" w:rsidR="0087425A" w:rsidRDefault="0F4C0B7F">
            <w:pPr>
              <w:spacing w:line="250" w:lineRule="auto"/>
            </w:pPr>
            <w:r w:rsidRPr="0F4C0B7F">
              <w:rPr>
                <w:lang w:val="en-US"/>
              </w:rPr>
              <w:t>Codiertes Feld/Extension mit ValueSet kurativ / palliativ / adjuvant / neoadjuvant / Erhaltung – Alignment mit mCODE</w:t>
            </w:r>
          </w:p>
        </w:tc>
      </w:tr>
      <w:tr w:rsidR="0087425A" w14:paraId="66FA3BC4" w14:textId="77777777" w:rsidTr="0F4C0B7F">
        <w:tc>
          <w:tcPr>
            <w:tcW w:w="3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492593" w14:textId="77777777" w:rsidR="0087425A" w:rsidRDefault="0F4C0B7F">
            <w:pPr>
              <w:spacing w:line="250" w:lineRule="auto"/>
            </w:pPr>
            <w:r w:rsidRPr="0F4C0B7F">
              <w:rPr>
                <w:lang w:val="en-US"/>
              </w:rPr>
              <w:t>Keine Therapielinien (ESMO-Notation)</w:t>
            </w:r>
          </w:p>
        </w:tc>
        <w:tc>
          <w:tcPr>
            <w:tcW w:w="5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4A0EB9" w14:textId="77777777" w:rsidR="0087425A" w:rsidRDefault="0F4C0B7F">
            <w:pPr>
              <w:spacing w:line="250" w:lineRule="auto"/>
            </w:pPr>
            <w:r w:rsidRPr="0F4C0B7F">
              <w:rPr>
                <w:lang w:val="en-US"/>
              </w:rPr>
              <w:t>Extension auf MedicationStatement / Procedure oder Attribut am EpisodeOfCare-Profil</w:t>
            </w:r>
          </w:p>
        </w:tc>
      </w:tr>
      <w:tr w:rsidR="0087425A" w14:paraId="52ABE469" w14:textId="77777777" w:rsidTr="0F4C0B7F">
        <w:tc>
          <w:tcPr>
            <w:tcW w:w="3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1E1096" w14:textId="77777777" w:rsidR="0087425A" w:rsidRDefault="0F4C0B7F">
            <w:pPr>
              <w:spacing w:line="250" w:lineRule="auto"/>
            </w:pPr>
            <w:r w:rsidRPr="0F4C0B7F">
              <w:rPr>
                <w:lang w:val="en-US"/>
              </w:rPr>
              <w:t>Kein EpisodeOfCare in Plan of Care</w:t>
            </w:r>
          </w:p>
        </w:tc>
        <w:tc>
          <w:tcPr>
            <w:tcW w:w="5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E8150C" w14:textId="77777777" w:rsidR="0087425A" w:rsidRDefault="0F4C0B7F">
            <w:pPr>
              <w:spacing w:line="250" w:lineRule="auto"/>
            </w:pPr>
            <w:r w:rsidRPr="0F4C0B7F">
              <w:rPr>
                <w:lang w:val="en-US"/>
              </w:rPr>
              <w:t>Profil „Behandlungsabschnitt“ (EpisodeOfCare) mit Bezug zu Diagnose, Therapielinie, Intention, Zieletabelle</w:t>
            </w:r>
          </w:p>
        </w:tc>
      </w:tr>
      <w:tr w:rsidR="0087425A" w14:paraId="7ECB849C" w14:textId="77777777" w:rsidTr="0F4C0B7F">
        <w:tc>
          <w:tcPr>
            <w:tcW w:w="3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629829" w14:textId="77777777" w:rsidR="0087425A" w:rsidRDefault="0F4C0B7F">
            <w:pPr>
              <w:spacing w:line="250" w:lineRule="auto"/>
            </w:pPr>
            <w:r w:rsidRPr="0F4C0B7F">
              <w:rPr>
                <w:lang w:val="en-US"/>
              </w:rPr>
              <w:t>Condition-Profil condition-agnostisch</w:t>
            </w:r>
          </w:p>
        </w:tc>
        <w:tc>
          <w:tcPr>
            <w:tcW w:w="5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769809" w14:textId="77777777" w:rsidR="0087425A" w:rsidRDefault="0F4C0B7F">
            <w:pPr>
              <w:spacing w:line="250" w:lineRule="auto"/>
            </w:pPr>
            <w:r w:rsidRPr="0F4C0B7F">
              <w:rPr>
                <w:lang w:val="en-US"/>
              </w:rPr>
              <w:t>Onkologische Attribute (Staging, Grading, Biomarker); mCODE PrimaryCancerCondition als Referenzspezifikation</w:t>
            </w:r>
          </w:p>
        </w:tc>
      </w:tr>
      <w:tr w:rsidR="0087425A" w14:paraId="40B835F4" w14:textId="77777777" w:rsidTr="0F4C0B7F">
        <w:tc>
          <w:tcPr>
            <w:tcW w:w="3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E548E" w14:textId="77777777" w:rsidR="0087425A" w:rsidRDefault="0F4C0B7F">
            <w:pPr>
              <w:spacing w:line="250" w:lineRule="auto"/>
            </w:pPr>
            <w:r w:rsidRPr="0F4C0B7F">
              <w:rPr>
                <w:lang w:val="en-US"/>
              </w:rPr>
              <w:t>Keine strukturierten Therapieabbruch-Gründe</w:t>
            </w:r>
          </w:p>
        </w:tc>
        <w:tc>
          <w:tcPr>
            <w:tcW w:w="5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DA4DDC" w14:textId="77777777" w:rsidR="0087425A" w:rsidRDefault="0F4C0B7F">
            <w:pPr>
              <w:spacing w:line="250" w:lineRule="auto"/>
            </w:pPr>
            <w:r w:rsidRPr="0F4C0B7F">
              <w:rPr>
                <w:lang w:val="en-US"/>
              </w:rPr>
              <w:t>Codiertes ValueSet (Progress / Toxizität / Patientenwunsch / Behandlungsende) als Extension</w:t>
            </w:r>
          </w:p>
        </w:tc>
      </w:tr>
      <w:tr w:rsidR="0087425A" w14:paraId="30D08279" w14:textId="77777777" w:rsidTr="0F4C0B7F">
        <w:tc>
          <w:tcPr>
            <w:tcW w:w="3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38AE65" w14:textId="77777777" w:rsidR="0087425A" w:rsidRDefault="0F4C0B7F">
            <w:pPr>
              <w:spacing w:line="250" w:lineRule="auto"/>
            </w:pPr>
            <w:r w:rsidRPr="0F4C0B7F">
              <w:rPr>
                <w:lang w:val="en-US"/>
              </w:rPr>
              <w:t>Medikation ↔ Diagnose ↔ Ziel nicht verknüpft</w:t>
            </w:r>
          </w:p>
        </w:tc>
        <w:tc>
          <w:tcPr>
            <w:tcW w:w="5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17A1B9" w14:textId="77777777" w:rsidR="0087425A" w:rsidRDefault="0F4C0B7F">
            <w:pPr>
              <w:spacing w:line="250" w:lineRule="auto"/>
            </w:pPr>
            <w:r w:rsidRPr="0F4C0B7F">
              <w:rPr>
                <w:lang w:val="en-US"/>
              </w:rPr>
              <w:t>Must-Support auf reasonReference, basedOn, goal in MedicationStatement / Procedure / CarePlan</w:t>
            </w:r>
          </w:p>
        </w:tc>
      </w:tr>
    </w:tbl>
    <w:p w14:paraId="0A37501D" w14:textId="77777777" w:rsidR="0087425A" w:rsidRDefault="0087425A">
      <w:pPr>
        <w:spacing w:after="60" w:line="260" w:lineRule="auto"/>
      </w:pPr>
    </w:p>
    <w:p w14:paraId="5B9A8DC9" w14:textId="77777777" w:rsidR="0087425A" w:rsidRDefault="0F4C0B7F">
      <w:pPr>
        <w:pStyle w:val="heading20"/>
      </w:pPr>
      <w:r w:rsidRPr="0F4C0B7F">
        <w:rPr>
          <w:lang w:val="en-US"/>
        </w:rPr>
        <w:t>5. Direkt übernehmbare Elemente</w:t>
      </w:r>
    </w:p>
    <w:p w14:paraId="6C34590E" w14:textId="77777777" w:rsidR="0087425A" w:rsidRDefault="0F4C0B7F" w:rsidP="003F6CB0">
      <w:pPr>
        <w:numPr>
          <w:ilvl w:val="0"/>
          <w:numId w:val="2"/>
        </w:numPr>
        <w:spacing w:before="10" w:after="40" w:line="260" w:lineRule="auto"/>
      </w:pPr>
      <w:r w:rsidRPr="0F4C0B7F">
        <w:rPr>
          <w:lang w:val="en-US"/>
        </w:rPr>
        <w:t>Composition-Architektur mit Sektions-Slicing, LOINC-Codierung und verpflichtendem Narrative (Narrative-first-Prinzip) inkl. emptyReason-Muster für fehlende Daten.</w:t>
      </w:r>
    </w:p>
    <w:p w14:paraId="431FDECD" w14:textId="77777777" w:rsidR="0087425A" w:rsidRDefault="0F4C0B7F" w:rsidP="003F6CB0">
      <w:pPr>
        <w:numPr>
          <w:ilvl w:val="0"/>
          <w:numId w:val="2"/>
        </w:numPr>
        <w:spacing w:before="10" w:after="40" w:line="260" w:lineRule="auto"/>
      </w:pPr>
      <w:r w:rsidRPr="0F4C0B7F">
        <w:rPr>
          <w:lang w:val="en-US"/>
        </w:rPr>
        <w:t>Obligations-Framework (Creator/Consumer Actors mit SHALL:populate, SHALL:handle, SHOULD:display); EPS zeigt mit Obligation-only-Profilen über EU-Core ein übertragbares Muster.</w:t>
      </w:r>
    </w:p>
    <w:p w14:paraId="23B34E18" w14:textId="77777777" w:rsidR="0087425A" w:rsidRDefault="0F4C0B7F" w:rsidP="003F6CB0">
      <w:pPr>
        <w:numPr>
          <w:ilvl w:val="0"/>
          <w:numId w:val="2"/>
        </w:numPr>
        <w:spacing w:before="10" w:after="40" w:line="260" w:lineRule="auto"/>
      </w:pPr>
      <w:r w:rsidRPr="0F4C0B7F">
        <w:rPr>
          <w:lang w:val="en-US"/>
        </w:rPr>
        <w:t>SNOMED CT (GPS/MII-Kernset) und LOINC als primäre Terminologien, validiert über MII-Terminologieserver.</w:t>
      </w:r>
    </w:p>
    <w:p w14:paraId="494CF02C" w14:textId="77777777" w:rsidR="0087425A" w:rsidRDefault="0F4C0B7F" w:rsidP="003F6CB0">
      <w:pPr>
        <w:numPr>
          <w:ilvl w:val="0"/>
          <w:numId w:val="2"/>
        </w:numPr>
        <w:spacing w:before="10" w:after="40" w:line="260" w:lineRule="auto"/>
      </w:pPr>
      <w:r w:rsidRPr="0F4C0B7F">
        <w:rPr>
          <w:lang w:val="en-US"/>
        </w:rPr>
        <w:t>Patient (EPS) und EU-Core-Profile als Baseline für Personen-/Organisationsreferenzen, wenn EHDS-Kompatibilität Ziel ist.</w:t>
      </w:r>
    </w:p>
    <w:p w14:paraId="6D4AFF4B" w14:textId="77777777" w:rsidR="0087425A" w:rsidRDefault="0F4C0B7F" w:rsidP="0F4C0B7F">
      <w:pPr>
        <w:pBdr>
          <w:top w:val="single" w:sz="6" w:space="6" w:color="1F4E79"/>
        </w:pBdr>
        <w:spacing w:before="200" w:after="60"/>
      </w:pPr>
      <w:r w:rsidRPr="0F4C0B7F">
        <w:rPr>
          <w:b/>
          <w:bCs/>
          <w:color w:val="1F4E79"/>
          <w:lang w:val="en-US"/>
        </w:rPr>
        <w:t>Vor LG-01-Release zu verifizieren</w:t>
      </w:r>
    </w:p>
    <w:p w14:paraId="7D84EA45" w14:textId="77777777" w:rsidR="0087425A" w:rsidRDefault="0F4C0B7F">
      <w:pPr>
        <w:spacing w:line="260" w:lineRule="auto"/>
      </w:pPr>
      <w:r w:rsidRPr="0F4C0B7F">
        <w:rPr>
          <w:lang w:val="en-US"/>
        </w:rPr>
        <w:t xml:space="preserve">LOINC-Codes und </w:t>
      </w:r>
      <w:r w:rsidRPr="0F4C0B7F">
        <w:rPr>
          <w:rFonts w:ascii="Consolas" w:eastAsia="Consolas" w:hAnsi="Consolas" w:cs="Consolas"/>
          <w:sz w:val="19"/>
          <w:szCs w:val="19"/>
          <w:lang w:val="en-US"/>
        </w:rPr>
        <w:t>display</w:t>
      </w:r>
      <w:r w:rsidRPr="0F4C0B7F">
        <w:rPr>
          <w:lang w:val="en-US"/>
        </w:rPr>
        <w:t xml:space="preserve">-Strings gegen MII-Terminologieserver · EHDS-Zeitleiste (Publikation 05.03.2025, Inkrafttreten 26.03.2025, Implementing Acts bis 26.03.2027, PS-/ePrescription-Pflicht ab 26.03.2029) gegen Primärtext der Verordnung im EU-Amtsblatt · mCODE-Feldname </w:t>
      </w:r>
      <w:r w:rsidRPr="0F4C0B7F">
        <w:rPr>
          <w:rFonts w:ascii="Consolas" w:eastAsia="Consolas" w:hAnsi="Consolas" w:cs="Consolas"/>
          <w:sz w:val="19"/>
          <w:szCs w:val="19"/>
          <w:lang w:val="en-US"/>
        </w:rPr>
        <w:t>treatmentIntent</w:t>
      </w:r>
      <w:r w:rsidRPr="0F4C0B7F">
        <w:rPr>
          <w:lang w:val="en-US"/>
        </w:rPr>
        <w:t xml:space="preserve"> gegen aktuelle mCODE-Version · EPS-Status (QA-Preview) gegen aktuellen GitHub-Stand (</w:t>
      </w:r>
      <w:r w:rsidRPr="0F4C0B7F">
        <w:rPr>
          <w:rFonts w:ascii="Consolas" w:eastAsia="Consolas" w:hAnsi="Consolas" w:cs="Consolas"/>
          <w:sz w:val="19"/>
          <w:szCs w:val="19"/>
          <w:lang w:val="en-US"/>
        </w:rPr>
        <w:t>github.com/hl7-eu/eps</w:t>
      </w:r>
      <w:r w:rsidRPr="0F4C0B7F">
        <w:rPr>
          <w:lang w:val="en-US"/>
        </w:rPr>
        <w:t>) · Konformitätsstrategie: volle IPS/EPS-Konformität vs. „nur aligned“ mit eigenem Document-Type.</w:t>
      </w:r>
    </w:p>
    <w:p w14:paraId="0EE6C49E" w14:textId="77777777" w:rsidR="0087425A" w:rsidRDefault="0F4C0B7F">
      <w:pPr>
        <w:spacing w:before="160"/>
      </w:pPr>
      <w:r w:rsidRPr="0F4C0B7F">
        <w:rPr>
          <w:i/>
          <w:iCs/>
          <w:color w:val="595959"/>
          <w:sz w:val="16"/>
          <w:szCs w:val="16"/>
          <w:lang w:val="en-US"/>
        </w:rPr>
        <w:t>Quellen: hl7.org/fhir/uv/ips/STU2 · build.fhir.org/ig/hl7-eu/eps · Projektbeschreibung BIH-CEI Onkologie Therapieziele</w:t>
      </w:r>
    </w:p>
    <w:sectPr w:rsidR="0087425A">
      <w:headerReference w:type="default" r:id="rId10"/>
      <w:footerReference w:type="default" r:id="rId11"/>
      <w:pgSz w:w="11906" w:h="16838"/>
      <w:pgMar w:top="900" w:right="1300" w:bottom="900" w:left="13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687CE9" w14:textId="77777777" w:rsidR="002A3823" w:rsidRDefault="002A3823">
      <w:r>
        <w:separator/>
      </w:r>
    </w:p>
  </w:endnote>
  <w:endnote w:type="continuationSeparator" w:id="0">
    <w:p w14:paraId="24D8554D" w14:textId="77777777" w:rsidR="002A3823" w:rsidRDefault="002A38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panose1 w:val="00000000000000000000"/>
    <w:charset w:val="00"/>
    <w:family w:val="roman"/>
    <w:notTrueType/>
    <w:pitch w:val="default"/>
  </w:font>
  <w:font w:name="Yu Mincho">
    <w:altName w:val="游明朝"/>
    <w:panose1 w:val="00000000000000000000"/>
    <w:charset w:val="80"/>
    <w:family w:val="roman"/>
    <w:notTrueType/>
    <w:pitch w:val="default"/>
  </w:font>
  <w:font w:name="Aptos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A7A7CF" w14:textId="77777777" w:rsidR="0087425A" w:rsidRDefault="0F4C0B7F" w:rsidP="0F4C0B7F">
    <w:pPr>
      <w:jc w:val="right"/>
      <w:rPr>
        <w:lang w:val="en-US"/>
      </w:rPr>
    </w:pPr>
    <w:r w:rsidRPr="0F4C0B7F">
      <w:rPr>
        <w:color w:val="595959"/>
        <w:sz w:val="17"/>
        <w:szCs w:val="17"/>
        <w:lang w:val="en-US"/>
      </w:rPr>
      <w:t xml:space="preserve">Seite </w:t>
    </w:r>
    <w:r w:rsidRPr="0F4C0B7F">
      <w:rPr>
        <w:color w:val="595959"/>
        <w:sz w:val="17"/>
        <w:szCs w:val="17"/>
        <w:lang w:val="en-US"/>
      </w:rPr>
      <w:fldChar w:fldCharType="begin"/>
    </w:r>
    <w:r w:rsidRPr="0F4C0B7F">
      <w:rPr>
        <w:color w:val="595959"/>
        <w:sz w:val="17"/>
        <w:szCs w:val="17"/>
      </w:rPr>
      <w:instrText>PAGE</w:instrText>
    </w:r>
    <w:r w:rsidRPr="0F4C0B7F">
      <w:rPr>
        <w:color w:val="595959"/>
        <w:sz w:val="17"/>
        <w:szCs w:val="17"/>
      </w:rPr>
      <w:fldChar w:fldCharType="separate"/>
    </w:r>
    <w:r w:rsidR="0004094E">
      <w:rPr>
        <w:noProof/>
        <w:color w:val="595959"/>
        <w:sz w:val="17"/>
        <w:szCs w:val="17"/>
      </w:rPr>
      <w:t>1</w:t>
    </w:r>
    <w:r w:rsidRPr="0F4C0B7F">
      <w:rPr>
        <w:color w:val="595959"/>
        <w:sz w:val="17"/>
        <w:szCs w:val="17"/>
        <w:lang w:val="en-US"/>
      </w:rPr>
      <w:fldChar w:fldCharType="end"/>
    </w:r>
    <w:r w:rsidRPr="0F4C0B7F">
      <w:rPr>
        <w:color w:val="595959"/>
        <w:sz w:val="17"/>
        <w:szCs w:val="17"/>
        <w:lang w:val="en-US"/>
      </w:rPr>
      <w:t xml:space="preserve"> von </w:t>
    </w:r>
    <w:r w:rsidRPr="0F4C0B7F">
      <w:rPr>
        <w:color w:val="595959"/>
        <w:sz w:val="17"/>
        <w:szCs w:val="17"/>
        <w:lang w:val="en-US"/>
      </w:rPr>
      <w:fldChar w:fldCharType="begin"/>
    </w:r>
    <w:r w:rsidRPr="0F4C0B7F">
      <w:rPr>
        <w:color w:val="595959"/>
        <w:sz w:val="17"/>
        <w:szCs w:val="17"/>
      </w:rPr>
      <w:instrText>NUMPAGES</w:instrText>
    </w:r>
    <w:r w:rsidRPr="0F4C0B7F">
      <w:rPr>
        <w:color w:val="595959"/>
        <w:sz w:val="17"/>
        <w:szCs w:val="17"/>
      </w:rPr>
      <w:fldChar w:fldCharType="separate"/>
    </w:r>
    <w:r w:rsidR="0004094E">
      <w:rPr>
        <w:noProof/>
        <w:color w:val="595959"/>
        <w:sz w:val="17"/>
        <w:szCs w:val="17"/>
      </w:rPr>
      <w:t>2</w:t>
    </w:r>
    <w:r w:rsidRPr="0F4C0B7F">
      <w:rPr>
        <w:color w:val="595959"/>
        <w:sz w:val="17"/>
        <w:szCs w:val="17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7C6A12" w14:textId="77777777" w:rsidR="002A3823" w:rsidRDefault="002A3823">
      <w:r>
        <w:separator/>
      </w:r>
    </w:p>
  </w:footnote>
  <w:footnote w:type="continuationSeparator" w:id="0">
    <w:p w14:paraId="158E9002" w14:textId="77777777" w:rsidR="002A3823" w:rsidRDefault="002A382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7D4C3D" w14:textId="77777777" w:rsidR="0087425A" w:rsidRDefault="0F4C0B7F">
    <w:pPr>
      <w:spacing w:line="260" w:lineRule="auto"/>
    </w:pPr>
    <w:r w:rsidRPr="0F4C0B7F">
      <w:rPr>
        <w:color w:val="595959"/>
        <w:sz w:val="17"/>
        <w:szCs w:val="17"/>
        <w:lang w:val="en-US"/>
      </w:rPr>
      <w:t>IPS/EPS-Analyse · Onkologische Therapieziele · LG-01 Baustein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60F9A3"/>
    <w:multiLevelType w:val="hybridMultilevel"/>
    <w:tmpl w:val="A28C744C"/>
    <w:lvl w:ilvl="0" w:tplc="E86AEB40">
      <w:start w:val="1"/>
      <w:numFmt w:val="bullet"/>
      <w:lvlText w:val="•"/>
      <w:lvlJc w:val="left"/>
      <w:pPr>
        <w:ind w:left="360" w:hanging="260"/>
      </w:pPr>
    </w:lvl>
    <w:lvl w:ilvl="1" w:tplc="A574CC70">
      <w:numFmt w:val="decimal"/>
      <w:lvlText w:val=""/>
      <w:lvlJc w:val="left"/>
    </w:lvl>
    <w:lvl w:ilvl="2" w:tplc="89E0F25C">
      <w:numFmt w:val="decimal"/>
      <w:lvlText w:val=""/>
      <w:lvlJc w:val="left"/>
    </w:lvl>
    <w:lvl w:ilvl="3" w:tplc="5E041EC8">
      <w:numFmt w:val="decimal"/>
      <w:lvlText w:val=""/>
      <w:lvlJc w:val="left"/>
    </w:lvl>
    <w:lvl w:ilvl="4" w:tplc="277E9856">
      <w:numFmt w:val="decimal"/>
      <w:lvlText w:val=""/>
      <w:lvlJc w:val="left"/>
    </w:lvl>
    <w:lvl w:ilvl="5" w:tplc="BB18232C">
      <w:numFmt w:val="decimal"/>
      <w:lvlText w:val=""/>
      <w:lvlJc w:val="left"/>
    </w:lvl>
    <w:lvl w:ilvl="6" w:tplc="B5D0A380">
      <w:numFmt w:val="decimal"/>
      <w:lvlText w:val=""/>
      <w:lvlJc w:val="left"/>
    </w:lvl>
    <w:lvl w:ilvl="7" w:tplc="D97E3FDE">
      <w:numFmt w:val="decimal"/>
      <w:lvlText w:val=""/>
      <w:lvlJc w:val="left"/>
    </w:lvl>
    <w:lvl w:ilvl="8" w:tplc="73B09FE2">
      <w:numFmt w:val="decimal"/>
      <w:lvlText w:val=""/>
      <w:lvlJc w:val="left"/>
    </w:lvl>
  </w:abstractNum>
  <w:abstractNum w:abstractNumId="1" w15:restartNumberingAfterBreak="0">
    <w:nsid w:val="70031455"/>
    <w:multiLevelType w:val="hybridMultilevel"/>
    <w:tmpl w:val="C11857EE"/>
    <w:lvl w:ilvl="0" w:tplc="976CACB8">
      <w:start w:val="1"/>
      <w:numFmt w:val="bullet"/>
      <w:lvlText w:val="●"/>
      <w:lvlJc w:val="left"/>
      <w:pPr>
        <w:ind w:left="720" w:hanging="360"/>
      </w:pPr>
    </w:lvl>
    <w:lvl w:ilvl="1" w:tplc="C38C7D78">
      <w:start w:val="1"/>
      <w:numFmt w:val="bullet"/>
      <w:lvlText w:val="○"/>
      <w:lvlJc w:val="left"/>
      <w:pPr>
        <w:ind w:left="1440" w:hanging="360"/>
      </w:pPr>
    </w:lvl>
    <w:lvl w:ilvl="2" w:tplc="01849C96">
      <w:start w:val="1"/>
      <w:numFmt w:val="bullet"/>
      <w:lvlText w:val="■"/>
      <w:lvlJc w:val="left"/>
      <w:pPr>
        <w:ind w:left="2160" w:hanging="360"/>
      </w:pPr>
    </w:lvl>
    <w:lvl w:ilvl="3" w:tplc="B7D4BC0E">
      <w:start w:val="1"/>
      <w:numFmt w:val="bullet"/>
      <w:lvlText w:val="●"/>
      <w:lvlJc w:val="left"/>
      <w:pPr>
        <w:ind w:left="2880" w:hanging="360"/>
      </w:pPr>
    </w:lvl>
    <w:lvl w:ilvl="4" w:tplc="11066DDE">
      <w:start w:val="1"/>
      <w:numFmt w:val="bullet"/>
      <w:lvlText w:val="○"/>
      <w:lvlJc w:val="left"/>
      <w:pPr>
        <w:ind w:left="3600" w:hanging="360"/>
      </w:pPr>
    </w:lvl>
    <w:lvl w:ilvl="5" w:tplc="7B805258">
      <w:start w:val="1"/>
      <w:numFmt w:val="bullet"/>
      <w:lvlText w:val="■"/>
      <w:lvlJc w:val="left"/>
      <w:pPr>
        <w:ind w:left="4320" w:hanging="360"/>
      </w:pPr>
    </w:lvl>
    <w:lvl w:ilvl="6" w:tplc="552CD070">
      <w:start w:val="1"/>
      <w:numFmt w:val="bullet"/>
      <w:lvlText w:val="●"/>
      <w:lvlJc w:val="left"/>
      <w:pPr>
        <w:ind w:left="5040" w:hanging="360"/>
      </w:pPr>
    </w:lvl>
    <w:lvl w:ilvl="7" w:tplc="F72C1836">
      <w:start w:val="1"/>
      <w:numFmt w:val="bullet"/>
      <w:lvlText w:val="●"/>
      <w:lvlJc w:val="left"/>
      <w:pPr>
        <w:ind w:left="5760" w:hanging="360"/>
      </w:pPr>
    </w:lvl>
    <w:lvl w:ilvl="8" w:tplc="2216F820">
      <w:start w:val="1"/>
      <w:numFmt w:val="bullet"/>
      <w:lvlText w:val="●"/>
      <w:lvlJc w:val="left"/>
      <w:pPr>
        <w:ind w:left="6480" w:hanging="360"/>
      </w:pPr>
    </w:lvl>
  </w:abstractNum>
  <w:num w:numId="1" w16cid:durableId="401369065">
    <w:abstractNumId w:val="1"/>
    <w:lvlOverride w:ilvl="0">
      <w:startOverride w:val="1"/>
    </w:lvlOverride>
  </w:num>
  <w:num w:numId="2" w16cid:durableId="66069952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displayBackgroundShape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F4C0B7F"/>
    <w:rsid w:val="00002A54"/>
    <w:rsid w:val="0001525A"/>
    <w:rsid w:val="0004094E"/>
    <w:rsid w:val="00055D0B"/>
    <w:rsid w:val="000C3266"/>
    <w:rsid w:val="001A7D75"/>
    <w:rsid w:val="001D541A"/>
    <w:rsid w:val="00285084"/>
    <w:rsid w:val="002A3823"/>
    <w:rsid w:val="00326F22"/>
    <w:rsid w:val="00392FC1"/>
    <w:rsid w:val="003F6CB0"/>
    <w:rsid w:val="004234B4"/>
    <w:rsid w:val="00436CB6"/>
    <w:rsid w:val="004D1ABE"/>
    <w:rsid w:val="004F657F"/>
    <w:rsid w:val="00587167"/>
    <w:rsid w:val="005D6BDB"/>
    <w:rsid w:val="006C586E"/>
    <w:rsid w:val="00704DCB"/>
    <w:rsid w:val="007467DC"/>
    <w:rsid w:val="00786361"/>
    <w:rsid w:val="007C2B09"/>
    <w:rsid w:val="0087425A"/>
    <w:rsid w:val="00896FC5"/>
    <w:rsid w:val="00A37555"/>
    <w:rsid w:val="00AF0442"/>
    <w:rsid w:val="00B17942"/>
    <w:rsid w:val="00B51490"/>
    <w:rsid w:val="00B83B5D"/>
    <w:rsid w:val="00BA4330"/>
    <w:rsid w:val="00BD2CF1"/>
    <w:rsid w:val="00BD4F39"/>
    <w:rsid w:val="00C52030"/>
    <w:rsid w:val="00CD18A2"/>
    <w:rsid w:val="00E41057"/>
    <w:rsid w:val="00F714CB"/>
    <w:rsid w:val="0F4C0B7F"/>
    <w:rsid w:val="50F35E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4F506CD"/>
  <w15:docId w15:val="{D75A6988-6CC7-4CD2-9D27-3E5C93ED93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1"/>
        <w:szCs w:val="21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nhideWhenUsed/>
    <w:rsid w:val="00CD18A2"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Fett1">
    <w:name w:val="Fett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customStyle="1" w:styleId="heading20">
    <w:name w:val="heading 20"/>
    <w:qFormat/>
    <w:pPr>
      <w:spacing w:before="200" w:after="80"/>
      <w:outlineLvl w:val="1"/>
    </w:pPr>
    <w:rPr>
      <w:b/>
      <w:bCs/>
      <w:color w:val="1F4E79"/>
      <w:sz w:val="24"/>
      <w:szCs w:val="24"/>
    </w:rPr>
  </w:style>
  <w:style w:type="paragraph" w:styleId="Header">
    <w:name w:val="header"/>
    <w:basedOn w:val="Normal"/>
    <w:link w:val="HeaderChar"/>
    <w:uiPriority w:val="99"/>
    <w:semiHidden/>
    <w:unhideWhenUsed/>
    <w:rsid w:val="00055D0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055D0B"/>
    <w:rPr>
      <w:rFonts w:eastAsia="Times New Roman"/>
    </w:rPr>
  </w:style>
  <w:style w:type="paragraph" w:styleId="Footer">
    <w:name w:val="footer"/>
    <w:basedOn w:val="Normal"/>
    <w:link w:val="FooterChar"/>
    <w:uiPriority w:val="99"/>
    <w:semiHidden/>
    <w:unhideWhenUsed/>
    <w:rsid w:val="00055D0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55D0B"/>
    <w:rPr>
      <w:rFonts w:eastAsia="Times New Roman"/>
    </w:rPr>
  </w:style>
  <w:style w:type="character" w:customStyle="1" w:styleId="HeaderChar1">
    <w:name w:val="Header Char1"/>
    <w:basedOn w:val="DefaultParagraphFont"/>
    <w:uiPriority w:val="99"/>
    <w:semiHidden/>
    <w:rsid w:val="003F6CB0"/>
  </w:style>
  <w:style w:type="character" w:customStyle="1" w:styleId="FooterChar1">
    <w:name w:val="Footer Char1"/>
    <w:basedOn w:val="DefaultParagraphFont"/>
    <w:uiPriority w:val="99"/>
    <w:semiHidden/>
    <w:rsid w:val="003F6CB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d551d69-6617-46b6-ad2e-6110e151f9ea" xsi:nil="true"/>
    <lcf76f155ced4ddcb4097134ff3c332f xmlns="e3281b33-5e35-47b8-941f-e4cf108953ac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46366B6115821498F44ABDA06810297" ma:contentTypeVersion="19" ma:contentTypeDescription="Create a new document." ma:contentTypeScope="" ma:versionID="b59a3641d8717ca9dbd88cf3f2684e8c">
  <xsd:schema xmlns:xsd="http://www.w3.org/2001/XMLSchema" xmlns:xs="http://www.w3.org/2001/XMLSchema" xmlns:p="http://schemas.microsoft.com/office/2006/metadata/properties" xmlns:ns2="e3281b33-5e35-47b8-941f-e4cf108953ac" xmlns:ns3="1d551d69-6617-46b6-ad2e-6110e151f9ea" targetNamespace="http://schemas.microsoft.com/office/2006/metadata/properties" ma:root="true" ma:fieldsID="bfd8e5f67e82201df7f688dce6d3af7b" ns2:_="" ns3:_="">
    <xsd:import namespace="e3281b33-5e35-47b8-941f-e4cf108953ac"/>
    <xsd:import namespace="1d551d69-6617-46b6-ad2e-6110e151f9e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3281b33-5e35-47b8-941f-e4cf108953a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2375ea7b-1eef-4e91-915e-32e4cb5a9c3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d551d69-6617-46b6-ad2e-6110e151f9ea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26344646-d1fd-4fc4-9b55-5cfe4cf54d8f}" ma:internalName="TaxCatchAll" ma:showField="CatchAllData" ma:web="1d551d69-6617-46b6-ad2e-6110e151f9e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05BAC12-6253-4F82-9DD3-317DD7C625D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7796C67-F0DE-42D5-917B-F3F2139A634E}">
  <ds:schemaRefs>
    <ds:schemaRef ds:uri="http://schemas.microsoft.com/office/2006/metadata/properties"/>
    <ds:schemaRef ds:uri="http://schemas.microsoft.com/office/infopath/2007/PartnerControls"/>
    <ds:schemaRef ds:uri="1d551d69-6617-46b6-ad2e-6110e151f9ea"/>
    <ds:schemaRef ds:uri="e3281b33-5e35-47b8-941f-e4cf108953ac"/>
  </ds:schemaRefs>
</ds:datastoreItem>
</file>

<file path=customXml/itemProps3.xml><?xml version="1.0" encoding="utf-8"?>
<ds:datastoreItem xmlns:ds="http://schemas.openxmlformats.org/officeDocument/2006/customXml" ds:itemID="{43A283C9-FB69-4FAA-A32E-23E2DF0949F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3281b33-5e35-47b8-941f-e4cf108953ac"/>
    <ds:schemaRef ds:uri="1d551d69-6617-46b6-ad2e-6110e151f9e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afe91939-923e-432c-bc66-cbc3ec18d02c}" enabled="0" method="" siteId="{afe91939-923e-432c-bc66-cbc3ec18d02c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837</Words>
  <Characters>4776</Characters>
  <Application>Microsoft Office Word</Application>
  <DocSecurity>4</DocSecurity>
  <Lines>39</Lines>
  <Paragraphs>11</Paragraphs>
  <ScaleCrop>false</ScaleCrop>
  <Company/>
  <LinksUpToDate>false</LinksUpToDate>
  <CharactersWithSpaces>5602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IPS/EPS-Zusammenfassung für das Projekt Onkologische Therapieziele</dc:title>
  <dc:subject/>
  <dc:creator>BIH-CEI</dc:creator>
  <cp:keywords/>
  <cp:lastModifiedBy>Debertshäuser, Thomas</cp:lastModifiedBy>
  <cp:revision>4</cp:revision>
  <dcterms:created xsi:type="dcterms:W3CDTF">2026-04-20T11:04:00Z</dcterms:created>
  <dcterms:modified xsi:type="dcterms:W3CDTF">2026-05-04T08:54:00Z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0x010100446366B6115821498F44ABDA06810297</vt:lpwstr>
  </property>
  <property fmtid="{D5CDD505-2E9C-101B-9397-08002B2CF9AE}" pid="3" name="MediaServiceImageTags">
    <vt:lpwstr/>
  </property>
</Properties>
</file>