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>
      <w:r>
        <w:rPr>
          <w:rFonts w:ascii="Fira Sans" w:hAnsi="Fira Sans" w:cs="Fira Sans" w:eastAsia="Fira Sans"/>
          <w:b/>
          <w:color w:val="EA5451"/>
          <w:sz w:val="20"/>
        </w:rPr>
        <w:t>BIH-CEI · Berlin Institute of Health at Charité</w:t>
      </w:r>
    </w:p>
    <w:p/>
    <w:p/>
    <w:p/>
    <w:p/>
    <w:p>
      <w:r>
        <w:rPr>
          <w:rFonts w:ascii="Fira Sans" w:hAnsi="Fira Sans" w:cs="Fira Sans" w:eastAsia="Fira Sans"/>
          <w:b/>
          <w:color w:val="003754"/>
          <w:sz w:val="64"/>
        </w:rPr>
        <w:t>LG-01 Analysebericht</w:t>
      </w:r>
    </w:p>
    <w:p>
      <w:r>
        <w:rPr>
          <w:rFonts w:ascii="Fira Sans" w:hAnsi="Fira Sans" w:cs="Fira Sans" w:eastAsia="Fira Sans"/>
          <w:b w:val="0"/>
          <w:color w:val="AF1821"/>
          <w:sz w:val="32"/>
        </w:rPr>
        <w:t>Spezifikation „Onkologische Therapieziele"</w:t>
      </w:r>
    </w:p>
    <w:p/>
    <w:p/>
    <w:p>
      <w:pPr>
        <w:pBdr>
          <w:bottom w:val="single" w:sz="16" w:space="1" w:color="AF1821"/>
        </w:pBdr>
      </w:pPr>
    </w:p>
    <w:p/>
    <w:p>
      <w:r>
        <w:rPr>
          <w:rFonts w:ascii="Fira Sans" w:hAnsi="Fira Sans" w:cs="Fira Sans" w:eastAsia="Fira Sans"/>
          <w:b/>
          <w:color w:val="003754"/>
          <w:sz w:val="22"/>
        </w:rPr>
        <w:t xml:space="preserve">Liefergegenstand:  </w:t>
      </w:r>
      <w:r>
        <w:rPr>
          <w:rFonts w:ascii="Fira Sans" w:hAnsi="Fira Sans" w:cs="Fira Sans" w:eastAsia="Fira Sans"/>
          <w:color w:val="003754"/>
          <w:sz w:val="22"/>
        </w:rPr>
        <w:t>LG-01 · Fachliche Analyse</w:t>
      </w:r>
    </w:p>
    <w:p>
      <w:r>
        <w:rPr>
          <w:rFonts w:ascii="Fira Sans" w:hAnsi="Fira Sans" w:cs="Fira Sans" w:eastAsia="Fira Sans"/>
          <w:b/>
          <w:color w:val="003754"/>
          <w:sz w:val="22"/>
        </w:rPr>
        <w:t xml:space="preserve">Auftrag:  </w:t>
      </w:r>
      <w:r>
        <w:rPr>
          <w:rFonts w:ascii="Fira Sans" w:hAnsi="Fira Sans" w:cs="Fira Sans" w:eastAsia="Fira Sans"/>
          <w:color w:val="003754"/>
          <w:sz w:val="22"/>
        </w:rPr>
        <w:t>Gematik C002717</w:t>
      </w:r>
    </w:p>
    <w:p>
      <w:r>
        <w:rPr>
          <w:rFonts w:ascii="Fira Sans" w:hAnsi="Fira Sans" w:cs="Fira Sans" w:eastAsia="Fira Sans"/>
          <w:b/>
          <w:color w:val="003754"/>
          <w:sz w:val="22"/>
        </w:rPr>
        <w:t xml:space="preserve">Stand:  </w:t>
      </w:r>
      <w:r>
        <w:rPr>
          <w:rFonts w:ascii="Fira Sans" w:hAnsi="Fira Sans" w:cs="Fira Sans" w:eastAsia="Fira Sans"/>
          <w:color w:val="003754"/>
          <w:sz w:val="22"/>
        </w:rPr>
        <w:t>18.05.2026 · Entwurf</w:t>
      </w:r>
    </w:p>
    <w:p>
      <w:r>
        <w:rPr>
          <w:rFonts w:ascii="Fira Sans" w:hAnsi="Fira Sans" w:cs="Fira Sans" w:eastAsia="Fira Sans"/>
          <w:b/>
          <w:color w:val="003754"/>
          <w:sz w:val="22"/>
        </w:rPr>
        <w:t xml:space="preserve">Projektleitung:  </w:t>
      </w:r>
      <w:r>
        <w:rPr>
          <w:rFonts w:ascii="Fira Sans" w:hAnsi="Fira Sans" w:cs="Fira Sans" w:eastAsia="Fira Sans"/>
          <w:color w:val="003754"/>
          <w:sz w:val="22"/>
        </w:rPr>
        <w:t>Prof. Dr. Sylvia Thun</w:t>
      </w:r>
    </w:p>
    <w:p>
      <w:r>
        <w:rPr>
          <w:rFonts w:ascii="Fira Sans" w:hAnsi="Fira Sans" w:cs="Fira Sans" w:eastAsia="Fira Sans"/>
          <w:b/>
          <w:color w:val="003754"/>
          <w:sz w:val="22"/>
        </w:rPr>
        <w:t xml:space="preserve">Technische Leitung FHIR:  </w:t>
      </w:r>
      <w:r>
        <w:rPr>
          <w:rFonts w:ascii="Fira Sans" w:hAnsi="Fira Sans" w:cs="Fira Sans" w:eastAsia="Fira Sans"/>
          <w:color w:val="003754"/>
          <w:sz w:val="22"/>
        </w:rPr>
        <w:t>Thomas Debertshäuser</w:t>
      </w:r>
    </w:p>
    <w:p/>
    <w:p/>
    <w:p/>
    <w:p/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a276293638f3b6af82711dc5520d68f2041acb6"/>
    <w:p>
      <w:pPr>
        <w:pStyle w:val="Heading1"/>
      </w:pPr>
      <w:r>
        <w:t xml:space="preserve">LG-01 Analysebericht — Spezifikation „Onkologische Therapieziele"</w:t>
      </w:r>
    </w:p>
    <w:p>
      <w:pPr>
        <w:pStyle w:val="FirstParagraph"/>
      </w:pPr>
      <w:r>
        <w:t xml:space="preserve">Liefergegenstand LG-01 · Gematik-Auftrag C002717 · BIH-CEI</w:t>
      </w:r>
    </w:p>
    <w:p>
      <w:pPr>
        <w:pStyle w:val="BodyText"/>
      </w:pPr>
      <w:r>
        <w:rPr>
          <w:b/>
          <w:bCs/>
        </w:rPr>
        <w:t xml:space="preserve">Stand:</w:t>
      </w:r>
      <w:r>
        <w:t xml:space="preserve"> </w:t>
      </w:r>
      <w:r>
        <w:t xml:space="preserve">Entwurf · Mai 2026</w:t>
      </w:r>
      <w:r>
        <w:t xml:space="preserve"> </w:t>
      </w:r>
      <w:r>
        <w:rPr>
          <w:b/>
          <w:bCs/>
        </w:rPr>
        <w:t xml:space="preserve">Projektleitung:</w:t>
      </w:r>
      <w:r>
        <w:t xml:space="preserve"> </w:t>
      </w:r>
      <w:r>
        <w:t xml:space="preserve">Sylvia Thun</w:t>
      </w:r>
      <w:r>
        <w:t xml:space="preserve"> </w:t>
      </w:r>
      <w:r>
        <w:rPr>
          <w:b/>
          <w:bCs/>
        </w:rPr>
        <w:t xml:space="preserve">Technische Leitung FHIR:</w:t>
      </w:r>
      <w:r>
        <w:t xml:space="preserve"> </w:t>
      </w:r>
      <w:r>
        <w:t xml:space="preserve">Thomas Debertshäuser</w:t>
      </w:r>
    </w:p>
    <w:bookmarkEnd w:id="19"/>
    <w:bookmarkStart w:id="22" w:name="auftrag-und-methodik"/>
    <w:p>
      <w:pPr>
        <w:pStyle w:val="Heading1"/>
      </w:pPr>
      <w:r>
        <w:t xml:space="preserve">Auftrag und Methodik</w:t>
      </w:r>
    </w:p>
    <w:bookmarkStart w:id="20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Die Spezifikation „Onkologische Therapieziele" wurde am 02.04.2026 von der gematik (Vertrag C002717) beauftragt. Sie soll bis 30.09.2026 als FHIR-Implementation-Guide vorliegen, ergänzt um ein Konzept zur MII-Integration. Dieser Analysebericht (LG-01) bildet die Grundlage für die Anforderungserhebung im ersten Workshop und für das Informationsmodell sowie den IG-Entwurf in den Folgephasen.</w:t>
      </w:r>
    </w:p>
    <w:bookmarkEnd w:id="20"/>
    <w:bookmarkStart w:id="21" w:name="methodik"/>
    <w:p>
      <w:pPr>
        <w:pStyle w:val="Heading2"/>
      </w:pPr>
      <w:r>
        <w:t xml:space="preserve">Methodik</w:t>
      </w:r>
    </w:p>
    <w:p>
      <w:pPr>
        <w:pStyle w:val="FirstParagraph"/>
      </w:pPr>
      <w:r>
        <w:t xml:space="preserve">Untersucht wurden sechs internationale und nationale FHIR-/Standardisierungs-Quellen, mit Fokus auf Übertragbarkeit auf die deutsche Versorgungsrealität:</w:t>
      </w:r>
    </w:p>
    <w:p>
      <w:pPr>
        <w:pStyle w:val="BodyText"/>
        <w:numPr>
          <w:ilvl w:val="0"/>
          <w:numId w:val="1001"/>
        </w:numPr>
      </w:pPr>
      <w:r>
        <w:rPr>
          <w:b/>
          <w:bCs/>
        </w:rPr>
        <w:t xml:space="preserve">mCODE STU4</w:t>
      </w:r>
      <w:r>
        <w:t xml:space="preserve"> </w:t>
      </w:r>
      <w:r>
        <w:t xml:space="preserve">— Minimal Common Oncology Data Elements (HL7 International)</w:t>
      </w:r>
    </w:p>
    <w:p>
      <w:pPr>
        <w:pStyle w:val="BodyText"/>
        <w:numPr>
          <w:ilvl w:val="0"/>
          <w:numId w:val="1001"/>
        </w:numPr>
      </w:pPr>
      <w:r>
        <w:rPr>
          <w:b/>
          <w:bCs/>
        </w:rPr>
        <w:t xml:space="preserve">International Patient Summary (IPS) / European Patient Summary (EPS)</w:t>
      </w:r>
      <w:r>
        <w:t xml:space="preserve"> </w:t>
      </w:r>
      <w:r>
        <w:t xml:space="preserve">— generische Patientenzusammenfassungen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Chronic Conditions IG (MCC)</w:t>
      </w:r>
      <w:r>
        <w:t xml:space="preserve"> </w:t>
      </w:r>
      <w:r>
        <w:t xml:space="preserve">— chronische, parallele Erkrankungen, CarePlan-/Goal-Logik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Patient-Centered Outcomes IG (PCO)</w:t>
      </w:r>
      <w:r>
        <w:t xml:space="preserve"> </w:t>
      </w:r>
      <w:r>
        <w:t xml:space="preserve">— patientenzentrierte Ergebniskonzepte</w:t>
      </w:r>
    </w:p>
    <w:p>
      <w:pPr>
        <w:pStyle w:val="BodyText"/>
        <w:numPr>
          <w:ilvl w:val="0"/>
          <w:numId w:val="1001"/>
        </w:numPr>
      </w:pPr>
      <w:r>
        <w:rPr>
          <w:b/>
          <w:bCs/>
        </w:rPr>
        <w:t xml:space="preserve">ESMO EnLiST 2026</w:t>
      </w:r>
      <w:r>
        <w:t xml:space="preserve"> </w:t>
      </w:r>
      <w:r>
        <w:t xml:space="preserve">— Therapielinien-Konsens für solide Tumoren</w:t>
      </w:r>
    </w:p>
    <w:p>
      <w:pPr>
        <w:pStyle w:val="BodyText"/>
        <w:numPr>
          <w:ilvl w:val="0"/>
          <w:numId w:val="1001"/>
        </w:numPr>
      </w:pPr>
      <w:r>
        <w:rPr>
          <w:b/>
          <w:bCs/>
        </w:rPr>
        <w:t xml:space="preserve">HL7 CPG-on-FHIR (CQF Recommendations)</w:t>
      </w:r>
      <w:r>
        <w:t xml:space="preserve"> </w:t>
      </w:r>
      <w:r>
        <w:t xml:space="preserve">— computable Leitlinien-Repräsentation</w:t>
      </w:r>
    </w:p>
    <w:p>
      <w:pPr>
        <w:pStyle w:val="FirstParagraph"/>
      </w:pPr>
      <w:r>
        <w:t xml:space="preserve">Pro Quelle ist die Analyse einheitlich strukturiert: übertragbares Muster, Anwendungsbeispiel, Lücken &amp; Lösungsansätze, direkt übernehmbare Elemente, Fazit "Was nutzen wir warum", Quellen. Den Quellen folgt eine</w:t>
      </w:r>
      <w:r>
        <w:t xml:space="preserve"> </w:t>
      </w:r>
      <w:r>
        <w:rPr>
          <w:b/>
          <w:bCs/>
        </w:rPr>
        <w:t xml:space="preserve">Synthese mit Architekturentscheidung</w:t>
      </w:r>
      <w:r>
        <w:t xml:space="preserve">.</w:t>
      </w:r>
    </w:p>
    <w:bookmarkEnd w:id="21"/>
    <w:bookmarkEnd w:id="22"/>
    <w:bookmarkStart w:id="37" w:name="X2b5b4daa23688d1ac086263d5b27c6194b74ada"/>
    <w:p>
      <w:pPr>
        <w:pStyle w:val="Heading1"/>
      </w:pPr>
      <w:r>
        <w:t xml:space="preserve">mCODE STU4 — Minimal Common Oncology Data Elements</w:t>
      </w:r>
    </w:p>
    <w:bookmarkStart w:id="36" w:name="X9783b729021fd68fe8acefe85de272e6bee01da"/>
    <w:p>
      <w:pPr>
        <w:pStyle w:val="Heading2"/>
      </w:pPr>
      <w:r>
        <w:t xml:space="preserve">mCODE STU4 – Analysebaustein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Quelle:</w:t>
      </w:r>
      <w:r>
        <w:t xml:space="preserve"> </w:t>
      </w:r>
      <w:r>
        <w:t xml:space="preserve">HL7</w:t>
      </w:r>
      <w:r>
        <w:t xml:space="preserve"> </w:t>
      </w:r>
      <w:r>
        <w:rPr>
          <w:i/>
          <w:iCs/>
        </w:rPr>
        <w:t xml:space="preserve">Minimal Common Oncology Data Elements (mCODE) Implementation Guide</w:t>
      </w:r>
      <w:r>
        <w:t xml:space="preserve"> </w:t>
      </w:r>
      <w:r>
        <w:t xml:space="preserve">v4.0.0 (STU4, publiziert 16.02.2025, FHIR R4, US-Realm, Lizenz CC0-1.0). Träger: CodeX FHIR Accelerator (MITRE Corporation + American Society of Clinical Oncology). Canonical:</w:t>
      </w:r>
      <w:r>
        <w:t xml:space="preserve"> </w:t>
      </w:r>
      <w:hyperlink r:id="rId23">
        <w:r>
          <w:rPr>
            <w:rStyle w:val="Hyperlink"/>
          </w:rPr>
          <w:t xml:space="preserve">hl7.org/fhir/us/mcode</w:t>
        </w:r>
      </w:hyperlink>
      <w:r>
        <w:t xml:space="preserve"> </w:t>
      </w:r>
      <w:r>
        <w:t xml:space="preserve">· Build IG:</w:t>
      </w:r>
      <w:r>
        <w:t xml:space="preserve"> </w:t>
      </w:r>
      <w:hyperlink r:id="rId24">
        <w:r>
          <w:rPr>
            <w:rStyle w:val="Hyperlink"/>
          </w:rPr>
          <w:t xml:space="preserve">build.fhir.org/ig/HL7/fhir-mCODE-ig</w:t>
        </w:r>
      </w:hyperlink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STU4, der bislang umfangreichste Release. Rund 53 FHIR-Profile in sechs Domänen, über 103 ValueSets, mehr als 130 Beispiele. Internationaler Referenzstandard für die strukturierte Modellierung onkologischer EHR-Daten.</w:t>
      </w:r>
    </w:p>
    <w:bookmarkStart w:id="25" w:name="X4834e7a3c3952b5099cb6102eca24357c441493"/>
    <w:p>
      <w:pPr>
        <w:pStyle w:val="Heading3"/>
      </w:pPr>
      <w:r>
        <w:t xml:space="preserve">1. Anwendungskontext und Zielgruppe</w:t>
      </w:r>
    </w:p>
    <w:p>
      <w:pPr>
        <w:pStyle w:val="FirstParagraph"/>
      </w:pPr>
      <w:r>
        <w:t xml:space="preserve">mCODE adressiert insbesondere:</w:t>
      </w:r>
    </w:p>
    <w:p>
      <w:pPr>
        <w:pStyle w:val="BodyText"/>
        <w:numPr>
          <w:ilvl w:val="0"/>
          <w:numId w:val="1002"/>
        </w:numPr>
      </w:pPr>
      <w:r>
        <w:rPr>
          <w:b/>
          <w:bCs/>
        </w:rPr>
        <w:t xml:space="preserve">Comparative Effectiveness Analysis:</w:t>
      </w:r>
      <w:r>
        <w:t xml:space="preserve"> </w:t>
      </w:r>
      <w:r>
        <w:t xml:space="preserve">Vergleich von Behandlungsergebnissen über Versorgungssysteme hinweg, um klinische Entscheidungen kooperativ zu unterstützen.</w:t>
      </w:r>
    </w:p>
    <w:p>
      <w:pPr>
        <w:pStyle w:val="BodyText"/>
        <w:numPr>
          <w:ilvl w:val="0"/>
          <w:numId w:val="1002"/>
        </w:numPr>
      </w:pPr>
      <w:r>
        <w:rPr>
          <w:b/>
          <w:bCs/>
        </w:rPr>
        <w:t xml:space="preserve">NGS-Integration:</w:t>
      </w:r>
      <w:r>
        <w:t xml:space="preserve"> </w:t>
      </w:r>
      <w:r>
        <w:t xml:space="preserve">Anbindung von Next-Generation-Sequencing-Daten an Therapie-Effektivitätsanalysen für Präzisionsonkologie.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Zielgruppen:</w:t>
      </w:r>
      <w:r>
        <w:t xml:space="preserve"> </w:t>
      </w:r>
      <w:r>
        <w:t xml:space="preserve">Krankenhausinformationssysteme und EHR-Hersteller, klinisch-onkologische Forschung, Krebsregister (NAACCR-Alignment), Strahlentherapie- und pädiatrische Onkologieanbieter, klinische Studien-Organisationen, Interoperabilitäts-Stakeholder.</w:t>
      </w:r>
    </w:p>
    <w:p>
      <w:pPr>
        <w:pStyle w:val="FirstParagraph"/>
      </w:pPr>
      <w:r>
        <w:t xml:space="preserve">Für unsere Spec ist mCODE damit der zentrale Bezugspunkt zur internationalen Vergleichbarkeit oncologischer Datenstrukturen – insbesondere für</w:t>
      </w:r>
      <w:r>
        <w:t xml:space="preserve"> </w:t>
      </w:r>
      <w:r>
        <w:rPr>
          <w:i/>
          <w:iCs/>
        </w:rPr>
        <w:t xml:space="preserve">ProcedureIntent</w:t>
      </w:r>
      <w:r>
        <w:t xml:space="preserve">,</w:t>
      </w:r>
      <w:r>
        <w:t xml:space="preserve"> </w:t>
      </w:r>
      <w:r>
        <w:rPr>
          <w:i/>
          <w:iCs/>
        </w:rPr>
        <w:t xml:space="preserve">DiseaseStatus</w:t>
      </w:r>
      <w:r>
        <w:t xml:space="preserve"> </w:t>
      </w:r>
      <w:r>
        <w:t xml:space="preserve">und die genomische Verknüpfung.</w:t>
      </w:r>
    </w:p>
    <w:bookmarkEnd w:id="25"/>
    <w:bookmarkStart w:id="26" w:name="Xd9f1e52214ebd9dd4be70bbf12cdaea7837122a"/>
    <w:p>
      <w:pPr>
        <w:pStyle w:val="Heading3"/>
      </w:pPr>
      <w:r>
        <w:t xml:space="preserve">2. Übertragbares Muster: Sechs Domänen, CancerPatient als zentraler Hub</w:t>
      </w:r>
    </w:p>
    <w:p>
      <w:pPr>
        <w:pStyle w:val="FirstParagraph"/>
      </w:pPr>
      <w:r>
        <w:t xml:space="preserve">mCODE ordnet onkologische Daten in</w:t>
      </w:r>
      <w:r>
        <w:t xml:space="preserve"> </w:t>
      </w:r>
      <w:r>
        <w:rPr>
          <w:b/>
          <w:bCs/>
        </w:rPr>
        <w:t xml:space="preserve">sechs miteinander verknüpfte Domänen</w:t>
      </w:r>
      <w:r>
        <w:t xml:space="preserve"> </w:t>
      </w:r>
      <w:r>
        <w:t xml:space="preserve">an, das</w:t>
      </w:r>
      <w:r>
        <w:t xml:space="preserve"> </w:t>
      </w:r>
      <w:r>
        <w:rPr>
          <w:rStyle w:val="VerbatimChar"/>
        </w:rPr>
        <w:t xml:space="preserve">CancerPatient</w:t>
      </w:r>
      <w:r>
        <w:t xml:space="preserve">-Profil ist der zentrale Knoten.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Domäne</w:t>
            </w:r>
          </w:p>
        </w:tc>
        <w:tc>
          <w:tcPr/>
          <w:p>
            <w:pPr>
              <w:pStyle w:val="Compact"/>
            </w:pPr>
            <w:r>
              <w:t xml:space="preserve">Schlüsselprofile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Patient Information</w:t>
            </w:r>
          </w:p>
        </w:tc>
        <w:tc>
          <w:tcPr/>
          <w:p>
            <w:pPr>
              <w:pStyle w:val="BodyText"/>
            </w:pPr>
            <w:r>
              <w:t xml:space="preserve">CancerPatient, HumanSpecimen, MCODEPatientBundle, MCODEPatientGroup</w:t>
            </w:r>
          </w:p>
        </w:tc>
        <w:tc>
          <w:tcPr/>
          <w:p>
            <w:pPr>
              <w:pStyle w:val="Compact"/>
            </w:pPr>
            <w:r>
              <w:t xml:space="preserve">Demografie, Proben, Patient-Bundles für Datenaustausch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Characterization</w:t>
            </w:r>
          </w:p>
        </w:tc>
        <w:tc>
          <w:tcPr/>
          <w:p>
            <w:pPr>
              <w:pStyle w:val="BodyText"/>
            </w:pPr>
            <w:r>
              <w:t xml:space="preserve">PrimaryCancerCondition, SecondaryCancerCondition, CancerStage, TNMStageGroup, TumorMarkerTest, Tumor, TumorSize, HistologicBehaviorAndType, HistologicGrade, TumorMorphology, CancerRiskAssessment</w:t>
            </w:r>
          </w:p>
        </w:tc>
        <w:tc>
          <w:tcPr/>
          <w:p>
            <w:pPr>
              <w:pStyle w:val="BodyText"/>
            </w:pPr>
            <w:r>
              <w:t xml:space="preserve">Diagnose, Staging (TNM + 15 Nicht-TNM-Systeme), Morphologie, Risikoassessment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Assessment</w:t>
            </w:r>
          </w:p>
        </w:tc>
        <w:tc>
          <w:tcPr/>
          <w:p>
            <w:pPr>
              <w:pStyle w:val="Compact"/>
            </w:pPr>
            <w:r>
              <w:t xml:space="preserve">ECOGPerformanceStatus, KarnofskyPerformanceStatus, LanskyPlayPerformanceStatus, DeauvilleScale, BodySurfaceArea, Comorbidities, HistoryOfMetastaticCancer</w:t>
            </w:r>
          </w:p>
        </w:tc>
        <w:tc>
          <w:tcPr/>
          <w:p>
            <w:pPr>
              <w:pStyle w:val="BodyText"/>
            </w:pPr>
            <w:r>
              <w:t xml:space="preserve">Funktionsstatus, pädiatrisches Performance-Assessment, Lymphom-Response, Body-Metriken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Genomics</w:t>
            </w:r>
          </w:p>
        </w:tc>
        <w:tc>
          <w:tcPr/>
          <w:p>
            <w:pPr>
              <w:pStyle w:val="Compact"/>
            </w:pPr>
            <w:r>
              <w:t xml:space="preserve">GenomicsReport, GenomicVariant, GenomicRegionStudied</w:t>
            </w:r>
          </w:p>
        </w:tc>
        <w:tc>
          <w:tcPr/>
          <w:p>
            <w:pPr>
              <w:pStyle w:val="Compact"/>
            </w:pPr>
            <w:r>
              <w:t xml:space="preserve">Genomische Testergebnisse, Varianten (HGVS/ISCN), untersuchte Regionen; kompatibel mit Genomic Reporting IG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Cancer Treatments</w:t>
            </w:r>
          </w:p>
        </w:tc>
        <w:tc>
          <w:tcPr/>
          <w:p>
            <w:pPr>
              <w:pStyle w:val="BodyText"/>
            </w:pPr>
            <w:r>
              <w:t xml:space="preserve">CancerRelatedMedicationRequest, CancerRelatedMedicationAdministration, CancerRelatedSurgicalProcedure, RadiotherapyCourseSummary, RadiotherapyVolume</w:t>
            </w:r>
          </w:p>
        </w:tc>
        <w:tc>
          <w:tcPr/>
          <w:p>
            <w:pPr>
              <w:pStyle w:val="Compact"/>
            </w:pPr>
            <w:r>
              <w:t xml:space="preserve">Medikation, Chirurgie, Strahlentherapie inkl. Modalität, Technik, Dosis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Outcomes</w:t>
            </w:r>
          </w:p>
        </w:tc>
        <w:tc>
          <w:tcPr/>
          <w:p>
            <w:pPr>
              <w:pStyle w:val="BodyText"/>
            </w:pPr>
            <w:r>
              <w:t xml:space="preserve">CancerDiseaseStatus, TumorSize</w:t>
            </w:r>
          </w:p>
        </w:tc>
        <w:tc>
          <w:tcPr/>
          <w:p>
            <w:pPr>
              <w:pStyle w:val="BodyText"/>
            </w:pPr>
            <w:r>
              <w:t xml:space="preserve">Verlaufstracking (responding, stable, progressing), Tumormessungen</w:t>
            </w:r>
          </w:p>
        </w:tc>
      </w:tr>
    </w:tbl>
    <w:p>
      <w:pPr>
        <w:pStyle w:val="BodyText"/>
      </w:pPr>
      <w:r>
        <w:rPr>
          <w:b/>
          <w:bCs/>
        </w:rPr>
        <w:t xml:space="preserve">Wichtige strukturelle Prinzipien:</w:t>
      </w:r>
    </w:p>
    <w:p>
      <w:pPr>
        <w:pStyle w:val="Compact"/>
        <w:numPr>
          <w:ilvl w:val="0"/>
          <w:numId w:val="1003"/>
        </w:numPr>
      </w:pPr>
      <w:r>
        <w:t xml:space="preserve">mCODE schreibt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vor, welche Daten für jede*n Patient*in erfasst werden müssen. Es liefert Muster und Templates mit kontrollierten Terminologien für den Fall, dass Daten ausgetauscht werden.</w:t>
      </w:r>
    </w:p>
    <w:p>
      <w:pPr>
        <w:pStyle w:val="BodyText"/>
        <w:numPr>
          <w:ilvl w:val="0"/>
          <w:numId w:val="1003"/>
        </w:numPr>
      </w:pPr>
      <w:r>
        <w:t xml:space="preserve">Daten außerhalb der mCODE-Profile lassen sich weiterhin als Standard-FHIR-Ressourcen austauschen.</w:t>
      </w:r>
    </w:p>
    <w:p>
      <w:pPr>
        <w:pStyle w:val="BodyText"/>
        <w:numPr>
          <w:ilvl w:val="0"/>
          <w:numId w:val="1003"/>
        </w:numPr>
      </w:pPr>
      <w:r>
        <w:t xml:space="preserve">Terminologisch nutzt mCODE 14 externe Codesysteme: SNOMED CT, ICD-10-CM, ICD-O-3, LOINC, RxNorm, NCI Thesaurus, HGNC/HGVS, UCUM, CPT/ICD-10-PCS.</w:t>
      </w:r>
    </w:p>
    <w:bookmarkEnd w:id="26"/>
    <w:bookmarkStart w:id="27" w:name="X5ab02869a30fd64aad375f676b68ad630445891"/>
    <w:p>
      <w:pPr>
        <w:pStyle w:val="Heading3"/>
      </w:pPr>
      <w:r>
        <w:t xml:space="preserve">3. Therapiezielrelevante Elemente</w:t>
      </w:r>
    </w:p>
    <w:p>
      <w:pPr>
        <w:pStyle w:val="FirstParagraph"/>
      </w:pPr>
      <w:r>
        <w:t xml:space="preserve">Vier Bereiche von mCODE sind für „Onkologische Therapieziele" direkt anschlussfähig:</w:t>
      </w:r>
    </w:p>
    <w:p>
      <w:pPr>
        <w:pStyle w:val="BodyText"/>
        <w:numPr>
          <w:ilvl w:val="0"/>
          <w:numId w:val="1004"/>
        </w:numPr>
      </w:pPr>
      <w:r>
        <w:rPr>
          <w:b/>
          <w:bCs/>
        </w:rPr>
        <w:t xml:space="preserve">Treatment Intent:</w:t>
      </w:r>
      <w:r>
        <w:t xml:space="preserve"> </w:t>
      </w:r>
      <w:r>
        <w:t xml:space="preserve">Die</w:t>
      </w:r>
      <w:r>
        <w:t xml:space="preserve"> </w:t>
      </w:r>
      <w:r>
        <w:rPr>
          <w:rStyle w:val="VerbatimChar"/>
        </w:rPr>
        <w:t xml:space="preserve">ProcedureIntent</w:t>
      </w:r>
      <w:r>
        <w:t xml:space="preserve">-Extension (curative, palliative, diagnostic, preventive, supportive, screening) bietet das Fundament, auf dem strukturierte Therapieziele aufbauen können.</w:t>
      </w:r>
    </w:p>
    <w:p>
      <w:pPr>
        <w:pStyle w:val="BodyText"/>
        <w:numPr>
          <w:ilvl w:val="0"/>
          <w:numId w:val="1004"/>
        </w:numPr>
      </w:pPr>
      <w:r>
        <w:rPr>
          <w:b/>
          <w:bCs/>
        </w:rPr>
        <w:t xml:space="preserve">Disease Status Tracking:</w:t>
      </w:r>
      <w:r>
        <w:t xml:space="preserve"> </w:t>
      </w:r>
      <w:r>
        <w:rPr>
          <w:rStyle w:val="VerbatimChar"/>
        </w:rPr>
        <w:t xml:space="preserve">CancerDiseaseStatus</w:t>
      </w:r>
      <w:r>
        <w:t xml:space="preserve"> </w:t>
      </w:r>
      <w:r>
        <w:t xml:space="preserve">und das</w:t>
      </w:r>
      <w:r>
        <w:t xml:space="preserve"> </w:t>
      </w:r>
      <w:r>
        <w:rPr>
          <w:rStyle w:val="VerbatimChar"/>
        </w:rPr>
        <w:t xml:space="preserve">ConditionStatusTrendVS</w:t>
      </w:r>
      <w:r>
        <w:t xml:space="preserve"> </w:t>
      </w:r>
      <w:r>
        <w:t xml:space="preserve">(responding, stable, progressing, remission) liefern das Outcome-Vokabular, auf das Therapieziele referenzieren.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Staging und Prognose:</w:t>
      </w:r>
      <w:r>
        <w:t xml:space="preserve"> </w:t>
      </w:r>
      <w:r>
        <w:t xml:space="preserve">Cancer-Staging-Profile und das (neue) Risk-Assessment-Framework liefern den klinischen Kontext für die Zielbestimmung.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 Status:</w:t>
      </w:r>
      <w:r>
        <w:t xml:space="preserve"> </w:t>
      </w:r>
      <w:r>
        <w:t xml:space="preserve">ECOG, Karnofsky und (für die pädiatrische Onkologie) Lansky sind Schlüsseleingaben für die Therapieziel-Entscheidung.</w:t>
      </w:r>
    </w:p>
    <w:bookmarkEnd w:id="27"/>
    <w:bookmarkStart w:id="28" w:name="X7c6d04c53177d08dd030a1563186387ee720469"/>
    <w:p>
      <w:pPr>
        <w:pStyle w:val="Heading3"/>
      </w:pPr>
      <w:r>
        <w:t xml:space="preserve">4. Lücken in mCODE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Lücke / Designentscheidung in mCODE</w:t>
            </w:r>
          </w:p>
        </w:tc>
        <w:tc>
          <w:tcPr/>
          <w:p>
            <w:pPr>
              <w:pStyle w:val="BodyText"/>
            </w:pPr>
            <w:r>
              <w:t xml:space="preserve">Lösungsansatz für unsere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Keine expliziten Therapieziele</w:t>
            </w:r>
            <w:r>
              <w:t xml:space="preserve"> </w:t>
            </w:r>
            <w:r>
              <w:t xml:space="preserve">(Heilung, Lebensverlängerung, Symptomkontrolle, Lebensqualität)</w:t>
            </w:r>
          </w:p>
        </w:tc>
        <w:tc>
          <w:tcPr/>
          <w:p>
            <w:pPr>
              <w:pStyle w:val="BodyText"/>
            </w:pPr>
            <w:r>
              <w:t xml:space="preserve">Eigene Profile</w:t>
            </w:r>
            <w:r>
              <w:t xml:space="preserve"> </w:t>
            </w:r>
            <w:r>
              <w:rPr>
                <w:rStyle w:val="VerbatimChar"/>
              </w:rPr>
              <w:t xml:space="preserve">OnkoTherapyGoal</w:t>
            </w:r>
            <w:r>
              <w:t xml:space="preserve"> </w:t>
            </w:r>
            <w:r>
              <w:t xml:space="preserve">(auf</w:t>
            </w:r>
            <w:r>
              <w:t xml:space="preserve"> </w:t>
            </w:r>
            <w:r>
              <w:rPr>
                <w:rStyle w:val="VerbatimChar"/>
              </w:rPr>
              <w:t xml:space="preserve">Goal</w:t>
            </w:r>
            <w:r>
              <w:t xml:space="preserve">) mit codiertem Zielart-Set; verknüpft mit</w:t>
            </w:r>
            <w:r>
              <w:t xml:space="preserve"> </w:t>
            </w:r>
            <w:r>
              <w:rPr>
                <w:rStyle w:val="VerbatimChar"/>
              </w:rPr>
              <w:t xml:space="preserve">CarePlan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OnkoTherapyLine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Keine Therapielinien-Notation</w:t>
            </w:r>
          </w:p>
        </w:tc>
        <w:tc>
          <w:tcPr/>
          <w:p>
            <w:pPr>
              <w:pStyle w:val="BodyText"/>
            </w:pPr>
            <w:r>
              <w:t xml:space="preserve">EnLiST-basierte</w:t>
            </w:r>
            <w:r>
              <w:t xml:space="preserve"> </w:t>
            </w:r>
            <w:r>
              <w:rPr>
                <w:rStyle w:val="VerbatimChar"/>
              </w:rPr>
              <w:t xml:space="preserve">OnkoTherapyLine</w:t>
            </w:r>
            <w:r>
              <w:t xml:space="preserve"> </w:t>
            </w:r>
            <w:r>
              <w:t xml:space="preserve">ergänzen, mit Anschluss an mCODE-</w:t>
            </w:r>
            <w:r>
              <w:rPr>
                <w:rStyle w:val="VerbatimChar"/>
              </w:rPr>
              <w:t xml:space="preserve">CancerRelatedMedicationRequest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US-Realm-Bindung</w:t>
            </w:r>
            <w:r>
              <w:t xml:space="preserve"> </w:t>
            </w:r>
            <w:r>
              <w:t xml:space="preserve">(US Core 6.1.0 als Voraussetzung)</w:t>
            </w:r>
          </w:p>
        </w:tc>
        <w:tc>
          <w:tcPr/>
          <w:p>
            <w:pPr>
              <w:pStyle w:val="BodyText"/>
            </w:pPr>
            <w:r>
              <w:t xml:space="preserve">mCODE-Profile als Referenzfolie und Inspiration nutzen; eigene Profile auf MII-KDS-Onkologie verankern; Mapping-Tabelle auf mCODE-Profile als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Terminologie überwiegend US-zentriert</w:t>
            </w:r>
            <w:r>
              <w:t xml:space="preserve"> </w:t>
            </w:r>
            <w:r>
              <w:t xml:space="preserve">(RxNorm, ICD-10-CM)</w:t>
            </w:r>
          </w:p>
        </w:tc>
        <w:tc>
          <w:tcPr/>
          <w:p>
            <w:pPr>
              <w:pStyle w:val="BodyText"/>
            </w:pPr>
            <w:r>
              <w:t xml:space="preserve">Für DE entsprechende Pendants verankern (ATC, ICD-10-GM, OPS), mit ConceptMaps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 expliziter MDT/Tumorboard-Modus</w:t>
            </w:r>
          </w:p>
        </w:tc>
        <w:tc>
          <w:tcPr/>
          <w:p>
            <w:pPr>
              <w:pStyle w:val="BodyText"/>
            </w:pPr>
            <w:r>
              <w:t xml:space="preserve">Wird in der Spec über CPG-on-FHIR-Pattern abgebildet (siehe CPG-Baustein); Molekulares Tumorboard explizit als Use Case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Patient-Reported-Outcomes</w:t>
            </w:r>
            <w:r>
              <w:t xml:space="preserve"> </w:t>
            </w:r>
            <w:r>
              <w:t xml:space="preserve">nicht im Kernscope</w:t>
            </w:r>
          </w:p>
        </w:tc>
        <w:tc>
          <w:tcPr/>
          <w:p>
            <w:pPr>
              <w:pStyle w:val="BodyText"/>
            </w:pPr>
            <w:r>
              <w:t xml:space="preserve">Anbindung an PCO IG (siehe PCO-Baustein)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Pflegeprozess</w:t>
            </w:r>
            <w:r>
              <w:t xml:space="preserve"> </w:t>
            </w:r>
            <w:r>
              <w:t xml:space="preserve">zwischen STU-Releases und unserer Spec</w:t>
            </w:r>
          </w:p>
        </w:tc>
        <w:tc>
          <w:tcPr/>
          <w:p>
            <w:pPr>
              <w:pStyle w:val="BodyText"/>
            </w:pPr>
            <w:r>
              <w:t xml:space="preserve">KIG-Onko hält Mapping-Versionen synchron zu mCODE-Releases; pro Major-Release ein Review-Zyklus</w:t>
            </w:r>
          </w:p>
        </w:tc>
      </w:tr>
    </w:tbl>
    <w:bookmarkEnd w:id="28"/>
    <w:bookmarkStart w:id="29" w:name="Xe076bedb197fd393652f4fc3b81cf4afb19a103"/>
    <w:p>
      <w:pPr>
        <w:pStyle w:val="Heading3"/>
      </w:pPr>
      <w:r>
        <w:t xml:space="preserve">5. Direkt übernehmbare Elemente</w:t>
      </w:r>
    </w:p>
    <w:p>
      <w:pPr>
        <w:pStyle w:val="BodyText"/>
        <w:numPr>
          <w:ilvl w:val="0"/>
          <w:numId w:val="1005"/>
        </w:numPr>
      </w:pPr>
      <w:r>
        <w:rPr>
          <w:b/>
          <w:bCs/>
        </w:rPr>
        <w:t xml:space="preserve">ProcedureIntent-Extension</w:t>
      </w:r>
      <w:r>
        <w:t xml:space="preserve"> </w:t>
      </w:r>
      <w:r>
        <w:t xml:space="preserve">als Modellierungsbasis für Treatment Intent in</w:t>
      </w:r>
      <w:r>
        <w:t xml:space="preserve"> </w:t>
      </w:r>
      <w:r>
        <w:rPr>
          <w:rStyle w:val="VerbatimChar"/>
        </w:rPr>
        <w:t xml:space="preserve">OnkoTherapyLine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OnkoTherapyGoal</w:t>
      </w:r>
      <w:r>
        <w:t xml:space="preserve">.</w:t>
      </w:r>
    </w:p>
    <w:p>
      <w:pPr>
        <w:pStyle w:val="BodyText"/>
        <w:numPr>
          <w:ilvl w:val="0"/>
          <w:numId w:val="1005"/>
        </w:numPr>
      </w:pPr>
      <w:r>
        <w:rPr>
          <w:b/>
          <w:bCs/>
        </w:rPr>
        <w:t xml:space="preserve">CancerDiseaseStatus + ConditionStatusTrendVS</w:t>
      </w:r>
      <w:r>
        <w:t xml:space="preserve"> </w:t>
      </w:r>
      <w:r>
        <w:t xml:space="preserve">als Outcome-Vokabular und Trend-Tracking-Pattern.</w:t>
      </w:r>
    </w:p>
    <w:p>
      <w:pPr>
        <w:pStyle w:val="BodyText"/>
        <w:numPr>
          <w:ilvl w:val="0"/>
          <w:numId w:val="1005"/>
        </w:numPr>
      </w:pPr>
      <w:r>
        <w:rPr>
          <w:b/>
          <w:bCs/>
        </w:rPr>
        <w:t xml:space="preserve">Strukturierung in sechs Domänen</w:t>
      </w:r>
      <w:r>
        <w:t xml:space="preserve"> </w:t>
      </w:r>
      <w:r>
        <w:t xml:space="preserve">als Gliederungsmuster für das Informationsmodell.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Sliced ValueSets</w:t>
      </w:r>
      <w:r>
        <w:t xml:space="preserve"> </w:t>
      </w:r>
      <w:r>
        <w:t xml:space="preserve">mit klar getrennten Subsets (TNM × Nicht-TNM × pädiatrische Systeme) als Vorbild für unsere eigenen Setting-/Phasen-ValueSets.</w:t>
      </w:r>
    </w:p>
    <w:p>
      <w:pPr>
        <w:pStyle w:val="BodyText"/>
        <w:numPr>
          <w:ilvl w:val="0"/>
          <w:numId w:val="1005"/>
        </w:numPr>
      </w:pPr>
      <w:r>
        <w:rPr>
          <w:b/>
          <w:bCs/>
        </w:rPr>
        <w:t xml:space="preserve">Genomik-Anbindung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GenomicsReport</w:t>
      </w:r>
      <w:r>
        <w:t xml:space="preserve"> </w:t>
      </w:r>
      <w:r>
        <w:t xml:space="preserve">als Anknüpfungspunkt für die geplante Modellierung des Molekularen Tumorboards.</w:t>
      </w:r>
    </w:p>
    <w:bookmarkEnd w:id="29"/>
    <w:bookmarkStart w:id="30" w:name="X48b03e1ccd4f95828fa671afb608a21b1f0ee11"/>
    <w:p>
      <w:pPr>
        <w:pStyle w:val="Heading3"/>
      </w:pPr>
      <w:r>
        <w:t xml:space="preserve">6. Fazit: Was wir übernehmen und warum</w:t>
      </w:r>
    </w:p>
    <w:p>
      <w:pPr>
        <w:pStyle w:val="FirstParagraph"/>
      </w:pPr>
      <w:r>
        <w:rPr>
          <w:b/>
          <w:bCs/>
        </w:rPr>
        <w:t xml:space="preserve">Übernehmen:</w:t>
      </w:r>
    </w:p>
    <w:p>
      <w:pPr>
        <w:pStyle w:val="BodyText"/>
        <w:numPr>
          <w:ilvl w:val="0"/>
          <w:numId w:val="1006"/>
        </w:numPr>
      </w:pPr>
      <w:r>
        <w:rPr>
          <w:b/>
          <w:bCs/>
        </w:rPr>
        <w:t xml:space="preserve">mCODE-Profile als internationale Referenzfolie</w:t>
      </w:r>
      <w:r>
        <w:t xml:space="preserve"> </w:t>
      </w:r>
      <w:r>
        <w:t xml:space="preserve">für unsere onkologischen Datenstrukturen. Begründung: international etabliert, von ASCO und MITRE getragen, semantisch breit abgedeckt (Diagnose, Staging, Therapie, Outcomes, Genomik) und CC0-lizenziert. Ermöglicht Outcome-Vergleichbarkeit gegen US- und internationale Datensätze.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ProcedureIntent-Extension</w:t>
      </w:r>
      <w:r>
        <w:t xml:space="preserve"> </w:t>
      </w:r>
      <w:r>
        <w:t xml:space="preserve">für Treatment Intent in unseren Therapielinien- und Therapieziel-Profilen – strukturelles Vorbild, semantisch direkt nutzbar.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CancerDiseaseStatus + ConditionStatusTrendVS</w:t>
      </w:r>
      <w:r>
        <w:t xml:space="preserve"> </w:t>
      </w:r>
      <w:r>
        <w:t xml:space="preserve">als Outcome-Vokabular für die Therapieziel-Verlaufsdarstellung.</w:t>
      </w:r>
    </w:p>
    <w:p>
      <w:pPr>
        <w:pStyle w:val="FirstParagraph"/>
      </w:pPr>
      <w:r>
        <w:rPr>
          <w:b/>
          <w:bCs/>
        </w:rPr>
        <w:t xml:space="preserve">Erweitern / spezialisieren:</w:t>
      </w:r>
    </w:p>
    <w:p>
      <w:pPr>
        <w:pStyle w:val="BodyText"/>
        <w:numPr>
          <w:ilvl w:val="0"/>
          <w:numId w:val="1007"/>
        </w:numPr>
      </w:pPr>
      <w:r>
        <w:rPr>
          <w:b/>
          <w:bCs/>
        </w:rPr>
        <w:t xml:space="preserve">Eigene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OnkoTherapyGoal</w:t>
      </w:r>
      <w:r>
        <w:rPr>
          <w:b/>
          <w:bCs/>
        </w:rPr>
        <w:t xml:space="preserve">-Ressource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Goal</w:t>
      </w:r>
      <w:r>
        <w:t xml:space="preserve">), die mCODE-Outcome-Vokabular referenziert, aber die Zielart strukturiert codiert (Heilung, Lebensverlängerung, Symptomkontrolle, Lebensqualität).</w:t>
      </w:r>
    </w:p>
    <w:p>
      <w:pPr>
        <w:pStyle w:val="BodyText"/>
        <w:numPr>
          <w:ilvl w:val="0"/>
          <w:numId w:val="1007"/>
        </w:numPr>
      </w:pPr>
      <w:r>
        <w:rPr>
          <w:b/>
          <w:bCs/>
        </w:rPr>
        <w:t xml:space="preserve">MII-Anbindung statt US-Core</w:t>
      </w:r>
      <w:r>
        <w:t xml:space="preserve">: deutsche Datenelemente und Terminologien als primäre Interop-Basis; Mapping auf mCODE als sekundäre Beilage.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Therapielinien via EnLiST</w:t>
      </w:r>
      <w:r>
        <w:t xml:space="preserve"> </w:t>
      </w:r>
      <w:r>
        <w:t xml:space="preserve">(siehe EnLiST-Baustein) – mCODE bietet keine LoT-Notation; EnLiST schließt diese Lücke.</w:t>
      </w:r>
    </w:p>
    <w:p>
      <w:pPr>
        <w:pStyle w:val="FirstParagraph"/>
      </w:pPr>
      <w:r>
        <w:rPr>
          <w:b/>
          <w:bCs/>
        </w:rPr>
        <w:t xml:space="preserve">Nicht übernehmen / bewusst abweichen: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US-Realm-spezifische Profile</w:t>
      </w:r>
      <w:r>
        <w:t xml:space="preserve"> </w:t>
      </w:r>
      <w:r>
        <w:t xml:space="preserve">(CapabilityStatement-Anforderungen, US-Core-Abhängigkeiten) – nicht relevant für die deutsche Versorgungsrealität.</w:t>
      </w:r>
    </w:p>
    <w:p>
      <w:pPr>
        <w:pStyle w:val="BodyText"/>
        <w:numPr>
          <w:ilvl w:val="0"/>
          <w:numId w:val="1008"/>
        </w:numPr>
      </w:pPr>
      <w:r>
        <w:rPr>
          <w:b/>
          <w:bCs/>
        </w:rPr>
        <w:t xml:space="preserve">US-Terminologien (RxNorm, ICD-10-CM)</w:t>
      </w:r>
      <w:r>
        <w:t xml:space="preserve"> </w:t>
      </w:r>
      <w:r>
        <w:t xml:space="preserve">als Primärbindung – wir nutzen ATC und ICD-10-GM, mit ConceptMaps zu mCODE.</w:t>
      </w:r>
    </w:p>
    <w:bookmarkEnd w:id="30"/>
    <w:bookmarkStart w:id="35" w:name="X28cf1cec3b85250e6e55fe9bbb026242ec6a28f"/>
    <w:p>
      <w:pPr>
        <w:pStyle w:val="Heading3"/>
      </w:pPr>
      <w:r>
        <w:t xml:space="preserve">7. Quellen</w:t>
      </w:r>
    </w:p>
    <w:p>
      <w:pPr>
        <w:pStyle w:val="BodyText"/>
        <w:numPr>
          <w:ilvl w:val="0"/>
          <w:numId w:val="1009"/>
        </w:numPr>
      </w:pPr>
      <w:r>
        <w:t xml:space="preserve">mCODE STU4 IG:</w:t>
      </w:r>
      <w:r>
        <w:t xml:space="preserve"> </w:t>
      </w:r>
      <w:hyperlink r:id="rId31">
        <w:r>
          <w:rPr>
            <w:rStyle w:val="Hyperlink"/>
          </w:rPr>
          <w:t xml:space="preserve">hl7.org/fhir/us/mcode/STU4</w:t>
        </w:r>
      </w:hyperlink>
    </w:p>
    <w:p>
      <w:pPr>
        <w:pStyle w:val="BodyText"/>
        <w:numPr>
          <w:ilvl w:val="0"/>
          <w:numId w:val="1009"/>
        </w:numPr>
      </w:pPr>
      <w:r>
        <w:t xml:space="preserve">mCODE CI Build:</w:t>
      </w:r>
      <w:r>
        <w:t xml:space="preserve"> </w:t>
      </w:r>
      <w:hyperlink r:id="rId24">
        <w:r>
          <w:rPr>
            <w:rStyle w:val="Hyperlink"/>
          </w:rPr>
          <w:t xml:space="preserve">build.fhir.org/ig/HL7/fhir-mCODE-ig</w:t>
        </w:r>
      </w:hyperlink>
    </w:p>
    <w:p>
      <w:pPr>
        <w:pStyle w:val="BodyText"/>
        <w:numPr>
          <w:ilvl w:val="0"/>
          <w:numId w:val="1009"/>
        </w:numPr>
      </w:pPr>
      <w:r>
        <w:t xml:space="preserve">CodeX FHIR Accelerator:</w:t>
      </w:r>
      <w:r>
        <w:t xml:space="preserve"> </w:t>
      </w:r>
      <w:hyperlink r:id="rId33">
        <w:hyperlink r:id="rId32">
          <w:r>
            <w:rPr>
              <w:rStyle w:val="Hyperlink"/>
            </w:rPr>
            <w:t xml:space="preserve">www.hl7.org/codex</w:t>
          </w:r>
        </w:hyperlink>
      </w:hyperlink>
    </w:p>
    <w:p>
      <w:pPr>
        <w:pStyle w:val="BodyText"/>
        <w:numPr>
          <w:ilvl w:val="0"/>
          <w:numId w:val="1009"/>
        </w:numPr>
      </w:pPr>
      <w:r>
        <w:t xml:space="preserve">mCODE GitHub Repository:</w:t>
      </w:r>
      <w:r>
        <w:t xml:space="preserve"> </w:t>
      </w:r>
      <w:hyperlink r:id="rId34">
        <w:r>
          <w:rPr>
            <w:rStyle w:val="Hyperlink"/>
          </w:rPr>
          <w:t xml:space="preserve">github.com/HL7/fhir-mCODE-ig</w:t>
        </w:r>
      </w:hyperlink>
    </w:p>
    <w:p>
      <w:pPr>
        <w:pStyle w:val="BodyText"/>
        <w:numPr>
          <w:ilvl w:val="0"/>
          <w:numId w:val="1009"/>
        </w:numPr>
      </w:pPr>
      <w:r>
        <w:t xml:space="preserve">mCODE Data Dictionary (STU4): im IG-Verzeichnis verlinkt</w:t>
      </w:r>
    </w:p>
    <w:p>
      <w:pPr>
        <w:pStyle w:val="BodyText"/>
        <w:numPr>
          <w:ilvl w:val="0"/>
          <w:numId w:val="1009"/>
        </w:numPr>
      </w:pPr>
      <w:r>
        <w:t xml:space="preserve">Verbundene Standards: Genomic Reporting IG, NAACCR Cancer Registry Standards</w:t>
      </w:r>
    </w:p>
    <w:bookmarkEnd w:id="35"/>
    <w:bookmarkEnd w:id="36"/>
    <w:bookmarkEnd w:id="37"/>
    <w:bookmarkStart w:id="43" w:name="X84f0450d2ded6f9e5ff6ab98984a8f6d2945732"/>
    <w:p>
      <w:pPr>
        <w:pStyle w:val="Heading1"/>
      </w:pPr>
      <w:r>
        <w:t xml:space="preserve">International Patient Summary (IPS) und European Patient Summary (EPS)</w:t>
      </w:r>
    </w:p>
    <w:bookmarkStart w:id="38" w:name="Xd66595e6ded93ef76630db246dd8cd1e0291930"/>
    <w:p>
      <w:pPr>
        <w:pStyle w:val="Heading3"/>
      </w:pPr>
      <w:r>
        <w:t xml:space="preserve">1. Management-Zusammenfassung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International Patient Summary (IPS) v2.0.0 STU 2</w:t>
      </w:r>
      <w:r>
        <w:t xml:space="preserve"> </w:t>
      </w:r>
      <w:r>
        <w:t xml:space="preserve">(HL7</w:t>
      </w:r>
      <w:r>
        <w:t xml:space="preserve"> </w:t>
      </w:r>
      <w:r>
        <w:t xml:space="preserve">International, FHIR R4, ISO/EN 27269) ist die normative Referenz für</w:t>
      </w:r>
      <w:r>
        <w:t xml:space="preserve"> </w:t>
      </w:r>
      <w:r>
        <w:t xml:space="preserve">condition-agnostische Patientenzusammenfassungen. Die</w:t>
      </w:r>
      <w:r>
        <w:t xml:space="preserve"> </w:t>
      </w:r>
      <w:r>
        <w:rPr>
          <w:b/>
          <w:bCs/>
        </w:rPr>
        <w:t xml:space="preserve">European Patient</w:t>
      </w:r>
      <w:r>
        <w:rPr>
          <w:b/>
          <w:bCs/>
        </w:rPr>
        <w:t xml:space="preserve"> </w:t>
      </w:r>
      <w:r>
        <w:rPr>
          <w:b/>
          <w:bCs/>
        </w:rPr>
        <w:t xml:space="preserve">Summary (EPS) v1.0.0-xtehr</w:t>
      </w:r>
      <w:r>
        <w:t xml:space="preserve"> </w:t>
      </w:r>
      <w:r>
        <w:t xml:space="preserve">(HL7 Europe, QA-Preview Februar 2026)</w:t>
      </w:r>
      <w:r>
        <w:t xml:space="preserve"> </w:t>
      </w:r>
      <w:r>
        <w:t xml:space="preserve">leitet sich direkt aus IPS ab („imposes profile IPS Composition“) und</w:t>
      </w:r>
      <w:r>
        <w:t xml:space="preserve"> </w:t>
      </w:r>
      <w:r>
        <w:t xml:space="preserve">ergänzt EU-Core-Profile und Xt-EHR-Obligations. EPS ist die strategisch</w:t>
      </w:r>
      <w:r>
        <w:t xml:space="preserve"> </w:t>
      </w:r>
      <w:r>
        <w:t xml:space="preserve">relevante Bezugsgröße für EHDS-/EEHRxF-Konformität.</w:t>
      </w:r>
    </w:p>
    <w:p>
      <w:pPr>
        <w:pStyle w:val="BodyText"/>
      </w:pPr>
      <w:r>
        <w:t xml:space="preserve">Beide Guides liefern</w:t>
      </w:r>
      <w:r>
        <w:t xml:space="preserve"> </w:t>
      </w:r>
      <w:r>
        <w:rPr>
          <w:b/>
          <w:bCs/>
        </w:rPr>
        <w:t xml:space="preserve">übertragbare strukturelle Muster</w:t>
      </w:r>
      <w:r>
        <w:t xml:space="preserve">, adressieren</w:t>
      </w:r>
      <w:r>
        <w:t xml:space="preserve"> </w:t>
      </w:r>
      <w:r>
        <w:t xml:space="preserve">aber</w:t>
      </w:r>
      <w:r>
        <w:t xml:space="preserve"> </w:t>
      </w:r>
      <w:r>
        <w:rPr>
          <w:b/>
          <w:bCs/>
        </w:rPr>
        <w:t xml:space="preserve">keinerlei strukturierte Therapieziele, Therapieintention oder</w:t>
      </w:r>
      <w:r>
        <w:rPr>
          <w:b/>
          <w:bCs/>
        </w:rPr>
        <w:t xml:space="preserve"> </w:t>
      </w:r>
      <w:r>
        <w:rPr>
          <w:b/>
          <w:bCs/>
        </w:rPr>
        <w:t xml:space="preserve">Therapielinien</w:t>
      </w:r>
      <w:r>
        <w:t xml:space="preserve">. Das offizielle IPS-Referenzbeispiel ist selbst ein</w:t>
      </w:r>
      <w:r>
        <w:t xml:space="preserve"> </w:t>
      </w:r>
      <w:r>
        <w:t xml:space="preserve">Mammakarzinom-Fall und illustriert die Lücke im Standard direkt. Unsere</w:t>
      </w:r>
      <w:r>
        <w:t xml:space="preserve"> </w:t>
      </w:r>
      <w:r>
        <w:t xml:space="preserve">Spezifikation sollte daher die IPS/EPS-Architektur übernehmen, die</w:t>
      </w:r>
      <w:r>
        <w:t xml:space="preserve"> </w:t>
      </w:r>
      <w:r>
        <w:t xml:space="preserve">Core-Profile um onkologische Tiefe erweitern und die Ziel- und</w:t>
      </w:r>
      <w:r>
        <w:t xml:space="preserve"> </w:t>
      </w:r>
      <w:r>
        <w:t xml:space="preserve">Abschnitts-Konzepte neu definieren.</w:t>
      </w:r>
    </w:p>
    <w:bookmarkEnd w:id="38"/>
    <w:bookmarkStart w:id="39" w:name="Xb4f7588f8ae18fbbd162589877972bf030ba60d"/>
    <w:p>
      <w:pPr>
        <w:pStyle w:val="Heading3"/>
      </w:pPr>
      <w:r>
        <w:t xml:space="preserve">2. Übertragbares Muster: Composition-Architektur und Plan of Care</w:t>
      </w:r>
    </w:p>
    <w:p>
      <w:pPr>
        <w:pStyle w:val="FirstParagraph"/>
      </w:pPr>
      <w:r>
        <w:t xml:space="preserve">IPS definiert eine FHIR-Composition (Document-Type LOINC 60591-5) mit 16</w:t>
      </w:r>
      <w:r>
        <w:t xml:space="preserve"> </w:t>
      </w:r>
      <w:r>
        <w:t xml:space="preserve">sliced Sektionen: drei Required (Problems 11450-4, Medications 10160-0,</w:t>
      </w:r>
      <w:r>
        <w:t xml:space="preserve"> </w:t>
      </w:r>
      <w:r>
        <w:t xml:space="preserve">Allergies 48765-2), eine Recommended (Immunizations 11369-6), zwölf</w:t>
      </w:r>
      <w:r>
        <w:t xml:space="preserve"> </w:t>
      </w:r>
      <w:r>
        <w:t xml:space="preserve">Optional. Jede Sektion trägt einen LOINC-Code, menschenlesbaren</w:t>
      </w:r>
      <w:r>
        <w:t xml:space="preserve"> </w:t>
      </w:r>
      <w:r>
        <w:t xml:space="preserve">Narrative-Text und eine definierte Ressourcen-Liste; das</w:t>
      </w:r>
      <w:r>
        <w:t xml:space="preserve"> </w:t>
      </w:r>
      <w:r>
        <w:rPr>
          <w:b/>
          <w:bCs/>
        </w:rPr>
        <w:t xml:space="preserve">emptyReason-Muster</w:t>
      </w:r>
      <w:r>
        <w:t xml:space="preserve"> </w:t>
      </w:r>
      <w:r>
        <w:t xml:space="preserve">macht „nicht vorhanden“ explizit. Der Slice</w:t>
      </w:r>
      <w:r>
        <w:t xml:space="preserve"> </w:t>
      </w:r>
      <w:r>
        <w:t xml:space="preserve">Composition.event:careProvisioningEvent (v3-ActCode PCPR, event.period)</w:t>
      </w:r>
      <w:r>
        <w:t xml:space="preserve"> </w:t>
      </w:r>
      <w:r>
        <w:t xml:space="preserve">ist der einzige vorhandene Anker für Behandlungszeiträume – mit</w:t>
      </w:r>
      <w:r>
        <w:t xml:space="preserve"> </w:t>
      </w:r>
      <w:r>
        <w:t xml:space="preserve">Kardinalität 0..1 für unsere Spec zu eng. Therapieziel-relevant sind vor</w:t>
      </w:r>
      <w:r>
        <w:t xml:space="preserve"> </w:t>
      </w:r>
      <w:r>
        <w:t xml:space="preserve">allem drei optionale Sektionen: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Optionale Sektion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LOINC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Relevanz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of Care</w:t>
            </w:r>
          </w:p>
        </w:tc>
        <w:tc>
          <w:tcPr/>
          <w:p>
            <w:pPr>
              <w:pStyle w:val="BodyText"/>
            </w:pPr>
            <w:r>
              <w:t xml:space="preserve">18776-5</w:t>
            </w:r>
          </w:p>
        </w:tc>
        <w:tc>
          <w:tcPr/>
          <w:p>
            <w:pPr>
              <w:pStyle w:val="Compact"/>
            </w:pPr>
            <w:r>
              <w:t xml:space="preserve">CarePlan + Goal – Kernansatz für Therapieziele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Patient Story</w:t>
            </w:r>
          </w:p>
        </w:tc>
        <w:tc>
          <w:tcPr/>
          <w:p>
            <w:pPr>
              <w:pStyle w:val="BodyText"/>
            </w:pPr>
            <w:r>
              <w:t xml:space="preserve">81338-6</w:t>
            </w:r>
          </w:p>
        </w:tc>
        <w:tc>
          <w:tcPr/>
          <w:p>
            <w:pPr>
              <w:pStyle w:val="BodyText"/>
            </w:pPr>
            <w:r>
              <w:t xml:space="preserve">Patientenzentrierte Präferenzen, Lebensqualitätsziele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of Past Problems</w:t>
            </w:r>
          </w:p>
        </w:tc>
        <w:tc>
          <w:tcPr/>
          <w:p>
            <w:pPr>
              <w:pStyle w:val="BodyText"/>
            </w:pPr>
            <w:r>
              <w:t xml:space="preserve">11348-0</w:t>
            </w:r>
          </w:p>
        </w:tc>
        <w:tc>
          <w:tcPr/>
          <w:p>
            <w:pPr>
              <w:pStyle w:val="BodyText"/>
            </w:pPr>
            <w:r>
              <w:t xml:space="preserve">Rezidivnachweis, Remissionsstatus</w:t>
            </w:r>
          </w:p>
        </w:tc>
      </w:tr>
    </w:tbl>
    <w:p>
      <w:pPr>
        <w:pStyle w:val="BodyText"/>
      </w:pPr>
      <w:r>
        <w:t xml:space="preserve">Die Plan-of-Care-Sektion erlaubt CarePlan und</w:t>
      </w:r>
      <w:r>
        <w:t xml:space="preserve"> </w:t>
      </w:r>
      <w:r>
        <w:t xml:space="preserve">ImmunizationRecommendation; CarePlan.goal → Goal,</w:t>
      </w:r>
      <w:r>
        <w:t xml:space="preserve"> </w:t>
      </w:r>
      <w:r>
        <w:rPr>
          <w:b/>
          <w:bCs/>
        </w:rPr>
        <w:t xml:space="preserve">aber ein Goal-Profil</w:t>
      </w:r>
      <w:r>
        <w:rPr>
          <w:b/>
          <w:bCs/>
        </w:rPr>
        <w:t xml:space="preserve"> </w:t>
      </w:r>
      <w:r>
        <w:rPr>
          <w:b/>
          <w:bCs/>
        </w:rPr>
        <w:t xml:space="preserve">ist weder in IPS noch in EPS definiert</w:t>
      </w:r>
      <w:r>
        <w:t xml:space="preserve">. IPS ist zudem laut General</w:t>
      </w:r>
      <w:r>
        <w:t xml:space="preserve"> </w:t>
      </w:r>
      <w:r>
        <w:t xml:space="preserve">Principles ein</w:t>
      </w:r>
      <w:r>
        <w:t xml:space="preserve"> </w:t>
      </w:r>
      <w:r>
        <w:rPr>
          <w:i/>
          <w:iCs/>
        </w:rPr>
        <w:t xml:space="preserve">informatives Dokument</w:t>
      </w:r>
      <w:r>
        <w:t xml:space="preserve"> </w:t>
      </w:r>
      <w:r>
        <w:t xml:space="preserve">– MedicationRequests oder</w:t>
      </w:r>
      <w:r>
        <w:t xml:space="preserve"> </w:t>
      </w:r>
      <w:r>
        <w:t xml:space="preserve">CarePlans daraus dürfen nicht aktioniert werden. Zentrale Designfrage</w:t>
      </w:r>
      <w:r>
        <w:t xml:space="preserve"> </w:t>
      </w:r>
      <w:r>
        <w:t xml:space="preserve">für unsere Spec: Therapieziele rein deskriptiv oder workflow-fähig?</w:t>
      </w:r>
    </w:p>
    <w:bookmarkEnd w:id="39"/>
    <w:bookmarkStart w:id="40" w:name="X73e02b6ec8bdd55618e7a4d13784abe08316fdd"/>
    <w:p>
      <w:pPr>
        <w:pStyle w:val="Heading3"/>
      </w:pPr>
      <w:r>
        <w:t xml:space="preserve">3. Das IPS-Referenzbeispiel illustriert die Lücke</w:t>
      </w:r>
    </w:p>
    <w:p>
      <w:pPr>
        <w:pStyle w:val="FirstParagraph"/>
      </w:pPr>
      <w:r>
        <w:t xml:space="preserve">Das offizielle IPS-Bundle Bundle-IPS-examples-Bundle-01 (Patientin</w:t>
      </w:r>
      <w:r>
        <w:t xml:space="preserve"> </w:t>
      </w:r>
      <w:r>
        <w:t xml:space="preserve">„Martha DeLarosa“, Mammakarzinom Stage II in Remission, abatement =</w:t>
      </w:r>
      <w:r>
        <w:t xml:space="preserve"> </w:t>
      </w:r>
      <w:r>
        <w:t xml:space="preserve">2015-03) enthält Anastrozol 1 mg als MedicationStatement mit effective:</w:t>
      </w:r>
      <w:r>
        <w:t xml:space="preserve"> </w:t>
      </w:r>
      <w:r>
        <w:t xml:space="preserve">2016-01 --&gt; (ongoing) und Freitext „treatment for breast cancer“ –</w:t>
      </w:r>
      <w:r>
        <w:t xml:space="preserve"> </w:t>
      </w:r>
      <w:r>
        <w:rPr>
          <w:b/>
          <w:bCs/>
        </w:rPr>
        <w:t xml:space="preserve">ohne strukturierte Verknüpfung zur Diagnose, ohne Therapieintention,</w:t>
      </w:r>
      <w:r>
        <w:rPr>
          <w:b/>
          <w:bCs/>
        </w:rPr>
        <w:t xml:space="preserve"> </w:t>
      </w:r>
      <w:r>
        <w:rPr>
          <w:b/>
          <w:bCs/>
        </w:rPr>
        <w:t xml:space="preserve">ohne CarePlan/Goal</w:t>
      </w:r>
      <w:r>
        <w:t xml:space="preserve">. Der „Plan of Treatment“ („Continue hormone</w:t>
      </w:r>
      <w:r>
        <w:t xml:space="preserve"> </w:t>
      </w:r>
      <w:r>
        <w:t xml:space="preserve">medication … for total of 5 years and monitor for potential breast</w:t>
      </w:r>
      <w:r>
        <w:t xml:space="preserve"> </w:t>
      </w:r>
      <w:r>
        <w:t xml:space="preserve">cancer recurrence“) steht ausschließlich im Narrative. Menopausal</w:t>
      </w:r>
      <w:r>
        <w:t xml:space="preserve"> </w:t>
      </w:r>
      <w:r>
        <w:t xml:space="preserve">flushing ist als aktives Problem geführt, aber semantisch nicht mit der</w:t>
      </w:r>
      <w:r>
        <w:t xml:space="preserve"> </w:t>
      </w:r>
      <w:r>
        <w:t xml:space="preserve">Hormontherapie verknüpft – obwohl unser Use Case „Therapieumstellung</w:t>
      </w:r>
      <w:r>
        <w:t xml:space="preserve"> </w:t>
      </w:r>
      <w:r>
        <w:t xml:space="preserve">durch Nebenwirkungssymptome“ genau diese Kopplung braucht. Das Beispiel</w:t>
      </w:r>
      <w:r>
        <w:t xml:space="preserve"> </w:t>
      </w:r>
      <w:r>
        <w:t xml:space="preserve">eignet sich in LG-01 als Referenzfall für eine</w:t>
      </w:r>
      <w:r>
        <w:t xml:space="preserve"> </w:t>
      </w:r>
      <w:r>
        <w:t xml:space="preserve">Vorher-/Nachher-Gegenüberstellung gegen unsere Spec.</w:t>
      </w:r>
    </w:p>
    <w:bookmarkEnd w:id="40"/>
    <w:bookmarkStart w:id="41" w:name="Xa15adbf74c655fcf7da8c721014a44ff8575c4a"/>
    <w:p>
      <w:pPr>
        <w:pStyle w:val="Heading3"/>
      </w:pPr>
      <w:r>
        <w:t xml:space="preserve">4. Lücken in IPS/EPS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Lücke in IPS/EPS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Lösungsansatz für unsere Spec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 Goal-Profil</w:t>
            </w:r>
          </w:p>
        </w:tc>
        <w:tc>
          <w:tcPr/>
          <w:p>
            <w:pPr>
              <w:pStyle w:val="BodyText"/>
            </w:pPr>
            <w:r>
              <w:t xml:space="preserve">Neues Profil „Therapieziel Onkologie“ auf Basis Goal (Zielart, Condition-Bezug, Zielzeitraum, Zielstatus, Outcome-Observation)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Keine Therapieintention</w:t>
            </w:r>
          </w:p>
        </w:tc>
        <w:tc>
          <w:tcPr/>
          <w:p>
            <w:pPr>
              <w:pStyle w:val="BodyText"/>
            </w:pPr>
            <w:r>
              <w:t xml:space="preserve">Codiertes Feld/Extension mit ValueSet kurativ / palliativ / adjuvant / neoadjuvant / Erhaltung – Alignment mit mCODE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Keine Therapielinien (ESMO-Notation)</w:t>
            </w:r>
          </w:p>
        </w:tc>
        <w:tc>
          <w:tcPr/>
          <w:p>
            <w:pPr>
              <w:pStyle w:val="BodyText"/>
            </w:pPr>
            <w:r>
              <w:t xml:space="preserve">Extension auf MedicationStatement / Procedure oder Attribut am EpisodeOfCare-Profil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 EpisodeOfCare in Plan of Care</w:t>
            </w:r>
          </w:p>
        </w:tc>
        <w:tc>
          <w:tcPr/>
          <w:p>
            <w:pPr>
              <w:pStyle w:val="BodyText"/>
            </w:pPr>
            <w:r>
              <w:t xml:space="preserve">Profil „Behandlungsabschnitt“ (EpisodeOfCare) mit Bezug zu Diagnose, Therapielinie, Intention, Zieletabelle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Condition-Profil condition-agnostisch</w:t>
            </w:r>
          </w:p>
        </w:tc>
        <w:tc>
          <w:tcPr/>
          <w:p>
            <w:pPr>
              <w:pStyle w:val="BodyText"/>
            </w:pPr>
            <w:r>
              <w:t xml:space="preserve">Onkologische Attribute (Staging, Grading, Biomarker); mCODE PrimaryCancerCondition als Referenzspezifikation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Keine strukturierten Therapieabbruch-Gründe</w:t>
            </w:r>
          </w:p>
        </w:tc>
        <w:tc>
          <w:tcPr/>
          <w:p>
            <w:pPr>
              <w:pStyle w:val="BodyText"/>
            </w:pPr>
            <w:r>
              <w:t xml:space="preserve">Codiertes ValueSet (Progress / Toxizität / Patientenwunsch / Behandlungsende) als Extension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Medikation ↔ Diagnose ↔ Ziel nicht verknüpft</w:t>
            </w:r>
          </w:p>
        </w:tc>
        <w:tc>
          <w:tcPr/>
          <w:p>
            <w:pPr>
              <w:pStyle w:val="BodyText"/>
            </w:pPr>
            <w:r>
              <w:t xml:space="preserve">Must-Support auf reasonReference, basedOn, goal in MedicationStatement / Procedure / CarePlan</w:t>
            </w:r>
          </w:p>
        </w:tc>
      </w:tr>
    </w:tbl>
    <w:bookmarkEnd w:id="41"/>
    <w:bookmarkStart w:id="42" w:name="X21a01a6b10b3c565c275bf44ddf78385c0c06fb"/>
    <w:p>
      <w:pPr>
        <w:pStyle w:val="Heading3"/>
      </w:pPr>
      <w:r>
        <w:t xml:space="preserve">5. Direkt übernehmbare Elemente</w:t>
      </w:r>
    </w:p>
    <w:p>
      <w:pPr>
        <w:numPr>
          <w:ilvl w:val="0"/>
          <w:numId w:val="1010"/>
        </w:numPr>
      </w:pPr>
      <w:r>
        <w:t xml:space="preserve">Composition-Architektur mit Sektions-Slicing, LOINC-Codierung und</w:t>
      </w:r>
      <w:r>
        <w:t xml:space="preserve"> </w:t>
      </w:r>
      <w:r>
        <w:t xml:space="preserve">verpflichtendem Narrative (Narrative-first-Prinzip) inkl.</w:t>
      </w:r>
      <w:r>
        <w:t xml:space="preserve"> </w:t>
      </w:r>
      <w:r>
        <w:t xml:space="preserve">emptyReason-Muster für fehlende Daten.</w:t>
      </w:r>
    </w:p>
    <w:p>
      <w:pPr>
        <w:numPr>
          <w:ilvl w:val="0"/>
          <w:numId w:val="1010"/>
        </w:numPr>
      </w:pPr>
      <w:r>
        <w:t xml:space="preserve">Obligations-Framework (Creator/Consumer Actors mit SHALL:populate,</w:t>
      </w:r>
      <w:r>
        <w:t xml:space="preserve"> </w:t>
      </w:r>
      <w:r>
        <w:t xml:space="preserve">SHALL:handle, SHOULD:display); EPS zeigt mit Obligation-only-Profilen</w:t>
      </w:r>
      <w:r>
        <w:t xml:space="preserve"> </w:t>
      </w:r>
      <w:r>
        <w:t xml:space="preserve">über EU-Core ein übertragbares Muster.</w:t>
      </w:r>
    </w:p>
    <w:p>
      <w:pPr>
        <w:numPr>
          <w:ilvl w:val="0"/>
          <w:numId w:val="1010"/>
        </w:numPr>
      </w:pPr>
      <w:r>
        <w:t xml:space="preserve">SNOMED CT (GPS/MII-Kernset) und LOINC als primäre Terminologien,</w:t>
      </w:r>
      <w:r>
        <w:t xml:space="preserve"> </w:t>
      </w:r>
      <w:r>
        <w:t xml:space="preserve">validiert über MII-Terminologieserver.</w:t>
      </w:r>
    </w:p>
    <w:p>
      <w:pPr>
        <w:numPr>
          <w:ilvl w:val="0"/>
          <w:numId w:val="1010"/>
        </w:numPr>
      </w:pPr>
      <w:r>
        <w:t xml:space="preserve">Patient (EPS) und EU-Core-Profile als Baseline für</w:t>
      </w:r>
      <w:r>
        <w:t xml:space="preserve"> </w:t>
      </w:r>
      <w:r>
        <w:t xml:space="preserve">Personen-/Organisationsreferenzen, wenn EHDS-Kompatibilität Ziel ist.</w:t>
      </w:r>
    </w:p>
    <w:p>
      <w:pPr>
        <w:pStyle w:val="FirstParagraph"/>
      </w:pPr>
      <w:r>
        <w:rPr>
          <w:b/>
          <w:bCs/>
        </w:rPr>
        <w:t xml:space="preserve">Vor LG-01-Release zu verifizieren</w:t>
      </w:r>
    </w:p>
    <w:p>
      <w:pPr>
        <w:pStyle w:val="BodyText"/>
      </w:pPr>
      <w:r>
        <w:t xml:space="preserve">LOINC-Codes und display-Strings gegen MII-Terminologieserver ·</w:t>
      </w:r>
      <w:r>
        <w:t xml:space="preserve"> </w:t>
      </w:r>
      <w:r>
        <w:t xml:space="preserve">EHDS-Zeitleiste (Publikation 05.03.2025, Inkrafttreten 26.03.2025,</w:t>
      </w:r>
      <w:r>
        <w:t xml:space="preserve"> </w:t>
      </w:r>
      <w:r>
        <w:t xml:space="preserve">Implementing Acts bis 26.03.2027, PS-/ePrescription-Pflicht ab</w:t>
      </w:r>
      <w:r>
        <w:t xml:space="preserve"> </w:t>
      </w:r>
      <w:r>
        <w:t xml:space="preserve">26.03.2029) gegen Primärtext der Verordnung im EU-Amtsblatt ·</w:t>
      </w:r>
      <w:r>
        <w:t xml:space="preserve"> </w:t>
      </w:r>
      <w:r>
        <w:t xml:space="preserve">mCODE-Feldname treatmentIntent gegen aktuelle mCODE-Version · EPS-Status</w:t>
      </w:r>
      <w:r>
        <w:t xml:space="preserve"> </w:t>
      </w:r>
      <w:r>
        <w:t xml:space="preserve">(QA-Preview) gegen aktuellen GitHub-Stand (github.com/hl7-eu/eps) ·</w:t>
      </w:r>
      <w:r>
        <w:t xml:space="preserve"> </w:t>
      </w:r>
      <w:r>
        <w:t xml:space="preserve">Konformitätsstrategie: volle IPS/EPS-Konformität vs. „nur aligned“ mit</w:t>
      </w:r>
      <w:r>
        <w:t xml:space="preserve"> </w:t>
      </w:r>
      <w:r>
        <w:t xml:space="preserve">eigenem Document-Type.</w:t>
      </w:r>
    </w:p>
    <w:p>
      <w:pPr>
        <w:pStyle w:val="BodyText"/>
      </w:pPr>
      <w:r>
        <w:rPr>
          <w:i/>
          <w:iCs/>
        </w:rPr>
        <w:t xml:space="preserve">Quellen: hl7.org/fhir/uv/ips/STU2 · build.fhir.org/ig/hl7-eu/eps ·</w:t>
      </w:r>
      <w:r>
        <w:rPr>
          <w:i/>
          <w:iCs/>
        </w:rPr>
        <w:t xml:space="preserve"> </w:t>
      </w:r>
      <w:r>
        <w:rPr>
          <w:i/>
          <w:iCs/>
        </w:rPr>
        <w:t xml:space="preserve">Projektbeschreibung BIH-CEI Onkologie Therapieziele</w:t>
      </w:r>
    </w:p>
    <w:bookmarkEnd w:id="42"/>
    <w:bookmarkEnd w:id="43"/>
    <w:bookmarkStart w:id="53" w:name="multiple-chronic-conditions-ig-mcc"/>
    <w:p>
      <w:pPr>
        <w:pStyle w:val="Heading1"/>
      </w:pPr>
      <w:r>
        <w:t xml:space="preserve">Multiple Chronic Conditions IG (MCC)</w:t>
      </w:r>
    </w:p>
    <w:bookmarkStart w:id="44" w:name="X0c5f1e8ca81fbafdb602e651cbda18f5bb269a1"/>
    <w:p>
      <w:pPr>
        <w:pStyle w:val="Heading3"/>
      </w:pPr>
      <w:r>
        <w:t xml:space="preserve">1. Management-Zusammenfassung</w:t>
      </w:r>
    </w:p>
    <w:p>
      <w:pPr>
        <w:pStyle w:val="FirstParagraph"/>
      </w:pPr>
      <w:r>
        <w:t xml:space="preserve">Der HL7 FHIR US Multiple Chronic Conditions (MCC) eCare Plan</w:t>
      </w:r>
      <w:r>
        <w:t xml:space="preserve"> </w:t>
      </w:r>
      <w:r>
        <w:t xml:space="preserve">Implementation Guide definiert auf Basis von FHIR R4 ein</w:t>
      </w:r>
      <w:r>
        <w:t xml:space="preserve"> </w:t>
      </w:r>
      <w:r>
        <w:t xml:space="preserve">Care-Plan-zentriertes Modell für die strukturierte Repräsentation,</w:t>
      </w:r>
      <w:r>
        <w:t xml:space="preserve"> </w:t>
      </w:r>
      <w:r>
        <w:t xml:space="preserve">Abfrage und den Austausch longitudinaler Versorgungspläne. Im</w:t>
      </w:r>
      <w:r>
        <w:t xml:space="preserve"> </w:t>
      </w:r>
      <w:r>
        <w:rPr>
          <w:b/>
          <w:bCs/>
        </w:rPr>
        <w:t xml:space="preserve">Unterschied zu IPS und EPS</w:t>
      </w:r>
      <w:r>
        <w:t xml:space="preserve">, die primär dokumentorientierte</w:t>
      </w:r>
      <w:r>
        <w:t xml:space="preserve"> </w:t>
      </w:r>
      <w:r>
        <w:t xml:space="preserve">Patientenzusammenfassungen mit festen Sektionen bereitstellen,</w:t>
      </w:r>
      <w:r>
        <w:t xml:space="preserve"> </w:t>
      </w:r>
      <w:r>
        <w:t xml:space="preserve">modelliert MCC den Behandlungsplan selbst als</w:t>
      </w:r>
      <w:r>
        <w:t xml:space="preserve"> </w:t>
      </w:r>
      <w:r>
        <w:rPr>
          <w:b/>
          <w:bCs/>
        </w:rPr>
        <w:t xml:space="preserve">dynamische,</w:t>
      </w:r>
      <w:r>
        <w:rPr>
          <w:b/>
          <w:bCs/>
        </w:rPr>
        <w:t xml:space="preserve"> </w:t>
      </w:r>
      <w:r>
        <w:rPr>
          <w:b/>
          <w:bCs/>
        </w:rPr>
        <w:t xml:space="preserve">konsensbasierte Struktur</w:t>
      </w:r>
      <w:r>
        <w:t xml:space="preserve"> </w:t>
      </w:r>
      <w:r>
        <w:t xml:space="preserve">aus Concerns, Goals, Interventions und</w:t>
      </w:r>
      <w:r>
        <w:t xml:space="preserve"> </w:t>
      </w:r>
      <w:r>
        <w:t xml:space="preserve">Outcomes. MCC ist deshalb weniger als weiterer Summary-Guide relevant,</w:t>
      </w:r>
      <w:r>
        <w:t xml:space="preserve"> </w:t>
      </w:r>
      <w:r>
        <w:t xml:space="preserve">sondern als inhaltlich näherliegende</w:t>
      </w:r>
      <w:r>
        <w:t xml:space="preserve"> </w:t>
      </w:r>
      <w:r>
        <w:rPr>
          <w:b/>
          <w:bCs/>
        </w:rPr>
        <w:t xml:space="preserve">Referenz für die semantische</w:t>
      </w:r>
      <w:r>
        <w:rPr>
          <w:b/>
          <w:bCs/>
        </w:rPr>
        <w:t xml:space="preserve"> </w:t>
      </w:r>
      <w:r>
        <w:rPr>
          <w:b/>
          <w:bCs/>
        </w:rPr>
        <w:t xml:space="preserve">Abbildung von Zielzuständen, Maßnahmen und Ergebnissen</w:t>
      </w:r>
      <w:r>
        <w:t xml:space="preserve">.</w:t>
      </w:r>
    </w:p>
    <w:p>
      <w:pPr>
        <w:pStyle w:val="BodyText"/>
      </w:pPr>
      <w:r>
        <w:t xml:space="preserve">Der IG profiliert CarePlan und Goal ausdrücklich und erlaubt</w:t>
      </w:r>
      <w:r>
        <w:t xml:space="preserve"> </w:t>
      </w:r>
      <w:r>
        <w:t xml:space="preserve">strukturierte Referenzen zwischen adressierten Gesundheitsproblemen,</w:t>
      </w:r>
      <w:r>
        <w:t xml:space="preserve"> </w:t>
      </w:r>
      <w:r>
        <w:t xml:space="preserve">übergeordneten Zielen und geplanten bzw. durchgeführten Aktivitäten. MCC</w:t>
      </w:r>
      <w:r>
        <w:t xml:space="preserve"> </w:t>
      </w:r>
      <w:r>
        <w:t xml:space="preserve">bleibt fachlich auf Multiple Chronic Conditions im US-Kontext</w:t>
      </w:r>
      <w:r>
        <w:t xml:space="preserve"> </w:t>
      </w:r>
      <w:r>
        <w:t xml:space="preserve">ausgerichtet und enthält</w:t>
      </w:r>
      <w:r>
        <w:t xml:space="preserve"> </w:t>
      </w:r>
      <w:r>
        <w:rPr>
          <w:b/>
          <w:bCs/>
        </w:rPr>
        <w:t xml:space="preserve">keine onkologiespezifischen Konzepte</w:t>
      </w:r>
      <w:r>
        <w:t xml:space="preserve"> </w:t>
      </w:r>
      <w:r>
        <w:t xml:space="preserve">für</w:t>
      </w:r>
      <w:r>
        <w:t xml:space="preserve"> </w:t>
      </w:r>
      <w:r>
        <w:t xml:space="preserve">Therapieintention, Therapielinie, Tumoransprechen, Progress oder</w:t>
      </w:r>
      <w:r>
        <w:t xml:space="preserve"> </w:t>
      </w:r>
      <w:r>
        <w:t xml:space="preserve">Abbruchgründe. Für eine onkologische Spezifikation ist MCC daher eher</w:t>
      </w:r>
      <w:r>
        <w:t xml:space="preserve"> </w:t>
      </w:r>
      <w:r>
        <w:t xml:space="preserve">ein</w:t>
      </w:r>
      <w:r>
        <w:t xml:space="preserve"> </w:t>
      </w:r>
      <w:r>
        <w:rPr>
          <w:b/>
          <w:bCs/>
        </w:rPr>
        <w:t xml:space="preserve">Architektur- und Workflow-Vorbild</w:t>
      </w:r>
      <w:r>
        <w:t xml:space="preserve"> </w:t>
      </w:r>
      <w:r>
        <w:t xml:space="preserve">als eine direkt ausreichende</w:t>
      </w:r>
      <w:r>
        <w:t xml:space="preserve"> </w:t>
      </w:r>
      <w:r>
        <w:t xml:space="preserve">Fachreferenz.</w:t>
      </w:r>
    </w:p>
    <w:bookmarkEnd w:id="44"/>
    <w:bookmarkStart w:id="47" w:name="X07a75273aaa163a6350f8731c8f38534293634b"/>
    <w:p>
      <w:pPr>
        <w:pStyle w:val="Heading3"/>
      </w:pPr>
      <w:r>
        <w:t xml:space="preserve">2. Mögliche übertragbare Elemente aus CarePlan und Goal</w:t>
      </w:r>
    </w:p>
    <w:p>
      <w:pPr>
        <w:pStyle w:val="FirstParagraph"/>
      </w:pPr>
      <w:r>
        <w:t xml:space="preserve">MCC profiliert den CarePlan als zentrales Koordinationsobjekt und</w:t>
      </w:r>
      <w:r>
        <w:t xml:space="preserve"> </w:t>
      </w:r>
      <w:r>
        <w:t xml:space="preserve">beschreibt ihn explizit als „consensus-driven dynamic plan“, der</w:t>
      </w:r>
      <w:r>
        <w:t xml:space="preserve"> </w:t>
      </w:r>
      <w:r>
        <w:t xml:space="preserve">priorisierte Concerns, Goals und geplante Interventions verschiedener</w:t>
      </w:r>
      <w:r>
        <w:t xml:space="preserve"> </w:t>
      </w:r>
      <w:r>
        <w:t xml:space="preserve">Versorgungsteams für mehrere Erkrankungen zusammenführt. Damit</w:t>
      </w:r>
      <w:r>
        <w:t xml:space="preserve"> </w:t>
      </w:r>
      <w:r>
        <w:t xml:space="preserve">adressiert MCC genau den Strukturraum, der für onkologische</w:t>
      </w:r>
      <w:r>
        <w:t xml:space="preserve"> </w:t>
      </w:r>
      <w:r>
        <w:t xml:space="preserve">Therapieziele benötigt wird: ein gemeinsames Planobjekt mit Bezug auf</w:t>
      </w:r>
      <w:r>
        <w:t xml:space="preserve"> </w:t>
      </w:r>
      <w:r>
        <w:t xml:space="preserve">Erkrankungen, Ziele, Maßnahmen und beobachtete Outcomes.</w:t>
      </w:r>
    </w:p>
    <w:p>
      <w:pPr>
        <w:pStyle w:val="BodyText"/>
      </w:pPr>
      <w:r>
        <w:t xml:space="preserve">Elemente für onkologische Therapieziele: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Element</w:t>
            </w:r>
          </w:p>
        </w:tc>
        <w:tc>
          <w:tcPr/>
          <w:p>
            <w:pPr>
              <w:pStyle w:val="BodyTex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CarePlan.addresses </w:t>
            </w:r>
          </w:p>
        </w:tc>
        <w:tc>
          <w:tcPr/>
          <w:p>
            <w:pPr>
              <w:pStyle w:val="Compact"/>
            </w:pPr>
            <w:r>
              <w:t xml:space="preserve">Referenziert Gesundheitsprobleme (Verbindung Krankheit – CarePlan)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CarePlan.goal</w:t>
            </w:r>
          </w:p>
        </w:tc>
        <w:tc>
          <w:tcPr/>
          <w:p>
            <w:pPr>
              <w:pStyle w:val="BodyText"/>
            </w:pPr>
            <w:r>
              <w:t xml:space="preserve">Ein oder mehrere übergreifende Ziele des Behandlungsplans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CarePlan.activity.reference</w:t>
            </w:r>
          </w:p>
        </w:tc>
        <w:tc>
          <w:tcPr/>
          <w:p>
            <w:pPr>
              <w:pStyle w:val="Compact"/>
            </w:pPr>
            <w:r>
              <w:t xml:space="preserve">Repräsentiert geplante Aktivitäten (z.B. MedicationRequest, ServiceRequest)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CarePlan.activity.outcomeReference</w:t>
            </w:r>
          </w:p>
        </w:tc>
        <w:tc>
          <w:tcPr/>
          <w:p>
            <w:pPr>
              <w:pStyle w:val="Compact"/>
            </w:pPr>
            <w:r>
              <w:t xml:space="preserve">Repräsentiert durchgeführte Aktivitäten oder dokumentierte Ergebnisse (z.B. Procedure, Observation)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Goal.addresses</w:t>
            </w:r>
          </w:p>
        </w:tc>
        <w:tc>
          <w:tcPr/>
          <w:p>
            <w:pPr>
              <w:pStyle w:val="BodyText"/>
            </w:pPr>
            <w:r>
              <w:t xml:space="preserve">Erlaubt Verknüpfung vom Therapieziel mit Problemen, die mit diesem Ziel adressiert werden (Condition, Observation, ServiceRequest, etc.)</w:t>
            </w:r>
          </w:p>
        </w:tc>
      </w:tr>
    </w:tbl>
    <w:p>
      <w:pPr>
        <w:pStyle w:val="BodyText"/>
      </w:pPr>
      <w:r>
        <w:t xml:space="preserve">StructureDefintion von CarePlan:</w:t>
      </w:r>
      <w:r>
        <w:t xml:space="preserve"> </w:t>
      </w:r>
      <w:hyperlink r:id="rId45">
        <w:r>
          <w:rPr>
            <w:rStyle w:val="Hyperlink"/>
          </w:rPr>
          <w:t xml:space="preserve">https://build.fhir.org/ig/HL7/fhir-us-mcc/StructureDefinition-MCCCarePlan.html</w:t>
        </w:r>
      </w:hyperlink>
    </w:p>
    <w:p>
      <w:pPr>
        <w:pStyle w:val="BodyText"/>
      </w:pPr>
      <w:r>
        <w:t xml:space="preserve">StructureDefintion von Goal:</w:t>
      </w:r>
      <w:r>
        <w:t xml:space="preserve"> </w:t>
      </w:r>
      <w:hyperlink r:id="rId46">
        <w:r>
          <w:rPr>
            <w:rStyle w:val="Hyperlink"/>
          </w:rPr>
          <w:t xml:space="preserve">https://build.fhir.org/ig/HL7/fhir-us-mcc/StructureDefinition-MCCGoal.html</w:t>
        </w:r>
      </w:hyperlink>
    </w:p>
    <w:bookmarkEnd w:id="47"/>
    <w:bookmarkStart w:id="48" w:name="X0df3d547bb2766bbe5b8a25a940a9dc7119d3cd"/>
    <w:p>
      <w:pPr>
        <w:pStyle w:val="Heading3"/>
      </w:pPr>
      <w:r>
        <w:t xml:space="preserve">3. Relevanz für onkologische Therapieziele</w:t>
      </w:r>
    </w:p>
    <w:p>
      <w:pPr>
        <w:pStyle w:val="FirstParagraph"/>
      </w:pPr>
      <w:r>
        <w:t xml:space="preserve">Für onkologische Therapieziele ist MCC vor allem dort nützlich, wo ein</w:t>
      </w:r>
      <w:r>
        <w:t xml:space="preserve"> </w:t>
      </w:r>
      <w:r>
        <w:t xml:space="preserve">longitudinaler Behandlungsplan mit mehreren Beteiligten, konkurrierenden</w:t>
      </w:r>
      <w:r>
        <w:t xml:space="preserve"> </w:t>
      </w:r>
      <w:r>
        <w:t xml:space="preserve">Prioritäten und auswertbaren Zielzuständen modelliert werden soll.</w:t>
      </w:r>
      <w:r>
        <w:t xml:space="preserve"> </w:t>
      </w:r>
      <w:r>
        <w:t xml:space="preserve">Konzeptionell lassen sich mit MCC mehrere onkologisch relevante</w:t>
      </w:r>
      <w:r>
        <w:t xml:space="preserve"> </w:t>
      </w:r>
      <w:r>
        <w:t xml:space="preserve">Zieltypen abbilden, auch wenn das IG sie nicht onkologiespezifisch</w:t>
      </w:r>
      <w:r>
        <w:t xml:space="preserve"> </w:t>
      </w:r>
      <w:r>
        <w:t xml:space="preserve">vorgibt: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Krankheitsbezogene Ziele:</w:t>
      </w:r>
      <w:r>
        <w:t xml:space="preserve"> </w:t>
      </w:r>
      <w:r>
        <w:t xml:space="preserve">z.B. Remission erreichen, Progress</w:t>
      </w:r>
      <w:r>
        <w:t xml:space="preserve"> </w:t>
      </w:r>
      <w:r>
        <w:t xml:space="preserve">vermeiden oder Symptomlast senken</w:t>
      </w:r>
      <w:r>
        <w:t xml:space="preserve"> </w:t>
      </w:r>
      <w:r>
        <w:rPr>
          <w:i/>
          <w:iCs/>
        </w:rPr>
        <w:t xml:space="preserve">(über Goal.description,</w:t>
      </w:r>
      <w:r>
        <w:rPr>
          <w:i/>
          <w:iCs/>
        </w:rPr>
        <w:t xml:space="preserve"> </w:t>
      </w:r>
      <w:r>
        <w:rPr>
          <w:i/>
          <w:iCs/>
        </w:rPr>
        <w:t xml:space="preserve">Goal.addresses, Goal.target)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Patientenbezogene Ziele</w:t>
      </w:r>
      <w:r>
        <w:t xml:space="preserve">: z.B. Funktionsniveau erhalten,</w:t>
      </w:r>
      <w:r>
        <w:t xml:space="preserve"> </w:t>
      </w:r>
      <w:r>
        <w:t xml:space="preserve">Lebensqualität verbessern</w:t>
      </w:r>
      <w:r>
        <w:t xml:space="preserve"> </w:t>
      </w:r>
      <w:r>
        <w:rPr>
          <w:i/>
          <w:iCs/>
        </w:rPr>
        <w:t xml:space="preserve">(über Goal + ergänzende Observations /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Maßnahmenbezogene Ziele</w:t>
      </w:r>
      <w:r>
        <w:t xml:space="preserve">: z.B. Durchführung einer systemischen</w:t>
      </w:r>
      <w:r>
        <w:t xml:space="preserve"> </w:t>
      </w:r>
      <w:r>
        <w:t xml:space="preserve">Therapie, supportive Maßnahmen, Monitoring</w:t>
      </w:r>
      <w:r>
        <w:t xml:space="preserve"> </w:t>
      </w:r>
      <w:r>
        <w:rPr>
          <w:i/>
          <w:iCs/>
        </w:rPr>
        <w:t xml:space="preserve">(über CarePlan.activity.reference,</w:t>
      </w:r>
      <w:r>
        <w:rPr>
          <w:i/>
          <w:iCs/>
        </w:rPr>
        <w:t xml:space="preserve"> </w:t>
      </w:r>
      <w:r>
        <w:rPr>
          <w:i/>
          <w:iCs/>
        </w:rPr>
        <w:t xml:space="preserve">CarePlan.activity.outcomeReference)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Zeitbezogene Ziele</w:t>
      </w:r>
      <w:r>
        <w:t xml:space="preserve">: z.B. Erreichen eines Zustands bis zu einem</w:t>
      </w:r>
      <w:r>
        <w:t xml:space="preserve"> </w:t>
      </w:r>
      <w:r>
        <w:t xml:space="preserve">Stichtag oder innerhalb eines Therapieabschnitts</w:t>
      </w:r>
      <w:r>
        <w:t xml:space="preserve"> </w:t>
      </w:r>
      <w:r>
        <w:rPr>
          <w:i/>
          <w:iCs/>
        </w:rPr>
        <w:t xml:space="preserve">(über Goal.duex und</w:t>
      </w:r>
      <w:r>
        <w:rPr>
          <w:i/>
          <w:iCs/>
        </w:rPr>
        <w:t xml:space="preserve"> </w:t>
      </w:r>
      <w:r>
        <w:rPr>
          <w:i/>
          <w:iCs/>
        </w:rPr>
        <w:t xml:space="preserve">CarePlan.period)</w:t>
      </w:r>
    </w:p>
    <w:p>
      <w:pPr>
        <w:pStyle w:val="FirstParagraph"/>
      </w:pPr>
      <w:r>
        <w:t xml:space="preserve">Aber: die fachliche Präzisierung für die Onkologie fehlt.</w:t>
      </w:r>
    </w:p>
    <w:bookmarkEnd w:id="48"/>
    <w:bookmarkStart w:id="49" w:name="Xbb35a1a08134b1f671d558713de30d429ea509e"/>
    <w:p>
      <w:pPr>
        <w:pStyle w:val="Heading3"/>
      </w:pPr>
      <w:r>
        <w:t xml:space="preserve">4. Lücken von MCC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Lücke in MCC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Lösungsansatz für unsere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 onkologiespezifisches Condition-/Disease-Modell</w:t>
            </w:r>
          </w:p>
        </w:tc>
        <w:tc>
          <w:tcPr/>
          <w:p>
            <w:pPr>
              <w:pStyle w:val="Compact"/>
            </w:pPr>
            <w:r>
              <w:t xml:space="preserve">Onkologisches Condition-Profil ergänzen, z. B. mit TNM, Grading, Biomarker-Referenzen und Disease-Status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Wie in IPS/EPS: Keine Therapieintention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Siehe IPS/EPS Analyse: Codiertes Feld/Extension mit ValueSet kurativ / palliativ / adjuvant / neoadjuvant / Erhaltung – Alignment mit mCODE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Wie in IPS/EPS: Keine Therapielinien (ESMO-Notation)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Siehe IPS/EPS Analyse: Extension auf MedicationStatement / Procedure oder Attribut am EpisodeOfCare-Profil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standardisierte Abbildung von Tumoransprechen auf die Behandlung</w:t>
            </w:r>
          </w:p>
        </w:tc>
        <w:tc>
          <w:tcPr/>
          <w:p>
            <w:pPr>
              <w:pStyle w:val="BodyText"/>
            </w:pPr>
            <w:r>
              <w:t xml:space="preserve">Observation-Profil mit Response-Assessment mit Refernez 🡪 Goal.outcomeReference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Wie in IPS/EPS: Keine strukturierten Therapieabbruch-Gründe oder Therapiewechsel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Siehe IPS/EPS Analyse: Codiertes ValueSet (Progress / Toxizität / Patientenwunsch / Behandlungsende) als Extension</w:t>
            </w:r>
          </w:p>
        </w:tc>
      </w:tr>
    </w:tbl>
    <w:bookmarkEnd w:id="49"/>
    <w:bookmarkStart w:id="52" w:name="Xefe287ed98897d07848ea982e35aa73acd78d7f"/>
    <w:p>
      <w:pPr>
        <w:pStyle w:val="Heading3"/>
      </w:pPr>
      <w:r>
        <w:t xml:space="preserve">5. Fazit: Direkt übernehmbare Elemente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CarePlan</w:t>
      </w:r>
      <w:r>
        <w:t xml:space="preserve"> </w:t>
      </w:r>
      <w:r>
        <w:t xml:space="preserve">als zentrales Steuerobjekt: Im MCC ist der CarePlan</w:t>
      </w:r>
      <w:r>
        <w:t xml:space="preserve"> </w:t>
      </w:r>
      <w:r>
        <w:t xml:space="preserve">selbst interoperables Kernelement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 </w:t>
      </w:r>
      <w:r>
        <w:t xml:space="preserve">als eigenständige, referenzbasierte Ressource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Must-support auf zielrelevante Beziehungen</w:t>
      </w:r>
      <w:r>
        <w:t xml:space="preserve"> </w:t>
      </w:r>
      <w:r>
        <w:t xml:space="preserve">z.B. CarePlan.adresses</w:t>
      </w:r>
      <w:r>
        <w:t xml:space="preserve"> </w:t>
      </w:r>
      <w:r>
        <w:t xml:space="preserve">oder CarePlan.goal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Unterscheidung</w:t>
      </w:r>
      <w:r>
        <w:t xml:space="preserve"> </w:t>
      </w:r>
      <w:r>
        <w:t xml:space="preserve">zwischen</w:t>
      </w:r>
      <w:r>
        <w:t xml:space="preserve"> </w:t>
      </w:r>
      <w:r>
        <w:rPr>
          <w:b/>
          <w:bCs/>
        </w:rPr>
        <w:t xml:space="preserve">geplanten und durchgeführten</w:t>
      </w:r>
      <w:r>
        <w:rPr>
          <w:b/>
          <w:bCs/>
        </w:rPr>
        <w:t xml:space="preserve"> </w:t>
      </w:r>
      <w:r>
        <w:rPr>
          <w:b/>
          <w:bCs/>
        </w:rPr>
        <w:t xml:space="preserve">Aktivitäten</w:t>
      </w:r>
      <w:r>
        <w:t xml:space="preserve"> </w:t>
      </w:r>
      <w:r>
        <w:t xml:space="preserve">(CarePlan.activity.reference und</w:t>
      </w:r>
      <w:r>
        <w:t xml:space="preserve"> </w:t>
      </w:r>
      <w:r>
        <w:t xml:space="preserve">CarePlan.activity.outcomeReference)</w:t>
      </w:r>
    </w:p>
    <w:p>
      <w:pPr>
        <w:pStyle w:val="BlockText"/>
      </w:pPr>
      <w:r>
        <w:rPr>
          <w:i/>
          <w:iCs/>
        </w:rPr>
        <w:t xml:space="preserve">Quellen:</w:t>
      </w:r>
      <w:r>
        <w:rPr>
          <w:i/>
          <w:iCs/>
        </w:rPr>
        <w:t xml:space="preserve"> </w:t>
      </w:r>
      <w:hyperlink r:id="rId50">
        <w:r>
          <w:rPr>
            <w:rStyle w:val="Hyperlink"/>
            <w:i/>
            <w:iCs/>
          </w:rPr>
          <w:t xml:space="preserve">https://confluence.hl7.org/spaces/PC/pages/66935243/Multiple+Chronic+Conditions+MCC+eCare+Plan·</w:t>
        </w:r>
      </w:hyperlink>
      <w:r>
        <w:rPr>
          <w:i/>
          <w:iCs/>
        </w:rPr>
        <w:t xml:space="preserve"> </w:t>
      </w:r>
      <w:hyperlink r:id="rId51">
        <w:r>
          <w:rPr>
            <w:rStyle w:val="Hyperlink"/>
            <w:i/>
            <w:iCs/>
          </w:rPr>
          <w:t xml:space="preserve">https://build.fhir.org/ig/HL7/fhir-us-mcc/index.html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Projektbeschreibung BIH-CEI Onkologie Therapieziele</w:t>
      </w:r>
    </w:p>
    <w:p>
      <w:pPr>
        <w:pStyle w:val="BlockText"/>
      </w:pPr>
      <w:r>
        <w:rPr>
          <w:b/>
          <w:bCs/>
        </w:rPr>
        <w:t xml:space="preserve">goal-acceptance Extension -&gt; Hat der Patient die Behandlung</w:t>
      </w:r>
      <w:r>
        <w:rPr>
          <w:b/>
          <w:bCs/>
        </w:rPr>
        <w:t xml:space="preserve"> </w:t>
      </w:r>
      <w:r>
        <w:rPr>
          <w:b/>
          <w:bCs/>
        </w:rPr>
        <w:t xml:space="preserve">abgelehnt / anderes Ziel?</w:t>
      </w:r>
    </w:p>
    <w:p>
      <w:pPr>
        <w:pStyle w:val="BlockText"/>
      </w:pPr>
      <w:r>
        <w:rPr>
          <w:b/>
          <w:bCs/>
        </w:rPr>
        <w:t xml:space="preserve">Timeline des Relationship-Modells -&gt; Goal definieren, Activities,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checken, war gut oder nicht?, neue Behandlungsepisode</w:t>
      </w:r>
    </w:p>
    <w:p>
      <w:pPr>
        <w:pStyle w:val="BlockText"/>
      </w:pPr>
      <w:r>
        <w:rPr>
          <w:b/>
          <w:bCs/>
        </w:rPr>
        <w:t xml:space="preserve">Outcome-Clustering</w:t>
      </w:r>
    </w:p>
    <w:p>
      <w:pPr>
        <w:pStyle w:val="BlockText"/>
      </w:pPr>
      <w:r>
        <w:rPr>
          <w:b/>
          <w:bCs/>
        </w:rPr>
        <w:t xml:space="preserve">Activity Referenzen übernehmen (nicht alles in den Details des</w:t>
      </w:r>
      <w:r>
        <w:rPr>
          <w:b/>
          <w:bCs/>
        </w:rPr>
        <w:t xml:space="preserve"> </w:t>
      </w:r>
      <w:r>
        <w:rPr>
          <w:b/>
          <w:bCs/>
        </w:rPr>
        <w:t xml:space="preserve">CarePlan) --&gt; wird in R5 auch so gemacht</w:t>
      </w:r>
    </w:p>
    <w:bookmarkEnd w:id="52"/>
    <w:bookmarkEnd w:id="53"/>
    <w:bookmarkStart w:id="67" w:name="patient-centered-outcomes-ig-pco"/>
    <w:p>
      <w:pPr>
        <w:pStyle w:val="Heading1"/>
      </w:pPr>
      <w:r>
        <w:t xml:space="preserve">Patient-Centered Outcomes IG (PCO)</w:t>
      </w:r>
    </w:p>
    <w:bookmarkStart w:id="55" w:name="Xd2f11171ed2601e2f8b93bc1b7577a96a08c06a"/>
    <w:p>
      <w:pPr>
        <w:pStyle w:val="Heading2"/>
      </w:pPr>
      <w:r>
        <w:t xml:space="preserve">1. Überblick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/>
          <w:bCs/>
        </w:rPr>
        <w:t xml:space="preserve">Person-Centered Outcomes (PCO) Implementation Guide</w:t>
      </w:r>
      <w:r>
        <w:t xml:space="preserve"> </w:t>
      </w:r>
      <w:r>
        <w:t xml:space="preserve">ist ein HL7</w:t>
      </w:r>
      <w:r>
        <w:t xml:space="preserve"> </w:t>
      </w:r>
      <w:r>
        <w:t xml:space="preserve">FHIR-Standard (v1.0.0, STU 1) für den Austausch von Informationen zu</w:t>
      </w:r>
      <w:r>
        <w:t xml:space="preserve"> </w:t>
      </w:r>
      <w:r>
        <w:t xml:space="preserve">patientenzentrierten Ergebnissen. Er wurde vom</w:t>
      </w:r>
      <w:r>
        <w:t xml:space="preserve"> </w:t>
      </w:r>
      <w:r>
        <w:rPr>
          <w:b/>
          <w:bCs/>
        </w:rPr>
        <w:t xml:space="preserve">HL7 International /</w:t>
      </w:r>
      <w:r>
        <w:rPr>
          <w:b/>
          <w:bCs/>
        </w:rPr>
        <w:t xml:space="preserve"> </w:t>
      </w:r>
      <w:r>
        <w:rPr>
          <w:b/>
          <w:bCs/>
        </w:rPr>
        <w:t xml:space="preserve">Patient Care Committee</w:t>
      </w:r>
      <w:r>
        <w:t xml:space="preserve"> </w:t>
      </w:r>
      <w:r>
        <w:t xml:space="preserve">entwickelt und basiert auf FHIR R4 (4.0.1), US</w:t>
      </w:r>
      <w:r>
        <w:t xml:space="preserve"> </w:t>
      </w:r>
      <w:r>
        <w:t xml:space="preserve">Realm, CC0-Lizenz.</w:t>
      </w:r>
    </w:p>
    <w:p>
      <w:pPr>
        <w:pStyle w:val="BodyText"/>
      </w:pPr>
      <w:r>
        <w:t xml:space="preserve">Der PCO IG entstand als Weiterentwicklung des MCC (Multiple Chronic</w:t>
      </w:r>
      <w:r>
        <w:t xml:space="preserve"> </w:t>
      </w:r>
      <w:r>
        <w:t xml:space="preserve">Conditions) eCare Plan FHIR IG und unterstützt die Identifikation und</w:t>
      </w:r>
      <w:r>
        <w:t xml:space="preserve"> </w:t>
      </w:r>
      <w:r>
        <w:t xml:space="preserve">das Tracking von persönlichen Outcome-Zielen, die für Patienten am</w:t>
      </w:r>
      <w:r>
        <w:t xml:space="preserve"> </w:t>
      </w:r>
      <w:r>
        <w:t xml:space="preserve">wichtigsten sind.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1.0.0 — STU 1 (Maturity Level 2)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FHIR-Version</w:t>
            </w:r>
          </w:p>
        </w:tc>
        <w:tc>
          <w:tcPr/>
          <w:p>
            <w:pPr>
              <w:pStyle w:val="BodyText"/>
            </w:pPr>
            <w:r>
              <w:t xml:space="preserve">R4 (4.0.1)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Herausgeber</w:t>
            </w:r>
          </w:p>
        </w:tc>
        <w:tc>
          <w:tcPr/>
          <w:p>
            <w:pPr>
              <w:pStyle w:val="Compact"/>
            </w:pPr>
            <w:r>
              <w:t xml:space="preserve">HL7 International / Patient Care Committee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Realm</w:t>
            </w:r>
          </w:p>
        </w:tc>
        <w:tc>
          <w:tcPr/>
          <w:p>
            <w:pPr>
              <w:pStyle w:val="Compact"/>
            </w:pPr>
            <w:r>
              <w:t xml:space="preserve">US (international anwendbar)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Lizenz</w:t>
            </w:r>
          </w:p>
        </w:tc>
        <w:tc>
          <w:tcPr/>
          <w:p>
            <w:pPr>
              <w:pStyle w:val="BodyText"/>
            </w:pPr>
            <w:r>
              <w:t xml:space="preserve">CC0-1.0 (Public Domain)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http://hl7.org/fhir/us/pco</w:t>
              </w:r>
            </w:hyperlink>
          </w:p>
        </w:tc>
      </w:tr>
    </w:tbl>
    <w:bookmarkEnd w:id="55"/>
    <w:bookmarkStart w:id="56" w:name="X1a2e78cdf6c083826c3c2d2c6a52b83a21bde0d"/>
    <w:p>
      <w:pPr>
        <w:pStyle w:val="Heading2"/>
      </w:pPr>
      <w:r>
        <w:t xml:space="preserve">2. Kernkonzept: „What Matters Most“</w:t>
      </w:r>
    </w:p>
    <w:p>
      <w:pPr>
        <w:pStyle w:val="FirstParagraph"/>
      </w:pPr>
      <w:r>
        <w:t xml:space="preserve">Der PCO IG verfolgt einen Ansatz der</w:t>
      </w:r>
      <w:r>
        <w:t xml:space="preserve"> </w:t>
      </w:r>
      <w:r>
        <w:rPr>
          <w:b/>
          <w:bCs/>
        </w:rPr>
        <w:t xml:space="preserve">kollaborativen Zielsetzung</w:t>
      </w:r>
      <w:r>
        <w:t xml:space="preserve">:</w:t>
      </w:r>
      <w:r>
        <w:t xml:space="preserve"> </w:t>
      </w:r>
      <w:r>
        <w:t xml:space="preserve">Statt reiner Symptombehandlung steht im Mittelpunkt, was dem einzelnen</w:t>
      </w:r>
      <w:r>
        <w:t xml:space="preserve"> </w:t>
      </w:r>
      <w:r>
        <w:t xml:space="preserve">Patienten am wichtigsten ist. Der Prozess umfasst:</w:t>
      </w:r>
    </w:p>
    <w:p>
      <w:pPr>
        <w:numPr>
          <w:ilvl w:val="0"/>
          <w:numId w:val="1013"/>
        </w:numPr>
      </w:pPr>
      <w:r>
        <w:t xml:space="preserve">Identifikation persönlicher Gesundheitspriorititäten („What Matters</w:t>
      </w:r>
      <w:r>
        <w:t xml:space="preserve"> </w:t>
      </w:r>
      <w:r>
        <w:t xml:space="preserve">Assessment“)</w:t>
      </w:r>
    </w:p>
    <w:p>
      <w:pPr>
        <w:numPr>
          <w:ilvl w:val="0"/>
          <w:numId w:val="1013"/>
        </w:numPr>
      </w:pPr>
      <w:r>
        <w:t xml:space="preserve">Festlegung personalisierter, messbarer Ziele</w:t>
      </w:r>
    </w:p>
    <w:p>
      <w:pPr>
        <w:numPr>
          <w:ilvl w:val="0"/>
          <w:numId w:val="1013"/>
        </w:numPr>
      </w:pPr>
      <w:r>
        <w:t xml:space="preserve">Bewertung von Bereitschaft und Barrieren</w:t>
      </w:r>
    </w:p>
    <w:p>
      <w:pPr>
        <w:numPr>
          <w:ilvl w:val="0"/>
          <w:numId w:val="1013"/>
        </w:numPr>
      </w:pPr>
      <w:r>
        <w:t xml:space="preserve">Kontinuierliches Monitoring des Fortschritts</w:t>
      </w:r>
    </w:p>
    <w:p>
      <w:pPr>
        <w:numPr>
          <w:ilvl w:val="0"/>
          <w:numId w:val="1013"/>
        </w:numPr>
      </w:pPr>
      <w:r>
        <w:t xml:space="preserve">Integration in umfassende Pflegepläne</w:t>
      </w:r>
    </w:p>
    <w:bookmarkEnd w:id="56"/>
    <w:bookmarkStart w:id="57" w:name="X3a87a082d52ff366eaf044e8acf25c1019af690"/>
    <w:p>
      <w:pPr>
        <w:pStyle w:val="Heading2"/>
      </w:pPr>
      <w:r>
        <w:t xml:space="preserve">3. FHIR-Profile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Ziele</w:t>
            </w:r>
          </w:p>
        </w:tc>
        <w:tc>
          <w:tcPr/>
          <w:p>
            <w:pPr>
              <w:pStyle w:val="BodyText"/>
            </w:pPr>
            <w:r>
              <w:t xml:space="preserve">Person-Centered Goal</w:t>
            </w:r>
          </w:p>
        </w:tc>
        <w:tc>
          <w:tcPr/>
          <w:p>
            <w:pPr>
              <w:pStyle w:val="BodyText"/>
            </w:pPr>
            <w:r>
              <w:t xml:space="preserve">Basisprofil für alle PCO-Ziele</w:t>
            </w:r>
          </w:p>
        </w:tc>
      </w:tr>
      <w:tr>
        <w:tc>
          <w:tcPr/>
          <w:p>
            <w:pPr>
              <w:pStyle w:val="BodyText"/>
            </w:pPr>
          </w:p>
        </w:tc>
        <w:tc>
          <w:tcPr/>
          <w:p>
            <w:pPr>
              <w:pStyle w:val="Compact"/>
            </w:pPr>
            <w:r>
              <w:t xml:space="preserve">GAS Goal</w:t>
            </w:r>
          </w:p>
        </w:tc>
        <w:tc>
          <w:tcPr/>
          <w:p>
            <w:pPr>
              <w:pStyle w:val="BodyText"/>
            </w:pPr>
            <w:r>
              <w:t xml:space="preserve">Goal Attainment Scaling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PROM Goal</w:t>
            </w:r>
          </w:p>
        </w:tc>
        <w:tc>
          <w:tcPr/>
          <w:p>
            <w:pPr>
              <w:pStyle w:val="BodyText"/>
            </w:pPr>
            <w:r>
              <w:t xml:space="preserve">Patient-Reported Outcome Measures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What Matters Assessment</w:t>
            </w:r>
          </w:p>
        </w:tc>
        <w:tc>
          <w:tcPr/>
          <w:p>
            <w:pPr>
              <w:pStyle w:val="BodyText"/>
            </w:pPr>
            <w:r>
              <w:t xml:space="preserve">Identifikation der Patientenpriorititäten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Readiness Assessment</w:t>
            </w:r>
          </w:p>
        </w:tc>
        <w:tc>
          <w:tcPr/>
          <w:p>
            <w:pPr>
              <w:pStyle w:val="BodyText"/>
            </w:pPr>
            <w:r>
              <w:t xml:space="preserve">Bereitschaftsbewertung</w:t>
            </w:r>
          </w:p>
        </w:tc>
      </w:tr>
      <w:tr>
        <w:tc>
          <w:tcPr/>
          <w:p>
            <w:pPr>
              <w:pStyle w:val="BodyText"/>
            </w:pPr>
          </w:p>
        </w:tc>
        <w:tc>
          <w:tcPr/>
          <w:p>
            <w:pPr>
              <w:pStyle w:val="Compact"/>
            </w:pPr>
            <w:r>
              <w:t xml:space="preserve">Goal Barriers Assessment</w:t>
            </w:r>
          </w:p>
        </w:tc>
        <w:tc>
          <w:tcPr/>
          <w:p>
            <w:pPr>
              <w:pStyle w:val="BodyText"/>
            </w:pPr>
            <w:r>
              <w:t xml:space="preserve">Barrieren-Analyse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Koordination</w:t>
            </w:r>
          </w:p>
        </w:tc>
        <w:tc>
          <w:tcPr/>
          <w:p>
            <w:pPr>
              <w:pStyle w:val="BodyText"/>
            </w:pPr>
            <w:r>
              <w:t xml:space="preserve">Person-Centered Care Plan</w:t>
            </w:r>
          </w:p>
        </w:tc>
        <w:tc>
          <w:tcPr/>
          <w:p>
            <w:pPr>
              <w:pStyle w:val="BodyText"/>
            </w:pPr>
            <w:r>
              <w:t xml:space="preserve">Patientenzentrierter Pflegeplan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Outcomes</w:t>
            </w:r>
          </w:p>
        </w:tc>
        <w:tc>
          <w:tcPr/>
          <w:p>
            <w:pPr>
              <w:pStyle w:val="Compact"/>
            </w:pPr>
            <w:r>
              <w:t xml:space="preserve">GAS Score Observation</w:t>
            </w:r>
          </w:p>
        </w:tc>
        <w:tc>
          <w:tcPr/>
          <w:p>
            <w:pPr>
              <w:pStyle w:val="BodyText"/>
            </w:pPr>
            <w:r>
              <w:t xml:space="preserve">GAS-Ergebnis-Dokumentation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PROM Score Observation</w:t>
            </w:r>
          </w:p>
        </w:tc>
        <w:tc>
          <w:tcPr/>
          <w:p>
            <w:pPr>
              <w:pStyle w:val="BodyText"/>
            </w:pPr>
            <w:r>
              <w:t xml:space="preserve">PROM-Ergebnis-Dokumentation</w:t>
            </w:r>
          </w:p>
        </w:tc>
      </w:tr>
    </w:tbl>
    <w:bookmarkEnd w:id="57"/>
    <w:bookmarkStart w:id="60" w:name="X557d7e0885a3832a84f2089329ec92b30338aea"/>
    <w:p>
      <w:pPr>
        <w:pStyle w:val="Heading2"/>
      </w:pPr>
      <w:r>
        <w:t xml:space="preserve">4. Messmethoden</w:t>
      </w:r>
    </w:p>
    <w:bookmarkStart w:id="58" w:name="goal-attainment-scaling-gas"/>
    <w:p>
      <w:pPr>
        <w:pStyle w:val="Heading3"/>
      </w:pPr>
      <w:r>
        <w:t xml:space="preserve">Goal Attainment Scaling (GAS)</w:t>
      </w:r>
    </w:p>
    <w:p>
      <w:pPr>
        <w:pStyle w:val="FirstParagraph"/>
      </w:pPr>
      <w:r>
        <w:t xml:space="preserve">GAS individualisiert die Zielmessung durch Festlegung von Baseline- und</w:t>
      </w:r>
      <w:r>
        <w:t xml:space="preserve"> </w:t>
      </w:r>
      <w:r>
        <w:t xml:space="preserve">Ziel-Erreichungsgraden für spezifische Patientenziele. Die kollaborative</w:t>
      </w:r>
      <w:r>
        <w:t xml:space="preserve"> </w:t>
      </w:r>
      <w:r>
        <w:t xml:space="preserve">Zielsetzung mit numerischen Skalen repräsentiert verschiedene</w:t>
      </w:r>
      <w:r>
        <w:t xml:space="preserve"> </w:t>
      </w:r>
      <w:r>
        <w:t xml:space="preserve">Erreichungsstufen.</w:t>
      </w:r>
    </w:p>
    <w:bookmarkEnd w:id="58"/>
    <w:bookmarkStart w:id="59" w:name="patient-reported-outcome-measures-prom"/>
    <w:p>
      <w:pPr>
        <w:pStyle w:val="Heading3"/>
      </w:pPr>
      <w:r>
        <w:t xml:space="preserve">Patient-Reported Outcome Measures (PROM)</w:t>
      </w:r>
    </w:p>
    <w:p>
      <w:pPr>
        <w:pStyle w:val="FirstParagraph"/>
      </w:pPr>
      <w:r>
        <w:t xml:space="preserve">PROMs nutzen validierte, standardisierte Instrumente zur Messung von</w:t>
      </w:r>
      <w:r>
        <w:t xml:space="preserve"> </w:t>
      </w:r>
      <w:r>
        <w:t xml:space="preserve">Ergebnissen, die Patienten als wichtig erachten. Terminologisch werden</w:t>
      </w:r>
      <w:r>
        <w:t xml:space="preserve"> </w:t>
      </w:r>
      <w:r>
        <w:t xml:space="preserve">LOINC-Codes und spezifische Value Sets (GAS Score Type, PROM Target</w:t>
      </w:r>
      <w:r>
        <w:t xml:space="preserve"> </w:t>
      </w:r>
      <w:r>
        <w:t xml:space="preserve">Measures) verwendet.</w:t>
      </w:r>
    </w:p>
    <w:bookmarkEnd w:id="59"/>
    <w:bookmarkEnd w:id="60"/>
    <w:bookmarkStart w:id="61" w:name="X60f5e927cabe89d50a30544d3c4bde3b86333b1"/>
    <w:p>
      <w:pPr>
        <w:pStyle w:val="Heading2"/>
      </w:pPr>
      <w:r>
        <w:t xml:space="preserve">5. Anwendungsfälle</w:t>
      </w:r>
    </w:p>
    <w:p>
      <w:pPr>
        <w:numPr>
          <w:ilvl w:val="0"/>
          <w:numId w:val="1014"/>
        </w:numPr>
      </w:pPr>
      <w:r>
        <w:t xml:space="preserve">Patienten mit komplexen Versorgungsbedarfen: Identifikation von</w:t>
      </w:r>
      <w:r>
        <w:t xml:space="preserve"> </w:t>
      </w:r>
      <w:r>
        <w:t xml:space="preserve">Prioritäten und Fortschrittsverfolgung</w:t>
      </w:r>
    </w:p>
    <w:p>
      <w:pPr>
        <w:numPr>
          <w:ilvl w:val="0"/>
          <w:numId w:val="1014"/>
        </w:numPr>
      </w:pPr>
      <w:r>
        <w:t xml:space="preserve">Klinische Implementierung über das gesamte Versorgungskontinuum</w:t>
      </w:r>
    </w:p>
    <w:p>
      <w:pPr>
        <w:numPr>
          <w:ilvl w:val="0"/>
          <w:numId w:val="1014"/>
        </w:numPr>
      </w:pPr>
      <w:r>
        <w:t xml:space="preserve">Gesundheitscoaching und Care Coordination</w:t>
      </w:r>
    </w:p>
    <w:p>
      <w:pPr>
        <w:numPr>
          <w:ilvl w:val="0"/>
          <w:numId w:val="1014"/>
        </w:numPr>
      </w:pPr>
      <w:r>
        <w:t xml:space="preserve">Qualitätsmessung und Forschung</w:t>
      </w:r>
    </w:p>
    <w:p>
      <w:pPr>
        <w:numPr>
          <w:ilvl w:val="0"/>
          <w:numId w:val="1014"/>
        </w:numPr>
      </w:pPr>
      <w:r>
        <w:t xml:space="preserve">Sektorenübergreifende Integration via FHIR-Interoperabilität</w:t>
      </w:r>
    </w:p>
    <w:bookmarkEnd w:id="61"/>
    <w:bookmarkStart w:id="62" w:name="X172c450761921d8cb35be169b7edb3ba9e00bbf"/>
    <w:p>
      <w:pPr>
        <w:pStyle w:val="Heading2"/>
      </w:pPr>
      <w:r>
        <w:t xml:space="preserve">6. Relevanz für die KIG Onko Therapieziel-Spezifikation</w:t>
      </w:r>
    </w:p>
    <w:p>
      <w:pPr>
        <w:pStyle w:val="FirstParagraph"/>
      </w:pPr>
      <w:r>
        <w:t xml:space="preserve">Der PCO IG ist hochrelevant für die gematik-Spezifikation „Therapieziel</w:t>
      </w:r>
      <w:r>
        <w:t xml:space="preserve"> </w:t>
      </w:r>
      <w:r>
        <w:t xml:space="preserve">Onkologie“:</w:t>
      </w:r>
    </w:p>
    <w:p>
      <w:pPr>
        <w:numPr>
          <w:ilvl w:val="0"/>
          <w:numId w:val="1015"/>
        </w:numPr>
      </w:pPr>
      <w:r>
        <w:t xml:space="preserve">PCO liefert ein generisches FHIR-Framework für patientenzentrierte</w:t>
      </w:r>
      <w:r>
        <w:t xml:space="preserve"> </w:t>
      </w:r>
      <w:r>
        <w:t xml:space="preserve">Ziele — die KIG Onko Spezifikation kann darauf aufbauen</w:t>
      </w:r>
    </w:p>
    <w:p>
      <w:pPr>
        <w:numPr>
          <w:ilvl w:val="0"/>
          <w:numId w:val="1015"/>
        </w:numPr>
      </w:pPr>
      <w:r>
        <w:t xml:space="preserve">Die GAS- und PROM-Ansätze sind direkt auf onkologische Therapieziele</w:t>
      </w:r>
      <w:r>
        <w:t xml:space="preserve"> </w:t>
      </w:r>
      <w:r>
        <w:t xml:space="preserve">anwendbar</w:t>
      </w:r>
    </w:p>
    <w:p>
      <w:pPr>
        <w:numPr>
          <w:ilvl w:val="0"/>
          <w:numId w:val="1015"/>
        </w:numPr>
      </w:pPr>
      <w:r>
        <w:t xml:space="preserve">Die „What Matters Most“-Philosophie passt zur partizipativen</w:t>
      </w:r>
      <w:r>
        <w:t xml:space="preserve"> </w:t>
      </w:r>
      <w:r>
        <w:t xml:space="preserve">Entscheidungsfindung (Shared Decision Making) bei der</w:t>
      </w:r>
      <w:r>
        <w:t xml:space="preserve"> </w:t>
      </w:r>
      <w:r>
        <w:t xml:space="preserve">Therapiezielfestlegung</w:t>
      </w:r>
    </w:p>
    <w:p>
      <w:pPr>
        <w:numPr>
          <w:ilvl w:val="0"/>
          <w:numId w:val="1015"/>
        </w:numPr>
      </w:pPr>
      <w:r>
        <w:t xml:space="preserve">Das Person-Centered Goal Profil kann für onkologische Use Cases</w:t>
      </w:r>
      <w:r>
        <w:t xml:space="preserve"> </w:t>
      </w:r>
      <w:r>
        <w:t xml:space="preserve">profiliert werden</w:t>
      </w:r>
    </w:p>
    <w:p>
      <w:pPr>
        <w:numPr>
          <w:ilvl w:val="0"/>
          <w:numId w:val="1015"/>
        </w:numPr>
      </w:pPr>
      <w:r>
        <w:t xml:space="preserve">Lücke: PCO ist generisch, nicht onkologiespezifisch — die KIG Onko</w:t>
      </w:r>
      <w:r>
        <w:t xml:space="preserve"> </w:t>
      </w:r>
      <w:r>
        <w:t xml:space="preserve">Spezifikation füllt die onkologische Lücke (z.B. Heilung,</w:t>
      </w:r>
      <w:r>
        <w:t xml:space="preserve"> </w:t>
      </w:r>
      <w:r>
        <w:t xml:space="preserve">Lebensverlängerung, Symptomkontrolle, Lebensqualität)</w:t>
      </w:r>
    </w:p>
    <w:p>
      <w:pPr>
        <w:numPr>
          <w:ilvl w:val="0"/>
          <w:numId w:val="1015"/>
        </w:numPr>
      </w:pPr>
      <w:r>
        <w:t xml:space="preserve">Komplementarität zu mCODE: PCO adressiert Patientenziele, mCODE die</w:t>
      </w:r>
      <w:r>
        <w:t xml:space="preserve"> </w:t>
      </w:r>
      <w:r>
        <w:t xml:space="preserve">klinische Datenstruktur — beide zusammen bilden das Gesamtbild</w:t>
      </w:r>
    </w:p>
    <w:bookmarkEnd w:id="62"/>
    <w:bookmarkStart w:id="66" w:name="X96f91d6944adce1e6f04c63b04a535ad29fe4e9"/>
    <w:p>
      <w:pPr>
        <w:pStyle w:val="Heading2"/>
      </w:pPr>
      <w:r>
        <w:t xml:space="preserve">7. Referenzen</w:t>
      </w:r>
    </w:p>
    <w:p>
      <w:pPr>
        <w:numPr>
          <w:ilvl w:val="0"/>
          <w:numId w:val="1016"/>
        </w:numPr>
      </w:pPr>
      <w:hyperlink r:id="rId63">
        <w:r>
          <w:rPr>
            <w:rStyle w:val="Hyperlink"/>
          </w:rPr>
          <w:t xml:space="preserve">PCO IG (Published)</w:t>
        </w:r>
      </w:hyperlink>
      <w:r>
        <w:t xml:space="preserve"> </w:t>
      </w:r>
      <w:r>
        <w:t xml:space="preserve">—</w:t>
      </w:r>
      <w:r>
        <w:t xml:space="preserve"> </w:t>
      </w:r>
      <w:hyperlink r:id="rId63">
        <w:r>
          <w:rPr>
            <w:rStyle w:val="Hyperlink"/>
          </w:rPr>
          <w:t xml:space="preserve">https://hl7.org/fhir/us/pco/</w:t>
        </w:r>
      </w:hyperlink>
    </w:p>
    <w:p>
      <w:pPr>
        <w:numPr>
          <w:ilvl w:val="0"/>
          <w:numId w:val="1016"/>
        </w:numPr>
      </w:pPr>
      <w:hyperlink r:id="rId64">
        <w:r>
          <w:rPr>
            <w:rStyle w:val="Hyperlink"/>
          </w:rPr>
          <w:t xml:space="preserve">PCO IG (CI Build)</w:t>
        </w:r>
      </w:hyperlink>
      <w:r>
        <w:t xml:space="preserve"> </w:t>
      </w:r>
      <w:r>
        <w:t xml:space="preserve">—</w:t>
      </w:r>
      <w:r>
        <w:t xml:space="preserve"> </w:t>
      </w:r>
      <w:hyperlink r:id="rId64">
        <w:r>
          <w:rPr>
            <w:rStyle w:val="Hyperlink"/>
          </w:rPr>
          <w:t xml:space="preserve">https://build.fhir.org/ig/HL7/pco-ig/</w:t>
        </w:r>
      </w:hyperlink>
    </w:p>
    <w:p>
      <w:pPr>
        <w:numPr>
          <w:ilvl w:val="0"/>
          <w:numId w:val="1016"/>
        </w:numPr>
      </w:pPr>
      <w:hyperlink r:id="rId65">
        <w:r>
          <w:rPr>
            <w:rStyle w:val="Hyperlink"/>
          </w:rPr>
          <w:t xml:space="preserve">MCC eCare Plan IG</w:t>
        </w:r>
      </w:hyperlink>
      <w:r>
        <w:t xml:space="preserve"> </w:t>
      </w:r>
      <w:r>
        <w:t xml:space="preserve">—</w:t>
      </w:r>
      <w:r>
        <w:t xml:space="preserve"> </w:t>
      </w:r>
      <w:hyperlink r:id="rId65">
        <w:r>
          <w:rPr>
            <w:rStyle w:val="Hyperlink"/>
          </w:rPr>
          <w:t xml:space="preserve">https://hl7.org/fhir/us/mcc/</w:t>
        </w:r>
      </w:hyperlink>
    </w:p>
    <w:p>
      <w:pPr>
        <w:numPr>
          <w:ilvl w:val="0"/>
          <w:numId w:val="1016"/>
        </w:numPr>
      </w:pPr>
      <w:hyperlink r:id="rId31">
        <w:r>
          <w:rPr>
            <w:rStyle w:val="Hyperlink"/>
          </w:rPr>
          <w:t xml:space="preserve">mCODE STU4</w:t>
        </w:r>
      </w:hyperlink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https://hl7.org/fhir/us/mcode/STU4/</w:t>
        </w:r>
      </w:hyperlink>
    </w:p>
    <w:bookmarkEnd w:id="66"/>
    <w:bookmarkEnd w:id="67"/>
    <w:bookmarkStart w:id="78" w:name="Xf1fde961c4b950cc72897a4976fec26c9a3be0c"/>
    <w:p>
      <w:pPr>
        <w:pStyle w:val="Heading1"/>
      </w:pPr>
      <w:r>
        <w:t xml:space="preserve">ESMO EnLiST 2026 — Lines of Systemic Therapy</w:t>
      </w:r>
    </w:p>
    <w:bookmarkStart w:id="77" w:name="X1e665bb4eb5e9b4d29b07250428f75a9e195732"/>
    <w:p>
      <w:pPr>
        <w:pStyle w:val="Heading2"/>
      </w:pPr>
      <w:r>
        <w:t xml:space="preserve">EnLiST – Analysebaustein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Quelle:</w:t>
      </w:r>
      <w:r>
        <w:t xml:space="preserve"> </w:t>
      </w:r>
      <w:r>
        <w:t xml:space="preserve">Saini KS, Koopman M, Martins-Branco D et al.</w:t>
      </w:r>
      <w:r>
        <w:t xml:space="preserve"> </w:t>
      </w:r>
      <w:r>
        <w:rPr>
          <w:i/>
          <w:iCs/>
        </w:rPr>
        <w:t xml:space="preserve">ESMO adaptation of Lines of Systemic Therapy (EnLiST): a consensus framework for standardising the designation of lines of therapy in solid tumours.</w:t>
      </w:r>
      <w:r>
        <w:t xml:space="preserve"> </w:t>
      </w:r>
      <w:r>
        <w:t xml:space="preserve">Annals of Oncology 2026;37(5):608–623. DOI:</w:t>
      </w:r>
      <w:r>
        <w:t xml:space="preserve"> </w:t>
      </w:r>
      <w:hyperlink r:id="rId68">
        <w:r>
          <w:rPr>
            <w:rStyle w:val="Hyperlink"/>
          </w:rPr>
          <w:t xml:space="preserve">10.1016/j.annonc.2026.02.008</w:t>
        </w:r>
      </w:hyperlink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Publiziert Februar 2026, erster paneuropäischer Delphi-Konsens (26 Stakeholder, Endkonsens ≥ 87,5 %, vier Leitlinien einstimmig). Geltungsbereich solide Tumoren; hämatologische Adaption als separates Konzept.</w:t>
      </w:r>
    </w:p>
    <w:bookmarkStart w:id="69" w:name="X5c7b172385ea4e27ab1d41aaf7a05ab784c7fda"/>
    <w:p>
      <w:pPr>
        <w:pStyle w:val="Heading3"/>
      </w:pPr>
      <w:r>
        <w:t xml:space="preserve">1. Problemstellung, die EnLiST adressiert</w:t>
      </w:r>
    </w:p>
    <w:p>
      <w:pPr>
        <w:pStyle w:val="FirstParagraph"/>
      </w:pPr>
      <w:r>
        <w:t xml:space="preserve">Die Zählung von Therapielinien war in der internationalen Onkologie bislang inkonsistent: Studienprotokolle, Real-World-Datenbanken, Erstattungssysteme und einzelne Tumorboards verwendeten unterschiedliche Definitionen von "1L", "2L", "Maintenance" oder "Re-Challenge". Folgen waren u. a. nicht vergleichbare Studienpopulationen, fehlende Reproduzierbarkeit von Outcome-Auswertungen und Schwierigkeiten in der korrekten Anwendung linienspezifischer Zulassungen.</w:t>
      </w:r>
    </w:p>
    <w:p>
      <w:pPr>
        <w:pStyle w:val="BodyText"/>
      </w:pPr>
      <w:r>
        <w:t xml:space="preserve">EnLiST stellt erstmals ein paneuropäisches Konsensvokabular bereit, das</w:t>
      </w:r>
      <w:r>
        <w:t xml:space="preserve"> </w:t>
      </w:r>
      <w:r>
        <w:rPr>
          <w:b/>
          <w:bCs/>
        </w:rPr>
        <w:t xml:space="preserve">was als Linie zählt</w:t>
      </w:r>
      <w:r>
        <w:t xml:space="preserve">,</w:t>
      </w:r>
      <w:r>
        <w:t xml:space="preserve"> </w:t>
      </w:r>
      <w:r>
        <w:rPr>
          <w:b/>
          <w:bCs/>
        </w:rPr>
        <w:t xml:space="preserve">wie Modifikationen abgegrenzt werden</w:t>
      </w:r>
      <w:r>
        <w:t xml:space="preserve"> </w:t>
      </w:r>
      <w:r>
        <w:t xml:space="preserve">(New / Modified / Same) und</w:t>
      </w:r>
      <w:r>
        <w:t xml:space="preserve"> </w:t>
      </w:r>
      <w:r>
        <w:rPr>
          <w:b/>
          <w:bCs/>
        </w:rPr>
        <w:t xml:space="preserve">welche Setting-Stufe zugrunde liegt</w:t>
      </w:r>
      <w:r>
        <w:t xml:space="preserve"> </w:t>
      </w:r>
      <w:r>
        <w:t xml:space="preserve">(early / advanced / investigational) einheitlich regelt. Für unsere Spec ist EnLiST damit die strukturierende Achse, an der sich die Visualisierung und die FHIR-Modellierung von Therapielinien orientieren.</w:t>
      </w:r>
    </w:p>
    <w:bookmarkEnd w:id="69"/>
    <w:bookmarkStart w:id="70" w:name="X27bbd9fabd0545da48ba1e6d9d132aab64c8e75"/>
    <w:p>
      <w:pPr>
        <w:pStyle w:val="Heading3"/>
      </w:pPr>
      <w:r>
        <w:t xml:space="preserve">2. Übertragbares Muster: X.Y-Notation, Drei-Settings-Architektur, Mindestdatensatz</w:t>
      </w:r>
    </w:p>
    <w:p>
      <w:pPr>
        <w:pStyle w:val="FirstParagraph"/>
      </w:pPr>
      <w:r>
        <w:t xml:space="preserve">Drei strukturierende Elemente sind direkt übernehmbar:</w:t>
      </w:r>
    </w:p>
    <w:p>
      <w:pPr>
        <w:pStyle w:val="BodyText"/>
      </w:pPr>
      <w:r>
        <w:rPr>
          <w:b/>
          <w:bCs/>
        </w:rPr>
        <w:t xml:space="preserve">Settings-Trennung (separate Zählung):</w:t>
      </w:r>
    </w:p>
    <w:p>
      <w:pPr>
        <w:pStyle w:val="BodyText"/>
        <w:numPr>
          <w:ilvl w:val="0"/>
          <w:numId w:val="1017"/>
        </w:numPr>
      </w:pPr>
      <w:r>
        <w:rPr>
          <w:b/>
          <w:bCs/>
        </w:rPr>
        <w:t xml:space="preserve">eLoT</w:t>
      </w:r>
      <w:r>
        <w:t xml:space="preserve"> </w:t>
      </w:r>
      <w:r>
        <w:t xml:space="preserve">– Early-stage (resektabel, neoadjuvant, adjuvant, perioperativ)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aLoT</w:t>
      </w:r>
      <w:r>
        <w:t xml:space="preserve"> </w:t>
      </w:r>
      <w:r>
        <w:t xml:space="preserve">– Advanced-stage (lokal fortgeschritten oder metastasiert)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iLoT</w:t>
      </w:r>
      <w:r>
        <w:t xml:space="preserve"> </w:t>
      </w:r>
      <w:r>
        <w:t xml:space="preserve">– Investigational: SACT mit ausschließlich nicht EMA/FDA-zugelassenen Komponenten, unabhängig vom Setting</w:t>
      </w:r>
    </w:p>
    <w:p>
      <w:pPr>
        <w:pStyle w:val="FirstParagraph"/>
      </w:pPr>
      <w:r>
        <w:rPr>
          <w:b/>
          <w:bCs/>
        </w:rPr>
        <w:t xml:space="preserve">Notation pro Setting als X.Y:</w:t>
      </w:r>
    </w:p>
    <w:p>
      <w:pPr>
        <w:pStyle w:val="BodyText"/>
        <w:numPr>
          <w:ilvl w:val="0"/>
          <w:numId w:val="1018"/>
        </w:numPr>
      </w:pPr>
      <w:r>
        <w:t xml:space="preserve">X = Gesamtzahl der</w:t>
      </w:r>
      <w:r>
        <w:t xml:space="preserve"> </w:t>
      </w:r>
      <w:r>
        <w:rPr>
          <w:i/>
          <w:iCs/>
        </w:rPr>
        <w:t xml:space="preserve">New LoTs</w:t>
      </w:r>
      <w:r>
        <w:t xml:space="preserve"> </w:t>
      </w:r>
      <w:r>
        <w:t xml:space="preserve">(links vom Punkt)</w:t>
      </w:r>
    </w:p>
    <w:p>
      <w:pPr>
        <w:pStyle w:val="BodyText"/>
        <w:numPr>
          <w:ilvl w:val="0"/>
          <w:numId w:val="1018"/>
        </w:numPr>
      </w:pPr>
      <w:r>
        <w:t xml:space="preserve">Y = Gesamtzahl der</w:t>
      </w:r>
      <w:r>
        <w:t xml:space="preserve"> </w:t>
      </w:r>
      <w:r>
        <w:rPr>
          <w:i/>
          <w:iCs/>
        </w:rPr>
        <w:t xml:space="preserve">Modified LoTs</w:t>
      </w:r>
      <w:r>
        <w:t xml:space="preserve"> </w:t>
      </w:r>
      <w:r>
        <w:t xml:space="preserve">seit der letzten New LoT (rechts vom Punkt; bei jedem X-Inkrement Reset auf 0)</w:t>
      </w:r>
    </w:p>
    <w:p>
      <w:pPr>
        <w:pStyle w:val="Compact"/>
        <w:numPr>
          <w:ilvl w:val="0"/>
          <w:numId w:val="1018"/>
        </w:numPr>
      </w:pPr>
      <w:r>
        <w:t xml:space="preserve">Gesamtdarstellung:</w:t>
      </w:r>
      <w:r>
        <w:t xml:space="preserve"> </w:t>
      </w:r>
      <w:r>
        <w:rPr>
          <w:rStyle w:val="VerbatimChar"/>
        </w:rPr>
        <w:t xml:space="preserve">[eLoT + aLoT] + iLoT</w:t>
      </w:r>
      <w:r>
        <w:t xml:space="preserve">, z. B.</w:t>
      </w:r>
      <w:r>
        <w:t xml:space="preserve"> </w:t>
      </w:r>
      <w:r>
        <w:rPr>
          <w:rStyle w:val="VerbatimChar"/>
        </w:rPr>
        <w:t xml:space="preserve">[eLoT 2.0 + aLoT 2.1] + iLoT 1.0</w:t>
      </w:r>
    </w:p>
    <w:p>
      <w:pPr>
        <w:pStyle w:val="FirstParagraph"/>
      </w:pPr>
      <w:r>
        <w:rPr>
          <w:b/>
          <w:bCs/>
        </w:rPr>
        <w:t xml:space="preserve">Drei-Änderungstypen-Logik: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New LoT</w:t>
      </w:r>
      <w:r>
        <w:t xml:space="preserve"> </w:t>
      </w:r>
      <w:r>
        <w:t xml:space="preserve">– bei klinischer Progression (cPD) oder fehlendem adäquatem Ansprechen</w:t>
      </w:r>
    </w:p>
    <w:p>
      <w:pPr>
        <w:pStyle w:val="BodyText"/>
        <w:numPr>
          <w:ilvl w:val="0"/>
          <w:numId w:val="1019"/>
        </w:numPr>
      </w:pPr>
      <w:r>
        <w:rPr>
          <w:i/>
          <w:iCs/>
        </w:rPr>
        <w:t xml:space="preserve">Modified LoT</w:t>
      </w:r>
      <w:r>
        <w:t xml:space="preserve"> </w:t>
      </w:r>
      <w:r>
        <w:t xml:space="preserve">– bei nicht-progressionsbedingten Änderungen (Intoleranz, Hinzunahme/Wechsel eines Wirkstoffs, finanzielle/logistische Gründe)</w:t>
      </w:r>
    </w:p>
    <w:p>
      <w:pPr>
        <w:pStyle w:val="BodyText"/>
        <w:numPr>
          <w:ilvl w:val="0"/>
          <w:numId w:val="1019"/>
        </w:numPr>
      </w:pPr>
      <w:r>
        <w:rPr>
          <w:i/>
          <w:iCs/>
        </w:rPr>
        <w:t xml:space="preserve">Same LoT</w:t>
      </w:r>
      <w:r>
        <w:t xml:space="preserve"> </w:t>
      </w:r>
      <w:r>
        <w:t xml:space="preserve">– bei prospektiv geplanten Änderungen (Dosis, Zeitplan, Applikationsweg, Erhaltungstherapie, Therapiepause mit unveränderter Reintroduktion)</w:t>
      </w:r>
    </w:p>
    <w:p>
      <w:pPr>
        <w:pStyle w:val="FirstParagraph"/>
      </w:pPr>
      <w:r>
        <w:rPr>
          <w:b/>
          <w:bCs/>
        </w:rPr>
        <w:t xml:space="preserve">Mindestdatensatz (10 Items, 100 % Delphi-Konsens):</w:t>
      </w:r>
    </w:p>
    <w:p>
      <w:pPr>
        <w:pStyle w:val="Compact"/>
        <w:numPr>
          <w:ilvl w:val="0"/>
          <w:numId w:val="1020"/>
        </w:numPr>
      </w:pPr>
      <w:r>
        <w:t xml:space="preserve">Clinical setting · 2. Treatment intent · 3. Datum letzte cPD · 4. Anticancer modality · 5. SACT-Agent(en) · 6. Startdatum · 7. Stoppdatum · 8. Grund des Absetzens · 9. Kommentare · 10. Lines of therapy</w:t>
      </w:r>
    </w:p>
    <w:p>
      <w:pPr>
        <w:pStyle w:val="FirstParagraph"/>
      </w:pPr>
      <w:r>
        <w:rPr>
          <w:b/>
          <w:bCs/>
        </w:rPr>
        <w:t xml:space="preserve">Vier Konsens-Leitlinien</w:t>
      </w:r>
      <w:r>
        <w:t xml:space="preserve"> </w:t>
      </w:r>
      <w:r>
        <w:t xml:space="preserve">regeln Re-Challenge nach Therapiepause, Wechsel ohne cPD, Hinzunahme/Wegfall von Wirkstoffen (siehe Sektion 3 für Mapping auf unsere Spec).</w:t>
      </w:r>
    </w:p>
    <w:bookmarkEnd w:id="70"/>
    <w:bookmarkStart w:id="71" w:name="X3ba1a7a597d9347300af38b706599bff6f88b54"/>
    <w:p>
      <w:pPr>
        <w:pStyle w:val="Heading3"/>
      </w:pPr>
      <w:r>
        <w:t xml:space="preserve">3. Anwendungsbeispiel (aus dem Paper)</w:t>
      </w:r>
    </w:p>
    <w:p>
      <w:pPr>
        <w:pStyle w:val="FirstParagraph"/>
      </w:pPr>
      <w:r>
        <w:t xml:space="preserve">Mammakarzinom Stage III mit kurativer Intention:</w:t>
      </w:r>
    </w:p>
    <w:p>
      <w:pPr>
        <w:pStyle w:val="BodyText"/>
        <w:numPr>
          <w:ilvl w:val="0"/>
          <w:numId w:val="1021"/>
        </w:numPr>
      </w:pPr>
      <w:r>
        <w:t xml:space="preserve">FEC × 6 → BCS + EBRT → Tamoxifen 2 J → Letrozol 3 J geplant; Letrozol-Intoleranz, Wechsel auf Anastrozol =</w:t>
      </w:r>
      <w:r>
        <w:t xml:space="preserve"> </w:t>
      </w:r>
      <w:r>
        <w:rPr>
          <w:rStyle w:val="VerbatimChar"/>
        </w:rPr>
        <w:t xml:space="preserve">eLoT 1.1</w:t>
      </w:r>
      <w:r>
        <w:t xml:space="preserve"> </w:t>
      </w:r>
      <w:r>
        <w:t xml:space="preserve">(Modified)</w:t>
      </w:r>
    </w:p>
    <w:p>
      <w:pPr>
        <w:pStyle w:val="Compact"/>
        <w:numPr>
          <w:ilvl w:val="0"/>
          <w:numId w:val="1021"/>
        </w:numPr>
      </w:pPr>
      <w:r>
        <w:t xml:space="preserve">Isoliertes Lokalrezidiv → Mastektomie + Exemestan =</w:t>
      </w:r>
      <w:r>
        <w:t xml:space="preserve"> </w:t>
      </w:r>
      <w:r>
        <w:rPr>
          <w:rStyle w:val="VerbatimChar"/>
        </w:rPr>
        <w:t xml:space="preserve">eLoT 2.0</w:t>
      </w:r>
      <w:r>
        <w:t xml:space="preserve"> </w:t>
      </w:r>
      <w:r>
        <w:t xml:space="preserve">(New)</w:t>
      </w:r>
    </w:p>
    <w:p>
      <w:pPr>
        <w:pStyle w:val="BodyText"/>
        <w:numPr>
          <w:ilvl w:val="0"/>
          <w:numId w:val="1021"/>
        </w:numPr>
      </w:pPr>
      <w:r>
        <w:t xml:space="preserve">Spätere nicht-resektable Manifestation → Ribociclib + Fulvestrant =</w:t>
      </w:r>
      <w:r>
        <w:t xml:space="preserve"> </w:t>
      </w:r>
      <w:r>
        <w:rPr>
          <w:rStyle w:val="VerbatimChar"/>
        </w:rPr>
        <w:t xml:space="preserve">aLoT 1.0</w:t>
      </w:r>
      <w:r>
        <w:t xml:space="preserve"> </w:t>
      </w:r>
      <w:r>
        <w:t xml:space="preserve">(im fortgeschrittenen Setting eigene Zählung)</w:t>
      </w:r>
    </w:p>
    <w:p>
      <w:pPr>
        <w:pStyle w:val="Compact"/>
        <w:numPr>
          <w:ilvl w:val="0"/>
          <w:numId w:val="1021"/>
        </w:numPr>
      </w:pPr>
      <w:r>
        <w:t xml:space="preserve">Phase-I LAG3-Antikörper nach cPD =</w:t>
      </w:r>
      <w:r>
        <w:t xml:space="preserve"> </w:t>
      </w:r>
      <w:r>
        <w:rPr>
          <w:rStyle w:val="VerbatimChar"/>
        </w:rPr>
        <w:t xml:space="preserve">iLoT 1.0</w:t>
      </w:r>
    </w:p>
    <w:p>
      <w:pPr>
        <w:pStyle w:val="FirstParagraph"/>
      </w:pPr>
      <w:r>
        <w:t xml:space="preserve">Gesamtnotation:</w:t>
      </w:r>
      <w:r>
        <w:t xml:space="preserve"> </w:t>
      </w:r>
      <w:r>
        <w:rPr>
          <w:rStyle w:val="VerbatimChar"/>
        </w:rPr>
        <w:t xml:space="preserve">[eLoT 2.0 + aLoT 1.0] + iLoT 1.0</w:t>
      </w:r>
      <w:r>
        <w:t xml:space="preserve">. Das Beispiel zeigt, dass die Notation gleichzeitig Zeitverlauf, Setting-Übergänge und Studienbeteiligung in kompakter Form abbildet – direkt nutzbar als Achsenmodell für unsere Visualisierung.</w:t>
      </w:r>
    </w:p>
    <w:bookmarkEnd w:id="71"/>
    <w:bookmarkStart w:id="72" w:name="X9c8b869e8fd9620f168c5ae0fefc6044d39a579"/>
    <w:p>
      <w:pPr>
        <w:pStyle w:val="Heading3"/>
      </w:pPr>
      <w:r>
        <w:t xml:space="preserve">4. Lücken in EnLiST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Lücke / Designentscheidung in EnLiST</w:t>
            </w:r>
          </w:p>
        </w:tc>
        <w:tc>
          <w:tcPr/>
          <w:p>
            <w:pPr>
              <w:pStyle w:val="BodyText"/>
            </w:pPr>
            <w:r>
              <w:t xml:space="preserve">Lösungsansatz für unsere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 solide Tumoren</w:t>
            </w:r>
            <w:r>
              <w:t xml:space="preserve"> </w:t>
            </w:r>
            <w:r>
              <w:t xml:space="preserve">im Scope; Hämatologie ausgeklammert</w:t>
            </w:r>
          </w:p>
        </w:tc>
        <w:tc>
          <w:tcPr/>
          <w:p>
            <w:pPr>
              <w:pStyle w:val="BodyText"/>
            </w:pPr>
            <w:r>
              <w:t xml:space="preserve">Setting-Achse parametrierbar (</w:t>
            </w:r>
            <w:r>
              <w:rPr>
                <w:rStyle w:val="VerbatimChar"/>
              </w:rPr>
              <w:t xml:space="preserve">lot_axis_type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solid-setting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haem-phase</w:t>
            </w:r>
            <w:r>
              <w:t xml:space="preserve">); Hämatologie-Adaption als separate IG-Seite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Lokoregionale Therapien</w:t>
            </w:r>
            <w:r>
              <w:t xml:space="preserve"> </w:t>
            </w:r>
            <w:r>
              <w:t xml:space="preserve">(Chirurgie, Strahlentherapie, Ablation) ohne LoT</w:t>
            </w:r>
          </w:p>
        </w:tc>
        <w:tc>
          <w:tcPr/>
          <w:p>
            <w:pPr>
              <w:pStyle w:val="BodyText"/>
            </w:pPr>
            <w:r>
              <w:t xml:space="preserve">Eigene Modalitäten-Spur in der Visualisierung, nicht in LoT-Zählung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harte</w:t>
            </w:r>
            <w:r>
              <w:t xml:space="preserve"> </w:t>
            </w:r>
            <w:r>
              <w:rPr>
                <w:b/>
                <w:bCs/>
              </w:rPr>
              <w:t xml:space="preserve">Treatment-Holiday-Dauer</w:t>
            </w:r>
            <w:r>
              <w:t xml:space="preserve"> </w:t>
            </w:r>
            <w:r>
              <w:t xml:space="preserve">als Cut-off</w:t>
            </w:r>
          </w:p>
        </w:tc>
        <w:tc>
          <w:tcPr/>
          <w:p>
            <w:pPr>
              <w:pStyle w:val="BodyText"/>
            </w:pPr>
            <w:r>
              <w:t xml:space="preserve">Entitäts- und protokollspezifische Heuristiken zulassen; optional als Konfiguration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"Locally advanced"</w:t>
            </w:r>
            <w:r>
              <w:t xml:space="preserve"> </w:t>
            </w:r>
            <w:r>
              <w:t xml:space="preserve">unter aLoT geführt – tumorspezifisch diskutabel</w:t>
            </w:r>
          </w:p>
        </w:tc>
        <w:tc>
          <w:tcPr/>
          <w:p>
            <w:pPr>
              <w:pStyle w:val="BodyText"/>
            </w:pPr>
            <w:r>
              <w:t xml:space="preserve">aLoT führen, aber</w:t>
            </w:r>
            <w:r>
              <w:t xml:space="preserve"> </w:t>
            </w:r>
            <w:r>
              <w:rPr>
                <w:rStyle w:val="VerbatimChar"/>
              </w:rPr>
              <w:t xml:space="preserve">clinicalSetting</w:t>
            </w:r>
            <w:r>
              <w:t xml:space="preserve"> </w:t>
            </w:r>
            <w:r>
              <w:t xml:space="preserve">codiert (early / advanced-locally / advanced-metastatic) erhalten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Chemoradiotherapie-LoT</w:t>
            </w:r>
            <w:r>
              <w:t xml:space="preserve"> </w:t>
            </w:r>
            <w:r>
              <w:t xml:space="preserve">abhängig von SACT-Dosis und klinischem Urteil</w:t>
            </w:r>
          </w:p>
        </w:tc>
        <w:tc>
          <w:tcPr/>
          <w:p>
            <w:pPr>
              <w:pStyle w:val="BodyText"/>
            </w:pPr>
            <w:r>
              <w:t xml:space="preserve">Im Mindestdatensatz optional als codiertes Kommentar-Feld "CRT included"; explizite Doku im 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vs. Setting</w:t>
            </w:r>
            <w:r>
              <w:t xml:space="preserve"> </w:t>
            </w:r>
            <w:r>
              <w:t xml:space="preserve">entkoppelt – Paper rät zur Setting-Achse als primärer Strukturierung</w:t>
            </w:r>
          </w:p>
        </w:tc>
        <w:tc>
          <w:tcPr/>
          <w:p>
            <w:pPr>
              <w:pStyle w:val="BodyText"/>
            </w:pPr>
            <w:r>
              <w:t xml:space="preserve">Beide Felder erhalten:</w:t>
            </w:r>
            <w:r>
              <w:t xml:space="preserve"> </w:t>
            </w:r>
            <w:r>
              <w:rPr>
                <w:rStyle w:val="VerbatimChar"/>
              </w:rPr>
              <w:t xml:space="preserve">clinicalSetting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treatmentIntent</w:t>
            </w:r>
            <w:r>
              <w:t xml:space="preserve"> </w:t>
            </w:r>
            <w:r>
              <w:t xml:space="preserve">separat, Setting impliziert nicht 1:1 Intent (z. B. palliativer Frühphasen-Einsatz)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</w:t>
            </w:r>
            <w:r>
              <w:t xml:space="preserve"> </w:t>
            </w:r>
            <w:r>
              <w:rPr>
                <w:b/>
                <w:bCs/>
              </w:rPr>
              <w:t xml:space="preserve">FHIR-Profil-Set</w:t>
            </w:r>
            <w:r>
              <w:t xml:space="preserve"> </w:t>
            </w:r>
            <w:r>
              <w:t xml:space="preserve">– EnLiST ist konzeptionell, nicht profiltechnisch</w:t>
            </w:r>
          </w:p>
        </w:tc>
        <w:tc>
          <w:tcPr/>
          <w:p>
            <w:pPr>
              <w:pStyle w:val="BodyText"/>
            </w:pPr>
            <w:r>
              <w:t xml:space="preserve">Eigene Profile:</w:t>
            </w:r>
            <w:r>
              <w:t xml:space="preserve"> </w:t>
            </w:r>
            <w:r>
              <w:rPr>
                <w:rStyle w:val="VerbatimChar"/>
              </w:rPr>
              <w:t xml:space="preserve">OnkoTherapyLine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OnkoTherapyIntent</w:t>
            </w:r>
            <w:r>
              <w:t xml:space="preserve"> </w:t>
            </w:r>
            <w:r>
              <w:t xml:space="preserve">(Extension),</w:t>
            </w:r>
            <w:r>
              <w:t xml:space="preserve"> </w:t>
            </w:r>
            <w:r>
              <w:rPr>
                <w:rStyle w:val="VerbatimChar"/>
              </w:rPr>
              <w:t xml:space="preserve">OnkoClinicalSetting</w:t>
            </w:r>
            <w:r>
              <w:t xml:space="preserve"> </w:t>
            </w:r>
            <w:r>
              <w:t xml:space="preserve">(Extension); CodeSysteme</w:t>
            </w:r>
            <w:r>
              <w:t xml:space="preserve"> </w:t>
            </w:r>
            <w:r>
              <w:rPr>
                <w:rStyle w:val="VerbatimChar"/>
              </w:rPr>
              <w:t xml:space="preserve">onko-lot-setting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onko-treatment-intent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Keine direkte</w:t>
            </w:r>
            <w:r>
              <w:t xml:space="preserve"> </w:t>
            </w:r>
            <w:r>
              <w:rPr>
                <w:b/>
                <w:bCs/>
              </w:rPr>
              <w:t xml:space="preserve">Anbindung an MII KDS</w:t>
            </w:r>
          </w:p>
        </w:tc>
        <w:tc>
          <w:tcPr/>
          <w:p>
            <w:pPr>
              <w:pStyle w:val="BodyText"/>
            </w:pPr>
            <w:r>
              <w:t xml:space="preserve">Mapping-Tabellen: EnLiST</w:t>
            </w:r>
            <w:r>
              <w:t xml:space="preserve"> </w:t>
            </w:r>
            <w:r>
              <w:rPr>
                <w:rStyle w:val="VerbatimChar"/>
              </w:rPr>
              <w:t xml:space="preserve">anticancer_modality</w:t>
            </w:r>
            <w:r>
              <w:t xml:space="preserve"> </w:t>
            </w:r>
            <w:r>
              <w:t xml:space="preserve">× MII-Medikation; EnLiST</w:t>
            </w:r>
            <w:r>
              <w:t xml:space="preserve"> </w:t>
            </w:r>
            <w:r>
              <w:rPr>
                <w:rStyle w:val="VerbatimChar"/>
              </w:rPr>
              <w:t xml:space="preserve">cPD</w:t>
            </w:r>
            <w:r>
              <w:t xml:space="preserve"> </w:t>
            </w:r>
            <w:r>
              <w:t xml:space="preserve">× oncoBox/oBDS-Progression;</w:t>
            </w:r>
            <w:r>
              <w:t xml:space="preserve"> </w:t>
            </w:r>
            <w:r>
              <w:rPr>
                <w:rStyle w:val="VerbatimChar"/>
              </w:rPr>
              <w:t xml:space="preserve">stop_reason</w:t>
            </w:r>
            <w:r>
              <w:t xml:space="preserve"> </w:t>
            </w:r>
            <w:r>
              <w:t xml:space="preserve">× oBDS-Therapieendegrund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</w:t>
            </w:r>
            <w:r>
              <w:t xml:space="preserve"> </w:t>
            </w:r>
            <w:r>
              <w:rPr>
                <w:b/>
                <w:bCs/>
              </w:rPr>
              <w:t xml:space="preserve">Transformationsereignisse</w:t>
            </w:r>
            <w:r>
              <w:t xml:space="preserve"> </w:t>
            </w:r>
            <w:r>
              <w:t xml:space="preserve">(auch in soliden Tumoren relevant, z. B. NSCLC → SCLC unter EGFR-TKI)</w:t>
            </w:r>
          </w:p>
        </w:tc>
        <w:tc>
          <w:tcPr/>
          <w:p>
            <w:pPr>
              <w:pStyle w:val="BodyText"/>
            </w:pPr>
            <w:r>
              <w:t xml:space="preserve">Eigenes Event-Konzept analog zur Hämatologie-Adaption; ValueSet</w:t>
            </w:r>
            <w:r>
              <w:t xml:space="preserve"> </w:t>
            </w:r>
            <w:r>
              <w:rPr>
                <w:rStyle w:val="VerbatimChar"/>
              </w:rPr>
              <w:t xml:space="preserve">onko-transformation-event</w:t>
            </w:r>
          </w:p>
        </w:tc>
      </w:tr>
    </w:tbl>
    <w:bookmarkEnd w:id="72"/>
    <w:bookmarkStart w:id="73" w:name="Xce3eda729c5535a83c67223428753a06e80482d"/>
    <w:p>
      <w:pPr>
        <w:pStyle w:val="Heading3"/>
      </w:pPr>
      <w:r>
        <w:t xml:space="preserve">5. Direkt übernehmbare Elemente</w:t>
      </w:r>
    </w:p>
    <w:p>
      <w:pPr>
        <w:pStyle w:val="BodyText"/>
        <w:numPr>
          <w:ilvl w:val="0"/>
          <w:numId w:val="1022"/>
        </w:numPr>
      </w:pPr>
      <w:r>
        <w:rPr>
          <w:b/>
          <w:bCs/>
        </w:rPr>
        <w:t xml:space="preserve">X.Y-Notation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[eLoT + aLoT] + iLoT</w:t>
      </w:r>
      <w:r>
        <w:t xml:space="preserve">-Gesamtdarstellung – als computable Repräsentation in einem</w:t>
      </w:r>
      <w:r>
        <w:t xml:space="preserve"> </w:t>
      </w:r>
      <w:r>
        <w:rPr>
          <w:rStyle w:val="VerbatimChar"/>
        </w:rPr>
        <w:t xml:space="preserve">OnkoLineOfTherapy</w:t>
      </w:r>
      <w:r>
        <w:t xml:space="preserve">-Profil mit Slot-basierten Komponenten</w:t>
      </w:r>
    </w:p>
    <w:p>
      <w:pPr>
        <w:pStyle w:val="BodyText"/>
        <w:numPr>
          <w:ilvl w:val="0"/>
          <w:numId w:val="1022"/>
        </w:numPr>
      </w:pPr>
      <w:r>
        <w:rPr>
          <w:b/>
          <w:bCs/>
        </w:rPr>
        <w:t xml:space="preserve">Drei-Änderungstypen-Logik</w:t>
      </w:r>
      <w:r>
        <w:t xml:space="preserve"> </w:t>
      </w:r>
      <w:r>
        <w:t xml:space="preserve">(New/Modified/Same) – ValueSet</w:t>
      </w:r>
      <w:r>
        <w:t xml:space="preserve"> </w:t>
      </w:r>
      <w:r>
        <w:rPr>
          <w:rStyle w:val="VerbatimChar"/>
        </w:rPr>
        <w:t xml:space="preserve">onko-lot-change-type</w:t>
      </w:r>
      <w:r>
        <w:t xml:space="preserve"> </w:t>
      </w:r>
      <w:r>
        <w:t xml:space="preserve">und Pflichtfeld</w:t>
      </w:r>
    </w:p>
    <w:p>
      <w:pPr>
        <w:pStyle w:val="BodyText"/>
        <w:numPr>
          <w:ilvl w:val="0"/>
          <w:numId w:val="1022"/>
        </w:numPr>
      </w:pPr>
      <w:r>
        <w:rPr>
          <w:b/>
          <w:bCs/>
        </w:rPr>
        <w:t xml:space="preserve">Mindestdatensatz mit 10 Items</w:t>
      </w:r>
      <w:r>
        <w:t xml:space="preserve"> </w:t>
      </w:r>
      <w:r>
        <w:t xml:space="preserve">als MustSupport-Set des LoT-Profils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Vier Konsens-Leitlinien</w:t>
      </w:r>
      <w:r>
        <w:t xml:space="preserve"> </w:t>
      </w:r>
      <w:r>
        <w:t xml:space="preserve">als Invariants/Guidance im IG (z. B.</w:t>
      </w:r>
      <w:r>
        <w:t xml:space="preserve"> </w:t>
      </w:r>
      <w:r>
        <w:rPr>
          <w:rStyle w:val="VerbatimChar"/>
        </w:rPr>
        <w:t xml:space="preserve">inv-onko-1</w:t>
      </w:r>
      <w:r>
        <w:t xml:space="preserve">: "Re-Challenge nach Therapiepause ohne dazwischenliegendes anderes Regime ergibt Same LoT")</w:t>
      </w:r>
    </w:p>
    <w:p>
      <w:pPr>
        <w:pStyle w:val="BodyText"/>
        <w:numPr>
          <w:ilvl w:val="0"/>
          <w:numId w:val="1022"/>
        </w:numPr>
      </w:pPr>
      <w:r>
        <w:rPr>
          <w:b/>
          <w:bCs/>
        </w:rPr>
        <w:t xml:space="preserve">SACT-Definition</w:t>
      </w:r>
      <w:r>
        <w:t xml:space="preserve"> </w:t>
      </w:r>
      <w:r>
        <w:t xml:space="preserve">mit acht Subkategorien (zytotoxisch, endokrin, zielgerichtet, Immuntherapie, Zell-/Gentherapie, Krebsvakzine, Radiopharmaka, Sonstige) – CodeSystem</w:t>
      </w:r>
      <w:r>
        <w:t xml:space="preserve"> </w:t>
      </w:r>
      <w:r>
        <w:rPr>
          <w:rStyle w:val="VerbatimChar"/>
        </w:rPr>
        <w:t xml:space="preserve">onko-anticancer-modality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iLoT-Konzept</w:t>
      </w:r>
      <w:r>
        <w:t xml:space="preserve"> </w:t>
      </w:r>
      <w:r>
        <w:t xml:space="preserve">als Differenzierungsachse für Studienteilnahme – essenziell für RWD-Auswertbarkeit gemischter Real-World-/Studien-Verläufe</w:t>
      </w:r>
    </w:p>
    <w:p>
      <w:pPr>
        <w:pStyle w:val="BodyText"/>
        <w:numPr>
          <w:ilvl w:val="0"/>
          <w:numId w:val="1022"/>
        </w:numPr>
      </w:pPr>
      <w:r>
        <w:rPr>
          <w:b/>
          <w:bCs/>
        </w:rPr>
        <w:t xml:space="preserve">Trennung Intent / Setting / LoT-Zählung</w:t>
      </w:r>
      <w:r>
        <w:t xml:space="preserve"> </w:t>
      </w:r>
      <w:r>
        <w:t xml:space="preserve">als drei orthogonale Achsen – auch als Kommunikationsmuster für Workshop 1</w:t>
      </w:r>
    </w:p>
    <w:bookmarkEnd w:id="73"/>
    <w:bookmarkStart w:id="74" w:name="X815bdc9b99b54fb8b1464dab53c95a1d947a38d"/>
    <w:p>
      <w:pPr>
        <w:pStyle w:val="Heading3"/>
      </w:pPr>
      <w:r>
        <w:t xml:space="preserve">6. Fazit: Was wir übernehmen und warum</w:t>
      </w:r>
    </w:p>
    <w:p>
      <w:pPr>
        <w:pStyle w:val="FirstParagraph"/>
      </w:pPr>
      <w:r>
        <w:rPr>
          <w:b/>
          <w:bCs/>
        </w:rPr>
        <w:t xml:space="preserve">Übernehmen: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X.Y-Notation und Drei-Settings-Architektur</w:t>
      </w:r>
      <w:r>
        <w:t xml:space="preserve"> </w:t>
      </w:r>
      <w:r>
        <w:t xml:space="preserve">als zentrale Strukturachse unseres Therapielinien-Konzepts. Begründung: einziger paneuropäischer Delphi-Konsens für solide Tumoren mit hohem Konsensgrad; international anschlussfähig; existierende Alternativen (Saini &amp; Twelves 2021, NHS England, OPTUM Claims, ChemoCare) sind entweder Vorläufer oder kontextlimitiert; mCODE/PCO/IPS adressieren das Problem strukturell nicht.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Mindestdatensatz mit 10 Items</w:t>
      </w:r>
      <w:r>
        <w:t xml:space="preserve"> </w:t>
      </w:r>
      <w:r>
        <w:t xml:space="preserve">als MustSupport-Set. Begründung: 100 %-Konsens-Item-Liste, deckt sich semantisch mit MII-KDS-Medikation und oBDS-Therapie zu ~80 %; die im EnLiST-Mindestdatensatz zusätzlich strukturierten Felder (cPD-Datum, Treatment Intent, Stop-Reason als codiertes Set) sind in der MII teilweise abgedeckt (z. B.</w:t>
      </w:r>
      <w:r>
        <w:t xml:space="preserve"> </w:t>
      </w:r>
      <w:r>
        <w:rPr>
          <w:i/>
          <w:iCs/>
        </w:rPr>
        <w:t xml:space="preserve">SystemtherapieEndeGrund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Procedure.outcome</w:t>
      </w:r>
      <w:r>
        <w:t xml:space="preserve"> </w:t>
      </w:r>
      <w:r>
        <w:t xml:space="preserve">und der Onko-Verlauf), EnLiST aggregiert sie aber auf einer linienübergreifenden Ebene, die in MII bisher fehlt.</w:t>
      </w:r>
    </w:p>
    <w:p>
      <w:pPr>
        <w:pStyle w:val="BodyText"/>
        <w:numPr>
          <w:ilvl w:val="0"/>
          <w:numId w:val="1023"/>
        </w:numPr>
      </w:pPr>
      <w:r>
        <w:rPr>
          <w:b/>
          <w:bCs/>
        </w:rPr>
        <w:t xml:space="preserve">Trennung von Treatment Intent und Clinical Setting</w:t>
      </w:r>
      <w:r>
        <w:t xml:space="preserve"> </w:t>
      </w:r>
      <w:r>
        <w:t xml:space="preserve">als orthogonale Felder. Begründung: für deutsche Versorgung (palliative Frühphasen-Therapie, kurative Intention auch im fortgeschrittenen Setting bei Oligometastasen) ist die 1:1-Kopplung "advanced = palliativ" empirisch falsch; EnLiST entkoppelt sie sauber.</w:t>
      </w:r>
    </w:p>
    <w:p>
      <w:pPr>
        <w:pStyle w:val="BodyText"/>
        <w:numPr>
          <w:ilvl w:val="0"/>
          <w:numId w:val="1023"/>
        </w:numPr>
      </w:pPr>
      <w:r>
        <w:rPr>
          <w:b/>
          <w:bCs/>
        </w:rPr>
        <w:t xml:space="preserve">iLoT-Konzept</w:t>
      </w:r>
      <w:r>
        <w:t xml:space="preserve"> </w:t>
      </w:r>
      <w:r>
        <w:t xml:space="preserve">für Studienteilnahme. Begründung: in deutschen onkologischen Zentren (besonders Comprehensive Cancer Centers, NCTs) ist Studienbeteiligung Versorgungsstandard; ohne iLoT-Trennung wird die Erstattungslogik (Linien-gebundene Zulassung) verfälscht.</w:t>
      </w:r>
    </w:p>
    <w:p>
      <w:pPr>
        <w:pStyle w:val="FirstParagraph"/>
      </w:pPr>
      <w:r>
        <w:rPr>
          <w:b/>
          <w:bCs/>
        </w:rPr>
        <w:t xml:space="preserve">Optional langfristig erweitern (jetzt nicht im Hauptpfad):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Hämatologie-Adaption</w:t>
      </w:r>
      <w:r>
        <w:t xml:space="preserve"> </w:t>
      </w:r>
      <w:r>
        <w:t xml:space="preserve">durch Phasen-Achse statt Setting-Achse. Begründung: hämatologische Patient*innen sind in deutschen Tumorzentren regelmäßig vertreten, aber ein hämatologisches EnLiST-Pendant ist nicht konsensual etabliert (außer Rajkumar 2015 für Multiples Myelom). Ohne Konsens und Evidenz würden wir uns die Spec unnötig erschweren; die Adaption wird daher als langfristige Erweiterung beschrieben, nicht als Pflichtinhalt von LG-03.</w:t>
      </w:r>
    </w:p>
    <w:p>
      <w:pPr>
        <w:pStyle w:val="BodyText"/>
        <w:numPr>
          <w:ilvl w:val="0"/>
          <w:numId w:val="1024"/>
        </w:numPr>
      </w:pPr>
      <w:r>
        <w:rPr>
          <w:b/>
          <w:bCs/>
        </w:rPr>
        <w:t xml:space="preserve">Transformationsereignisse</w:t>
      </w:r>
      <w:r>
        <w:t xml:space="preserve"> </w:t>
      </w:r>
      <w:r>
        <w:t xml:space="preserve">(z. B. NSCLC → SCLC unter EGFR-TKI). Begründung: klinisch relevant, aber tumorspezifisch und ohne breite Standardisierung – als optionale Extension einplanen, nicht als Pflichtfeld.</w:t>
      </w:r>
    </w:p>
    <w:p>
      <w:pPr>
        <w:pStyle w:val="FirstParagraph"/>
      </w:pPr>
      <w:r>
        <w:rPr>
          <w:b/>
          <w:bCs/>
        </w:rPr>
        <w:t xml:space="preserve">Bewusst offen halten: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Locally-advanced-Setting:</w:t>
      </w:r>
      <w:r>
        <w:t xml:space="preserve"> </w:t>
      </w:r>
      <w:r>
        <w:t xml:space="preserve">EnLiST führt es pauschal unter aLoT. Wir halten die Setting-Codierung über ein</w:t>
      </w:r>
      <w:r>
        <w:t xml:space="preserve"> </w:t>
      </w:r>
      <w:r>
        <w:rPr>
          <w:rStyle w:val="VerbatimChar"/>
          <w:b/>
          <w:bCs/>
        </w:rPr>
        <w:t xml:space="preserve">extensible</w:t>
      </w:r>
      <w:r>
        <w:rPr>
          <w:b/>
          <w:bCs/>
        </w:rPr>
        <w:t xml:space="preserve"> </w:t>
      </w:r>
      <w:r>
        <w:rPr>
          <w:b/>
          <w:bCs/>
        </w:rPr>
        <w:t xml:space="preserve">oder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preferred</w:t>
      </w:r>
      <w:r>
        <w:rPr>
          <w:b/>
          <w:bCs/>
        </w:rPr>
        <w:t xml:space="preserve"> </w:t>
      </w:r>
      <w:r>
        <w:rPr>
          <w:b/>
          <w:bCs/>
        </w:rPr>
        <w:t xml:space="preserve">Binding</w:t>
      </w:r>
      <w:r>
        <w:t xml:space="preserve"> </w:t>
      </w:r>
      <w:r>
        <w:t xml:space="preserve">offen, damit tumorspezifische Granularität (early / advanced-locally / advanced-metastatic) als Option möglich bleibt, ohne die Entscheidung im Hauptpfad zu erzwingen. Die finale Bindungsstärke ist mit der onkologischen Fachkommission abzustimmen.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Reine Konzeptebene:</w:t>
      </w:r>
      <w:r>
        <w:t xml:space="preserve"> </w:t>
      </w:r>
      <w:r>
        <w:t xml:space="preserve">wir liefern Profile, ValueSets, Extensions, Invariants in FHIR; das ist unser Mehrwert gegenüber dem rein konzeptionellen EnLiST.</w:t>
      </w:r>
    </w:p>
    <w:bookmarkEnd w:id="74"/>
    <w:bookmarkStart w:id="75" w:name="Xc1f7827676982f516dd5272934e90ff2967a255"/>
    <w:p>
      <w:pPr>
        <w:pStyle w:val="Heading3"/>
      </w:pPr>
      <w:r>
        <w:t xml:space="preserve">7. Vor LG-01-Release zu verifizieren</w:t>
      </w:r>
    </w:p>
    <w:p>
      <w:pPr>
        <w:pStyle w:val="BodyText"/>
        <w:numPr>
          <w:ilvl w:val="0"/>
          <w:numId w:val="1026"/>
        </w:numPr>
      </w:pPr>
      <w:r>
        <w:rPr>
          <w:b/>
          <w:bCs/>
        </w:rPr>
        <w:t xml:space="preserve">Konformitätsstrategie:</w:t>
      </w:r>
      <w:r>
        <w:t xml:space="preserve"> </w:t>
      </w:r>
      <w:r>
        <w:t xml:space="preserve">EnLiST-Notation strikt oder mit Erweiterungen (Phasenachse Hämatologie, Transformationsevents) – Auswirkung auf internationalen Anschluss klären</w:t>
      </w:r>
    </w:p>
    <w:p>
      <w:pPr>
        <w:pStyle w:val="BodyText"/>
        <w:numPr>
          <w:ilvl w:val="0"/>
          <w:numId w:val="1026"/>
        </w:numPr>
      </w:pPr>
      <w:r>
        <w:rPr>
          <w:b/>
          <w:bCs/>
        </w:rPr>
        <w:t xml:space="preserve">GRADE-Bewertungsangaben</w:t>
      </w:r>
      <w:r>
        <w:t xml:space="preserve"> </w:t>
      </w:r>
      <w:r>
        <w:t xml:space="preserve">(qualityOfEvidence / strengthOfRecommendation) für Anbindung an S3-Leitlinien klären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 des Frameworks:</w:t>
      </w:r>
      <w:r>
        <w:t xml:space="preserve"> </w:t>
      </w:r>
      <w:r>
        <w:t xml:space="preserve">"road testing" durch ESMO 2026–2027 – unsere Spec versionskompatibel zu möglichen Updates halten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Onkologische Fachkommission der KIG</w:t>
      </w:r>
      <w:r>
        <w:t xml:space="preserve"> </w:t>
      </w:r>
      <w:r>
        <w:t xml:space="preserve">einbinden für Validierung der Übertragbarkeit auf deutsche Versorgungsrealität (Konsiliumsärzte, Tumorboard-Strukturen). Verteilung dieses Berichts bzw. einer Kurzfassung über die</w:t>
      </w:r>
      <w:r>
        <w:t xml:space="preserve"> </w:t>
      </w:r>
      <w:r>
        <w:rPr>
          <w:b/>
          <w:bCs/>
        </w:rPr>
        <w:t xml:space="preserve">AG Interoperabilität in der Onkologie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Erhaltungstherapie und CRT:</w:t>
      </w:r>
      <w:r>
        <w:t xml:space="preserve"> </w:t>
      </w:r>
      <w:r>
        <w:t xml:space="preserve">Versorgungspraxis in DE gegen EnLiST-Auslegung spiegeln. EnLiST behandelt prospektiv geplante Erhaltungstherapie als</w:t>
      </w:r>
      <w:r>
        <w:t xml:space="preserve"> </w:t>
      </w:r>
      <w:r>
        <w:rPr>
          <w:i/>
          <w:iCs/>
        </w:rPr>
        <w:t xml:space="preserve">Same LoT</w:t>
      </w:r>
      <w:r>
        <w:t xml:space="preserve"> </w:t>
      </w:r>
      <w:r>
        <w:t xml:space="preserve">(z. B. CDK4/6-Inhibitor-Maintenance, Olaparib-Maintenance, FOLFIRINOX-TNT rectal); das passt für solide Tumoren. Hämatologische Erhaltungs- und Konsolidierungstherapie folgt einer anderen Logik (Induktion–Konsolidierung–Maintenance als eine Linie) und ist außerhalb des Hauptscope.</w:t>
      </w:r>
    </w:p>
    <w:bookmarkEnd w:id="75"/>
    <w:bookmarkStart w:id="76" w:name="Xb97785f6a9eb516be0f0e6b527f2f67c4503fc0"/>
    <w:p>
      <w:pPr>
        <w:pStyle w:val="Heading3"/>
      </w:pPr>
      <w:r>
        <w:t xml:space="preserve">8. Quellen</w:t>
      </w:r>
    </w:p>
    <w:p>
      <w:pPr>
        <w:pStyle w:val="BodyText"/>
        <w:numPr>
          <w:ilvl w:val="0"/>
          <w:numId w:val="1027"/>
        </w:numPr>
      </w:pPr>
      <w:r>
        <w:t xml:space="preserve">Saini KS, Koopman M, Martins-Branco D et al.</w:t>
      </w:r>
      <w:r>
        <w:t xml:space="preserve"> </w:t>
      </w:r>
      <w:r>
        <w:rPr>
          <w:i/>
          <w:iCs/>
        </w:rPr>
        <w:t xml:space="preserve">ESMO adaptation of Lines of Systemic Therapy (EnLiST): a consensus framework for standardising the designation of lines of therapy in solid tumours.</w:t>
      </w:r>
      <w:r>
        <w:t xml:space="preserve"> </w:t>
      </w:r>
      <w:r>
        <w:t xml:space="preserve">Annals of Oncology 2026;37(5):608–623. DOI:</w:t>
      </w:r>
      <w:r>
        <w:t xml:space="preserve"> </w:t>
      </w:r>
      <w:hyperlink r:id="rId68">
        <w:r>
          <w:rPr>
            <w:rStyle w:val="Hyperlink"/>
          </w:rPr>
          <w:t xml:space="preserve">10.1016/j.annonc.2026.02.008</w:t>
        </w:r>
      </w:hyperlink>
    </w:p>
    <w:p>
      <w:pPr>
        <w:pStyle w:val="Compact"/>
        <w:numPr>
          <w:ilvl w:val="0"/>
          <w:numId w:val="1027"/>
        </w:numPr>
      </w:pPr>
      <w:r>
        <w:t xml:space="preserve">Saini KS, Twelves C.</w:t>
      </w:r>
      <w:r>
        <w:t xml:space="preserve"> </w:t>
      </w:r>
      <w:r>
        <w:rPr>
          <w:i/>
          <w:iCs/>
        </w:rPr>
        <w:t xml:space="preserve">Determining lines of therapy in patients with solid cancers: a proposed new systematic and comprehensive framework.</w:t>
      </w:r>
      <w:r>
        <w:t xml:space="preserve"> </w:t>
      </w:r>
      <w:r>
        <w:t xml:space="preserve">Br J Cancer 2021;125(2):155–163. (EnLiST-Vorgänger)</w:t>
      </w:r>
    </w:p>
    <w:p>
      <w:pPr>
        <w:pStyle w:val="Compact"/>
        <w:numPr>
          <w:ilvl w:val="0"/>
          <w:numId w:val="1027"/>
        </w:numPr>
      </w:pPr>
      <w:r>
        <w:t xml:space="preserve">Rajkumar SV, Richardson PG, San Miguel JF.</w:t>
      </w:r>
      <w:r>
        <w:t xml:space="preserve"> </w:t>
      </w:r>
      <w:r>
        <w:rPr>
          <w:i/>
          <w:iCs/>
        </w:rPr>
        <w:t xml:space="preserve">Guidelines for determination of the number of prior lines of therapy in multiple myeloma.</w:t>
      </w:r>
      <w:r>
        <w:t xml:space="preserve"> </w:t>
      </w:r>
      <w:r>
        <w:t xml:space="preserve">Blood 2015;126(7):921–922. (Hämatologie-Vorbild für Multiples Myelom, außerhalb des Hauptscope unserer Spec)</w:t>
      </w:r>
    </w:p>
    <w:bookmarkEnd w:id="76"/>
    <w:bookmarkEnd w:id="77"/>
    <w:bookmarkEnd w:id="78"/>
    <w:bookmarkStart w:id="90" w:name="hl7-cpg-on-fhir-cqf-recommendations"/>
    <w:p>
      <w:pPr>
        <w:pStyle w:val="Heading1"/>
      </w:pPr>
      <w:r>
        <w:t xml:space="preserve">HL7 CPG-on-FHIR (CQF Recommendations)</w:t>
      </w:r>
    </w:p>
    <w:bookmarkStart w:id="89" w:name="X33fad4080f326cddc968367c0abd1febf290377"/>
    <w:p>
      <w:pPr>
        <w:pStyle w:val="Heading2"/>
      </w:pPr>
      <w:r>
        <w:t xml:space="preserve">HL7 CPG-on-FHIR – Analysebaustein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Quelle:</w:t>
      </w:r>
      <w:r>
        <w:t xml:space="preserve"> </w:t>
      </w:r>
      <w:r>
        <w:t xml:space="preserve">HL7</w:t>
      </w:r>
      <w:r>
        <w:t xml:space="preserve"> </w:t>
      </w:r>
      <w:r>
        <w:rPr>
          <w:i/>
          <w:iCs/>
        </w:rPr>
        <w:t xml:space="preserve">Clinical Practice Guidelines (CPG-on-FHIR) Implementation Guide</w:t>
      </w:r>
      <w:r>
        <w:t xml:space="preserve"> </w:t>
      </w:r>
      <w:r>
        <w:t xml:space="preserve">v2.0.0 STU2 (CI-Build Mai 2026; Package</w:t>
      </w:r>
      <w:r>
        <w:t xml:space="preserve"> </w:t>
      </w:r>
      <w:r>
        <w:rPr>
          <w:rStyle w:val="VerbatimChar"/>
        </w:rPr>
        <w:t xml:space="preserve">hl7.fhir.uv.cpg#2.0.0</w:t>
      </w:r>
      <w:r>
        <w:t xml:space="preserve">, FHIR R4). Maintained durch HL7 Clinical Decision Support / Clinical Quality Framework. Untersuchte Seiten:</w:t>
      </w:r>
      <w:r>
        <w:t xml:space="preserve"> </w:t>
      </w:r>
      <w:r>
        <w:rPr>
          <w:i/>
          <w:iCs/>
        </w:rPr>
        <w:t xml:space="preserve">Methodology</w:t>
      </w:r>
      <w:r>
        <w:t xml:space="preserve">,</w:t>
      </w:r>
      <w:r>
        <w:t xml:space="preserve"> </w:t>
      </w:r>
      <w:r>
        <w:rPr>
          <w:i/>
          <w:iCs/>
        </w:rPr>
        <w:t xml:space="preserve">Profiles</w:t>
      </w:r>
      <w:r>
        <w:t xml:space="preserve">. URLs:</w:t>
      </w:r>
      <w:r>
        <w:t xml:space="preserve"> </w:t>
      </w:r>
      <w:hyperlink r:id="rId79">
        <w:r>
          <w:rPr>
            <w:rStyle w:val="Hyperlink"/>
          </w:rPr>
          <w:t xml:space="preserve">build.fhir.org/ig/HL7/cqf-recommendations/en/methodology.html</w:t>
        </w:r>
      </w:hyperlink>
      <w:r>
        <w:t xml:space="preserve"> </w:t>
      </w:r>
      <w:r>
        <w:t xml:space="preserve">·</w:t>
      </w:r>
      <w:r>
        <w:t xml:space="preserve"> </w:t>
      </w:r>
      <w:hyperlink r:id="rId80">
        <w:r>
          <w:rPr>
            <w:rStyle w:val="Hyperlink"/>
          </w:rPr>
          <w:t xml:space="preserve">build.fhir.org/ig/HL7/cqf-recommendations/en/profiles.html</w:t>
        </w:r>
      </w:hyperlink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STU2, methodisch ausgereift, in Produktion u. a. bei CDC Opioid und WHO Antenatal Care.</w:t>
      </w:r>
    </w:p>
    <w:bookmarkStart w:id="81" w:name="X8966426ed3167183940d69426e1f59c9edf241f"/>
    <w:p>
      <w:pPr>
        <w:pStyle w:val="Heading3"/>
      </w:pPr>
      <w:r>
        <w:t xml:space="preserve">1. Übertragbares Muster: Referenzierbare Leitlinieninhalte</w:t>
      </w:r>
    </w:p>
    <w:p>
      <w:pPr>
        <w:pStyle w:val="FirstParagraph"/>
      </w:pPr>
      <w:r>
        <w:t xml:space="preserve">CPG-on-FHIR ist für unsere Spec primär als</w:t>
      </w:r>
      <w:r>
        <w:t xml:space="preserve"> </w:t>
      </w:r>
      <w:r>
        <w:rPr>
          <w:b/>
          <w:bCs/>
        </w:rPr>
        <w:t xml:space="preserve">Referenzrahmen für Leitlinieninhalte</w:t>
      </w:r>
      <w:r>
        <w:t xml:space="preserve"> </w:t>
      </w:r>
      <w:r>
        <w:t xml:space="preserve">relevant. Statt der vollen computable Tiefe (CQL-Bibliotheken, ausführbare Pathway-Engine) nutzen wir die Profil- und Verlinkungslogik, um existierende Leitlinien – die parallel über AWMF erschlossen werden – strukturiert in unseren Verläufen zugänglich zu machen.</w:t>
      </w:r>
    </w:p>
    <w:p>
      <w:pPr>
        <w:pStyle w:val="BodyText"/>
      </w:pPr>
      <w:r>
        <w:t xml:space="preserve">Die zentralen übertragbaren Elemente sind: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Reasoning-Kernressourcen: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(CQL-Logik bei Bedarf),</w:t>
      </w:r>
      <w:r>
        <w:t xml:space="preserve"> </w:t>
      </w:r>
      <w:r>
        <w:rPr>
          <w:rStyle w:val="VerbatimChar"/>
        </w:rPr>
        <w:t xml:space="preserve">ActivityDefinition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Drei PlanDefinition-Anwendungen:</w:t>
      </w:r>
      <w:r>
        <w:t xml:space="preserve"> </w:t>
      </w:r>
      <w:r>
        <w:rPr>
          <w:rStyle w:val="VerbatimChar"/>
        </w:rPr>
        <w:t xml:space="preserve">CPGRecommendationDefinition</w:t>
      </w:r>
      <w:r>
        <w:t xml:space="preserve"> </w:t>
      </w:r>
      <w:r>
        <w:t xml:space="preserve">(Event-Condition-Action-Regel),</w:t>
      </w:r>
      <w:r>
        <w:t xml:space="preserve"> </w:t>
      </w:r>
      <w:r>
        <w:rPr>
          <w:rStyle w:val="VerbatimChar"/>
        </w:rPr>
        <w:t xml:space="preserve">CPGStrategyDefinition</w:t>
      </w:r>
      <w:r>
        <w:t xml:space="preserve"> </w:t>
      </w:r>
      <w:r>
        <w:t xml:space="preserve">(sequenzierte Aktivitäten),</w:t>
      </w:r>
      <w:r>
        <w:t xml:space="preserve"> </w:t>
      </w:r>
      <w:r>
        <w:rPr>
          <w:rStyle w:val="VerbatimChar"/>
        </w:rPr>
        <w:t xml:space="preserve">CPGPathwayDefinition</w:t>
      </w:r>
      <w:r>
        <w:t xml:space="preserve"> </w:t>
      </w:r>
      <w:r>
        <w:t xml:space="preserve">(längsschnittliche Orchestrierung).</w:t>
      </w:r>
    </w:p>
    <w:p>
      <w:pPr>
        <w:pStyle w:val="BodyText"/>
        <w:numPr>
          <w:ilvl w:val="0"/>
          <w:numId w:val="1028"/>
        </w:numPr>
      </w:pPr>
      <w:r>
        <w:rPr>
          <w:b/>
          <w:bCs/>
        </w:rPr>
        <w:t xml:space="preserve">Aktivitäts-Workflow Definition → Request → Event:</w:t>
      </w:r>
      <w:r>
        <w:t xml:space="preserve"> </w:t>
      </w:r>
      <w:r>
        <w:t xml:space="preserve">Pro Aktivitätstyp je ein Definitions-, Request- und Event-Profil mit</w:t>
      </w:r>
      <w:r>
        <w:t xml:space="preserve"> </w:t>
      </w:r>
      <w:r>
        <w:rPr>
          <w:rStyle w:val="VerbatimChar"/>
        </w:rPr>
        <w:t xml:space="preserve">CPG</w:t>
      </w:r>
      <w:r>
        <w:t xml:space="preserve">-Präfix; Verknüpfung über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. Damit wird</w:t>
      </w:r>
      <w:r>
        <w:t xml:space="preserve"> </w:t>
      </w:r>
      <w:r>
        <w:rPr>
          <w:i/>
          <w:iCs/>
        </w:rPr>
        <w:t xml:space="preserve">Soll</w:t>
      </w:r>
      <w:r>
        <w:t xml:space="preserve"> </w:t>
      </w:r>
      <w:r>
        <w:t xml:space="preserve">(Empfehlung) vom</w:t>
      </w:r>
      <w:r>
        <w:t xml:space="preserve"> </w:t>
      </w:r>
      <w:r>
        <w:rPr>
          <w:i/>
          <w:iCs/>
        </w:rPr>
        <w:t xml:space="preserve">Ist</w:t>
      </w:r>
      <w:r>
        <w:t xml:space="preserve"> </w:t>
      </w:r>
      <w:r>
        <w:t xml:space="preserve">(verordnete bzw. verabreichte Therapie) sauber getrennt.</w:t>
      </w:r>
    </w:p>
    <w:p>
      <w:pPr>
        <w:pStyle w:val="BodyText"/>
        <w:numPr>
          <w:ilvl w:val="0"/>
          <w:numId w:val="1028"/>
        </w:numPr>
      </w:pPr>
      <w:r>
        <w:rPr>
          <w:rStyle w:val="VerbatimChar"/>
          <w:b/>
          <w:bCs/>
        </w:rPr>
        <w:t xml:space="preserve">relatedArtifact</w:t>
      </w:r>
      <w:r>
        <w:rPr>
          <w:b/>
          <w:bCs/>
        </w:rPr>
        <w:t xml:space="preserve"> </w:t>
      </w:r>
      <w:r>
        <w:rPr>
          <w:b/>
          <w:bCs/>
        </w:rPr>
        <w:t xml:space="preserve">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instantiatesCanonical</w:t>
      </w:r>
      <w:r>
        <w:t xml:space="preserve"> </w:t>
      </w:r>
      <w:r>
        <w:t xml:space="preserve">als Verlinkungs-Mechanik zu normativen Leitlinienquellen – der Kernhebel für unsere "Verweisbild"-Logik.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Optionale Bewertungs-Extensions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qualityOfEvidence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strengthOfRecommendation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directionOfRecommendation</w:t>
      </w:r>
      <w:r>
        <w:t xml:space="preserve">); für die deutsche Versorgung referenzieren wir primär die</w:t>
      </w:r>
      <w:r>
        <w:t xml:space="preserve"> </w:t>
      </w:r>
      <w:r>
        <w:rPr>
          <w:b/>
          <w:bCs/>
        </w:rPr>
        <w:t xml:space="preserve">S3-Leitlinien</w:t>
      </w:r>
      <w:r>
        <w:t xml:space="preserve"> </w:t>
      </w:r>
      <w:r>
        <w:t xml:space="preserve">mit ihrem AWMF-Bewertungsschema; Mapping auf ESMO und weitere Evidenzsysteme kann später ergänzt werden, ist aber für die Erstversion nicht zwingend.</w:t>
      </w:r>
    </w:p>
    <w:bookmarkEnd w:id="81"/>
    <w:bookmarkStart w:id="82" w:name="X4b0189a045b818319ef0a60851e9538395d61e0"/>
    <w:p>
      <w:pPr>
        <w:pStyle w:val="Heading3"/>
      </w:pPr>
      <w:r>
        <w:t xml:space="preserve">2. Anwendungsmuster: Leitlinienkonformität vs. Abweichung</w:t>
      </w:r>
    </w:p>
    <w:p>
      <w:pPr>
        <w:pStyle w:val="FirstParagraph"/>
      </w:pPr>
      <w:r>
        <w:t xml:space="preserve">In unserer Spec wird CPG-on-FHIR überall dort eingesetzt, wo</w:t>
      </w:r>
      <w:r>
        <w:t xml:space="preserve"> </w:t>
      </w:r>
      <w:r>
        <w:rPr>
          <w:b/>
          <w:bCs/>
        </w:rPr>
        <w:t xml:space="preserve">eine referenzierbare Leitlinienempfehlung existiert</w:t>
      </w:r>
      <w:r>
        <w:t xml:space="preserve">. Liegt sie nicht vor oder weicht der konkrete Fall davon ab – etwa bei</w:t>
      </w:r>
      <w:r>
        <w:t xml:space="preserve"> </w:t>
      </w:r>
      <w:r>
        <w:rPr>
          <w:i/>
          <w:iCs/>
        </w:rPr>
        <w:t xml:space="preserve">patientenseitiger Abweichung</w:t>
      </w:r>
      <w:r>
        <w:t xml:space="preserve"> </w:t>
      </w:r>
      <w:r>
        <w:t xml:space="preserve">oder</w:t>
      </w:r>
      <w:r>
        <w:t xml:space="preserve"> </w:t>
      </w:r>
      <w:r>
        <w:rPr>
          <w:i/>
          <w:iCs/>
        </w:rPr>
        <w:t xml:space="preserve">Shared Decision Making</w:t>
      </w:r>
      <w:r>
        <w:t xml:space="preserve"> </w:t>
      </w:r>
      <w:r>
        <w:t xml:space="preserve">– übernimmt die CarePlan/Goal-Logik (siehe IPS/MCC/PCO-Bausteine) die ausführliche Beschreibung, ggf. mit eigenen Evidenzangaben.</w:t>
      </w:r>
    </w:p>
    <w:p>
      <w:pPr>
        <w:pStyle w:val="BodyText"/>
      </w:pPr>
      <w:r>
        <w:t xml:space="preserve">Diese Asymmetrie spiegelt die Versorgungsrealität (15–30 % strukturierte Abweichung nach WiZen-, NCCN- und mCRC-AIO-Daten):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Modellierung</w:t>
            </w:r>
          </w:p>
        </w:tc>
        <w:tc>
          <w:tcPr/>
          <w:p>
            <w:pPr>
              <w:pStyle w:val="BodyText"/>
            </w:pPr>
            <w:r>
              <w:t xml:space="preserve">Visualisierung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Leitlinienkonform</w:t>
            </w:r>
          </w:p>
        </w:tc>
        <w:tc>
          <w:tcPr/>
          <w:p>
            <w:pPr>
              <w:pStyle w:val="BodyText"/>
            </w:pPr>
            <w:r>
              <w:t xml:space="preserve">Verweis (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) auf</w:t>
            </w:r>
            <w:r>
              <w:t xml:space="preserve"> </w:t>
            </w:r>
            <w:r>
              <w:rPr>
                <w:rStyle w:val="VerbatimChar"/>
              </w:rPr>
              <w:t xml:space="preserve">CPGRecommendationDefinition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CPGPathwayDefinition</w:t>
            </w:r>
          </w:p>
        </w:tc>
        <w:tc>
          <w:tcPr/>
          <w:p>
            <w:pPr>
              <w:pStyle w:val="BodyText"/>
            </w:pPr>
            <w:r>
              <w:t xml:space="preserve">Kompakt: "folgt S3-Leitlinie X, Empfehlung Y"</w:t>
            </w:r>
          </w:p>
        </w:tc>
      </w:tr>
      <w:tr>
        <w:tc>
          <w:tcPr/>
          <w:p>
            <w:pPr>
              <w:pStyle w:val="BodyText"/>
            </w:pPr>
            <w:r>
              <w:t xml:space="preserve">Bewusste Abweichung (Präferenz, Komorbidität, Studienteilnahme)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mit eigener Beschreibung;</w:t>
            </w:r>
            <w:r>
              <w:t xml:space="preserve"> 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 </w:t>
            </w:r>
            <w:r>
              <w:t xml:space="preserve">bleibt als "abgewichen von" sichtbar</w:t>
            </w:r>
          </w:p>
        </w:tc>
        <w:tc>
          <w:tcPr/>
          <w:p>
            <w:pPr>
              <w:pStyle w:val="BodyText"/>
            </w:pPr>
            <w:r>
              <w:t xml:space="preserve">Parallele Spur mit 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Unbewusste Abweichung (Versorgungsdrift)</w:t>
            </w:r>
          </w:p>
        </w:tc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  <w:r>
              <w:t xml:space="preserve">-Flag</w:t>
            </w:r>
          </w:p>
        </w:tc>
        <w:tc>
          <w:tcPr/>
          <w:p>
            <w:pPr>
              <w:pStyle w:val="BodyText"/>
            </w:pPr>
            <w:r>
              <w:t xml:space="preserve">Differenz sichtbar, Audit-Anker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Kontraindizierte Empfehlung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CPGCarePlan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CPGFlag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CPGRecordDetectedIssueTask</w:t>
            </w:r>
            <w:r>
              <w:t xml:space="preserve"> </w:t>
            </w:r>
            <w:r>
              <w:t xml:space="preserve">mit Begründung</w:t>
            </w:r>
          </w:p>
        </w:tc>
        <w:tc>
          <w:tcPr/>
          <w:p>
            <w:pPr>
              <w:pStyle w:val="BodyText"/>
            </w:pPr>
            <w:r>
              <w:t xml:space="preserve">Empfehlung explizit als "nicht angewandt – Kontraindikation"</w:t>
            </w:r>
          </w:p>
        </w:tc>
      </w:tr>
    </w:tbl>
    <w:bookmarkEnd w:id="82"/>
    <w:bookmarkStart w:id="83" w:name="X75942e91da74dc03af9b02fad0bb9c4be2f265a"/>
    <w:p>
      <w:pPr>
        <w:pStyle w:val="Heading3"/>
      </w:pPr>
      <w:r>
        <w:t xml:space="preserve">3. Lücken in CPG-on-FHIR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Lücke / Designentscheidung</w:t>
            </w:r>
          </w:p>
        </w:tc>
        <w:tc>
          <w:tcPr/>
          <w:p>
            <w:pPr>
              <w:pStyle w:val="BodyText"/>
            </w:pPr>
            <w:r>
              <w:t xml:space="preserve">Lösungsansatz für unsere Spec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CPG-Personas / Activity Type / Common Process CodeSysteme</w:t>
            </w:r>
            <w:r>
              <w:t xml:space="preserve"> </w:t>
            </w:r>
            <w:r>
              <w:t xml:space="preserve">sind international gehalten (US-/CDC-/WHO-zentriert)</w:t>
            </w:r>
          </w:p>
        </w:tc>
        <w:tc>
          <w:tcPr/>
          <w:p>
            <w:pPr>
              <w:pStyle w:val="Compact"/>
            </w:pPr>
            <w:r>
              <w:t xml:space="preserve">Eigene CodeSysteme</w:t>
            </w:r>
            <w:r>
              <w:t xml:space="preserve"> </w:t>
            </w:r>
            <w:r>
              <w:rPr>
                <w:rStyle w:val="VerbatimChar"/>
              </w:rPr>
              <w:t xml:space="preserve">onko-personas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onko-activity-type</w:t>
            </w:r>
            <w:r>
              <w:t xml:space="preserve"> </w:t>
            </w:r>
            <w:r>
              <w:t xml:space="preserve">ableiten; Mapping-Tabelle auf CPG-Common erstellen; bei generischen Konzepten direkt CPG-Common nutzen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Kein Bewertungssystem vorgeschrieben</w:t>
            </w:r>
          </w:p>
        </w:tc>
        <w:tc>
          <w:tcPr/>
          <w:p>
            <w:pPr>
              <w:pStyle w:val="Compact"/>
            </w:pPr>
            <w:r>
              <w:t xml:space="preserve">Primärbezug</w:t>
            </w:r>
            <w:r>
              <w:t xml:space="preserve"> </w:t>
            </w:r>
            <w:r>
              <w:rPr>
                <w:b/>
                <w:bCs/>
              </w:rPr>
              <w:t xml:space="preserve">S3-Leitlinien (AWMF)</w:t>
            </w:r>
            <w:r>
              <w:t xml:space="preserve">; optional über ConceptMap auf GRADE und ESMO Magnitude of Clinical Benefit Scale (MCBS) abbildbar – nicht im Hauptpfad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IPS als Interop-Basis</w:t>
            </w:r>
            <w:r>
              <w:t xml:space="preserve"> </w:t>
            </w:r>
            <w:r>
              <w:t xml:space="preserve">ist im CPG-IG empfohlen, aber unvollständig</w:t>
            </w:r>
          </w:p>
        </w:tc>
        <w:tc>
          <w:tcPr/>
          <w:p>
            <w:pPr>
              <w:pStyle w:val="BodyText"/>
            </w:pPr>
            <w:r>
              <w:t xml:space="preserve">Für unsere Spec</w:t>
            </w:r>
            <w:r>
              <w:t xml:space="preserve"> </w:t>
            </w:r>
            <w:r>
              <w:rPr>
                <w:b/>
                <w:bCs/>
              </w:rPr>
              <w:t xml:space="preserve">MII KDS-Onkologie</w:t>
            </w:r>
            <w:r>
              <w:t xml:space="preserve"> </w:t>
            </w:r>
            <w:r>
              <w:t xml:space="preserve">als primärer Interop-Basis; Mapping auf IPS/EPS für EHDS-Anschluss separat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MDT-Logik nicht explizit modelliert</w:t>
            </w:r>
            <w:r>
              <w:t xml:space="preserve"> </w:t>
            </w:r>
            <w:r>
              <w:t xml:space="preserve">– kein "Tumorboard-Entscheidung als Pathway-Knoten"-Pattern</w:t>
            </w:r>
          </w:p>
        </w:tc>
        <w:tc>
          <w:tcPr/>
          <w:p>
            <w:pPr>
              <w:pStyle w:val="Compact"/>
            </w:pPr>
            <w:r>
              <w:t xml:space="preserve">Eigene</w:t>
            </w:r>
            <w:r>
              <w:t xml:space="preserve"> </w:t>
            </w:r>
            <w:r>
              <w:rPr>
                <w:rStyle w:val="VerbatimChar"/>
              </w:rPr>
              <w:t xml:space="preserve">OnkoTumorboardDecision</w:t>
            </w:r>
            <w:r>
              <w:t xml:space="preserve">-Aktivität (auf</w:t>
            </w:r>
            <w:r>
              <w:t xml:space="preserve"> </w:t>
            </w:r>
            <w:r>
              <w:rPr>
                <w:rStyle w:val="VerbatimChar"/>
              </w:rPr>
              <w:t xml:space="preserve">CPGServiceRequestActivity</w:t>
            </w:r>
            <w:r>
              <w:t xml:space="preserve"> </w:t>
            </w:r>
            <w:r>
              <w:t xml:space="preserve">basierend) mit</w:t>
            </w:r>
            <w:r>
              <w:t xml:space="preserve"> </w:t>
            </w:r>
            <w:r>
              <w:rPr>
                <w:rStyle w:val="VerbatimChar"/>
              </w:rPr>
              <w:t xml:space="preserve">OnkoClinicalImpression</w:t>
            </w:r>
            <w:r>
              <w:t xml:space="preserve"> </w:t>
            </w:r>
            <w:r>
              <w:t xml:space="preserve">als Event; Molekulares Tumorboard als Sonderfall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CarePlan-Detail bei Abweichung</w:t>
            </w:r>
            <w:r>
              <w:t xml:space="preserve"> </w:t>
            </w:r>
            <w:r>
              <w:t xml:space="preserve">ist im IG nur skizziert, nicht als Pflicht-Pattern ausformuliert</w:t>
            </w:r>
          </w:p>
        </w:tc>
        <w:tc>
          <w:tcPr/>
          <w:p>
            <w:pPr>
              <w:pStyle w:val="Compact"/>
            </w:pPr>
            <w:r>
              <w:t xml:space="preserve">Pflicht-Pattern in unserer Spec: bei Abweichung von einer referenzierten Recommendation MUSS ein</w:t>
            </w:r>
            <w:r>
              <w:t xml:space="preserve"> </w:t>
            </w:r>
            <w:r>
              <w:rPr>
                <w:rStyle w:val="VerbatimChar"/>
              </w:rPr>
              <w:t xml:space="preserve">OnkoCarePlan</w:t>
            </w:r>
            <w:r>
              <w:t xml:space="preserve">-Detail mit codiertem</w:t>
            </w:r>
            <w:r>
              <w:t xml:space="preserve"> </w:t>
            </w:r>
            <w:r>
              <w:rPr>
                <w:rStyle w:val="VerbatimChar"/>
              </w:rPr>
              <w:t xml:space="preserve">OnkoDetectedIssue</w:t>
            </w:r>
            <w:r>
              <w:t xml:space="preserve"> </w:t>
            </w:r>
            <w:r>
              <w:t xml:space="preserve">(deviation-reason) hinterlegt werden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Versions-Pflege</w:t>
            </w:r>
            <w:r>
              <w:t xml:space="preserve"> </w:t>
            </w:r>
            <w:r>
              <w:t xml:space="preserve">zwischen Leitlinien-Update und IG-Release ist Trägerverantwortung – kein Standardprozess</w:t>
            </w:r>
          </w:p>
        </w:tc>
        <w:tc>
          <w:tcPr/>
          <w:p>
            <w:pPr>
              <w:pStyle w:val="BodyText"/>
            </w:pPr>
            <w:r>
              <w:t xml:space="preserve">KIG-Onko-Pflegeprozess definieren: Versionierung an S3-Leitlinien-Updates des Leitlinienprogramms Onkologie gekoppelt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Mapping ist Pflicht</w:t>
            </w:r>
            <w:r>
              <w:t xml:space="preserve"> </w:t>
            </w:r>
            <w:r>
              <w:t xml:space="preserve">– IPS und andere Standards nie vollständig</w:t>
            </w:r>
          </w:p>
        </w:tc>
        <w:tc>
          <w:tcPr/>
          <w:p>
            <w:pPr>
              <w:pStyle w:val="Compact"/>
            </w:pPr>
            <w:r>
              <w:t xml:space="preserve">Mapping als eigenes Lieferobjekt im IG ausweisen (analog DEQM, SDC); ConceptMaps für ICD-10-GM × SNOMED, oBDS × FHIR-Profile, MII-Module × Onko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Patientensicht / Patient-Reported-Outcomes</w:t>
            </w:r>
            <w:r>
              <w:t xml:space="preserve"> </w:t>
            </w:r>
            <w:r>
              <w:t xml:space="preserve">sind im CPG-Kern nicht prominent</w:t>
            </w:r>
          </w:p>
        </w:tc>
        <w:tc>
          <w:tcPr/>
          <w:p>
            <w:pPr>
              <w:pStyle w:val="Compact"/>
            </w:pPr>
            <w:r>
              <w:t xml:space="preserve">Anbindung an PCO IG ergänzen (siehe PCO-Baustein) – insbesondere für Shared Decision Making und Abweichungsbegründungen aus Patientenperspektive</w:t>
            </w:r>
          </w:p>
        </w:tc>
      </w:tr>
    </w:tbl>
    <w:bookmarkEnd w:id="83"/>
    <w:bookmarkStart w:id="84" w:name="X33f89d8714afc5ae5c30f8d0f734957731418ab"/>
    <w:p>
      <w:pPr>
        <w:pStyle w:val="Heading3"/>
      </w:pPr>
      <w:r>
        <w:t xml:space="preserve">4. Direkt übernehmbare Elemente</w:t>
      </w:r>
    </w:p>
    <w:p>
      <w:pPr>
        <w:pStyle w:val="BodyText"/>
        <w:numPr>
          <w:ilvl w:val="0"/>
          <w:numId w:val="1029"/>
        </w:numPr>
      </w:pPr>
      <w:r>
        <w:rPr>
          <w:b/>
          <w:bCs/>
        </w:rPr>
        <w:t xml:space="preserve">PlanDefinition-Pathway-Pattern</w:t>
      </w:r>
      <w:r>
        <w:t xml:space="preserve"> </w:t>
      </w:r>
      <w:r>
        <w:t xml:space="preserve">als natürliche Modellierungsform für onkologische Behandlungspfade (z. B. mKRK 1L → 2L → 3L als</w:t>
      </w:r>
      <w:r>
        <w:t xml:space="preserve"> </w:t>
      </w:r>
      <w:r>
        <w:rPr>
          <w:rStyle w:val="VerbatimChar"/>
        </w:rPr>
        <w:t xml:space="preserve">CPGPathwayDefinition</w:t>
      </w:r>
      <w:r>
        <w:t xml:space="preserve">, einzelne Linien als</w:t>
      </w:r>
      <w:r>
        <w:t xml:space="preserve"> </w:t>
      </w:r>
      <w:r>
        <w:rPr>
          <w:rStyle w:val="VerbatimChar"/>
        </w:rPr>
        <w:t xml:space="preserve">CPGStrategyDefinition</w:t>
      </w:r>
      <w:r>
        <w:t xml:space="preserve">, konkrete Therapieentscheidungen als</w:t>
      </w:r>
      <w:r>
        <w:t xml:space="preserve"> </w:t>
      </w:r>
      <w:r>
        <w:rPr>
          <w:rStyle w:val="VerbatimChar"/>
        </w:rPr>
        <w:t xml:space="preserve">CPGRecommendationDefinition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Definition–Request–Event-Triade</w:t>
      </w:r>
      <w:r>
        <w:t xml:space="preserve"> </w:t>
      </w:r>
      <w:r>
        <w:t xml:space="preserve">als Achsenmodell: Definition = normative Empfehlung, Request = geplante Linie, Event = tatsächlich verabreichte Therapie.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instantiatesCanonical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relatedArtifact</w:t>
      </w:r>
      <w:r>
        <w:t xml:space="preserve"> </w:t>
      </w:r>
      <w:r>
        <w:t xml:space="preserve">als verbindlicher Verweis auf die S3-Leitlinienempfehlung.</w:t>
      </w:r>
    </w:p>
    <w:p>
      <w:pPr>
        <w:pStyle w:val="BodyText"/>
        <w:numPr>
          <w:ilvl w:val="0"/>
          <w:numId w:val="1029"/>
        </w:numPr>
      </w:pPr>
      <w:r>
        <w:rPr>
          <w:b/>
          <w:bCs/>
        </w:rPr>
        <w:t xml:space="preserve">Optionale Bewertungs-Extensions</w:t>
      </w:r>
      <w:r>
        <w:t xml:space="preserve"> </w:t>
      </w:r>
      <w:r>
        <w:t xml:space="preserve">für Empfehlungen – primär getragen durch S3-Empfehlungsstärke und LoE, optional gemappt auf GRADE.</w:t>
      </w:r>
    </w:p>
    <w:p>
      <w:pPr>
        <w:pStyle w:val="BodyText"/>
        <w:numPr>
          <w:ilvl w:val="0"/>
          <w:numId w:val="1029"/>
        </w:numPr>
      </w:pPr>
      <w:r>
        <w:rPr>
          <w:b/>
          <w:bCs/>
        </w:rPr>
        <w:t xml:space="preserve">CRMI (Canonical Resource Management Infrastructure)</w:t>
      </w:r>
      <w:r>
        <w:t xml:space="preserve"> </w:t>
      </w:r>
      <w:r>
        <w:t xml:space="preserve">für Lifecycle-Management, Versionierung, Paketierung.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Shareable-/Publishable-Capability-Profile</w:t>
      </w:r>
      <w:r>
        <w:t xml:space="preserve"> </w:t>
      </w:r>
      <w:r>
        <w:t xml:space="preserve">als Pflicht für alle definitorischen Ressourcen – sorgt für konsistente Metadaten.</w:t>
      </w:r>
    </w:p>
    <w:bookmarkEnd w:id="84"/>
    <w:bookmarkStart w:id="85" w:name="Xa7a886f6a6c0c161fd8e8a8dea52acca7e0d2f1"/>
    <w:p>
      <w:pPr>
        <w:pStyle w:val="Heading3"/>
      </w:pPr>
      <w:r>
        <w:t xml:space="preserve">5. Fazit: Was wir übernehmen und warum</w:t>
      </w:r>
    </w:p>
    <w:p>
      <w:pPr>
        <w:pStyle w:val="FirstParagraph"/>
      </w:pPr>
      <w:r>
        <w:rPr>
          <w:b/>
          <w:bCs/>
        </w:rPr>
        <w:t xml:space="preserve">Übernehmen (referenziert, nicht explizit ausgebaut):</w:t>
      </w:r>
    </w:p>
    <w:p>
      <w:pPr>
        <w:pStyle w:val="BodyText"/>
        <w:numPr>
          <w:ilvl w:val="0"/>
          <w:numId w:val="1030"/>
        </w:numPr>
      </w:pPr>
      <w:r>
        <w:rPr>
          <w:b/>
          <w:bCs/>
        </w:rPr>
        <w:t xml:space="preserve">CPG-on-FHIR als Referenzrahmen</w:t>
      </w:r>
      <w:r>
        <w:t xml:space="preserve"> </w:t>
      </w:r>
      <w:r>
        <w:t xml:space="preserve">für die Verlinkung zu Leitlinienempfehlungen. Wir nutzen die Profil- und Verlinkungsmechanik, nicht die volle computable Tiefe – sofern keine ausführbare Pathway-Logik benötigt wird.</w:t>
      </w:r>
    </w:p>
    <w:p>
      <w:pPr>
        <w:pStyle w:val="BodyText"/>
        <w:numPr>
          <w:ilvl w:val="0"/>
          <w:numId w:val="1030"/>
        </w:numPr>
      </w:pPr>
      <w:r>
        <w:rPr>
          <w:b/>
          <w:bCs/>
        </w:rPr>
        <w:t xml:space="preserve">PlanDefinition mit drei Anwendungen</w:t>
      </w:r>
      <w:r>
        <w:t xml:space="preserve"> </w:t>
      </w:r>
      <w:r>
        <w:t xml:space="preserve">(Pathway / Strategy / Recommendation) als zentrale Strukturressource für referenzierbare Behandlungspfade.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Definition–Request–Event-Pattern</w:t>
      </w:r>
      <w:r>
        <w:t xml:space="preserve"> </w:t>
      </w:r>
      <w:r>
        <w:t xml:space="preserve">als Modellierung jedes Therapiebausteins – Voraussetzung für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-basierte Adhärenzauswertung.</w:t>
      </w:r>
    </w:p>
    <w:p>
      <w:pPr>
        <w:pStyle w:val="BodyText"/>
        <w:numPr>
          <w:ilvl w:val="0"/>
          <w:numId w:val="1030"/>
        </w:numPr>
      </w:pPr>
      <w:r>
        <w:rPr>
          <w:b/>
          <w:bCs/>
        </w:rPr>
        <w:t xml:space="preserve">Verweisbild-/Detailbild-Asymmetrie</w:t>
      </w:r>
      <w:r>
        <w:t xml:space="preserve"> </w:t>
      </w:r>
      <w:r>
        <w:t xml:space="preserve">(Leitlinie verlinkt, CarePlan ausführlich bei Abweichung).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Bewertungs-Extensions optional</w:t>
      </w:r>
      <w:r>
        <w:t xml:space="preserve"> </w:t>
      </w:r>
      <w:r>
        <w:t xml:space="preserve">unterstützen; primär referenzieren wir</w:t>
      </w:r>
      <w:r>
        <w:t xml:space="preserve"> </w:t>
      </w:r>
      <w:r>
        <w:rPr>
          <w:b/>
          <w:bCs/>
        </w:rPr>
        <w:t xml:space="preserve">S3-Leitlinien-Empfehlungsstärken und LoE</w:t>
      </w:r>
      <w:r>
        <w:t xml:space="preserve">, weitere Systeme (GRADE, ESMO-MCBS) später als ConceptMap-Anhang.</w:t>
      </w:r>
    </w:p>
    <w:p>
      <w:pPr>
        <w:pStyle w:val="FirstParagraph"/>
      </w:pPr>
      <w:r>
        <w:rPr>
          <w:b/>
          <w:bCs/>
        </w:rPr>
        <w:t xml:space="preserve">Erweitern / spezialisieren:</w:t>
      </w:r>
    </w:p>
    <w:p>
      <w:pPr>
        <w:pStyle w:val="BodyText"/>
        <w:numPr>
          <w:ilvl w:val="0"/>
          <w:numId w:val="1031"/>
        </w:numPr>
      </w:pPr>
      <w:r>
        <w:rPr>
          <w:b/>
          <w:bCs/>
        </w:rPr>
        <w:t xml:space="preserve">Eigene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Onko</w:t>
      </w:r>
      <w:r>
        <w:rPr>
          <w:b/>
          <w:bCs/>
        </w:rPr>
        <w:t xml:space="preserve">-Profile</w:t>
      </w:r>
      <w:r>
        <w:t xml:space="preserve"> </w:t>
      </w:r>
      <w:r>
        <w:t xml:space="preserve">auf CPG-Basis (</w:t>
      </w:r>
      <w:r>
        <w:rPr>
          <w:rStyle w:val="VerbatimChar"/>
        </w:rPr>
        <w:t xml:space="preserve">OnkoTherapyLine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OnkoTumorboardDecision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OnkoCarePlan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OnkoDetectedIssue</w:t>
      </w:r>
      <w:r>
        <w:t xml:space="preserve">). Begründung: deutsche Versorgungsstrukturen (Tumorboard-Pflicht, Konsiliumssystem, DKG-Quality-Indicators) benötigen spezifische Erweiterungen.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Pflicht-Pattern für CarePlan-Detail bei Abweichung</w:t>
      </w:r>
      <w:r>
        <w:t xml:space="preserve"> </w:t>
      </w:r>
      <w:r>
        <w:t xml:space="preserve">statt nur skizzierter Möglichkeit. Begründung: macht Abweichungsdokumentation auditierbar (relevant für WiZen-artige Versorgungsforschung und QI-Erfüllung).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MII KDS-Onkologie statt IPS</w:t>
      </w:r>
      <w:r>
        <w:t xml:space="preserve"> </w:t>
      </w:r>
      <w:r>
        <w:t xml:space="preserve">als primäre Interop-Basis. Begründung: deutsche Realität, etablierte Datenflüsse aus DIZ/oncoBox/oBDS; IPS/EPS-Anschluss als sekundäre Mapping-Schicht für EHDS-Konformität.</w:t>
      </w:r>
    </w:p>
    <w:p>
      <w:pPr>
        <w:pStyle w:val="FirstParagraph"/>
      </w:pPr>
      <w:r>
        <w:rPr>
          <w:b/>
          <w:bCs/>
        </w:rPr>
        <w:t xml:space="preserve">Nicht übernehmen / bewusst abweichen:</w:t>
      </w:r>
    </w:p>
    <w:p>
      <w:pPr>
        <w:pStyle w:val="BodyText"/>
        <w:numPr>
          <w:ilvl w:val="0"/>
          <w:numId w:val="1032"/>
        </w:numPr>
      </w:pPr>
      <w:r>
        <w:rPr>
          <w:b/>
          <w:bCs/>
        </w:rPr>
        <w:t xml:space="preserve">CPG-internationale CodeSysteme</w:t>
      </w:r>
      <w:r>
        <w:t xml:space="preserve"> </w:t>
      </w:r>
      <w:r>
        <w:t xml:space="preserve">(Personas, Activity Type, Process) im Original. Stattdessen eigene</w:t>
      </w:r>
      <w:r>
        <w:t xml:space="preserve"> </w:t>
      </w:r>
      <w:r>
        <w:rPr>
          <w:rStyle w:val="VerbatimChar"/>
        </w:rPr>
        <w:t xml:space="preserve">onko-*</w:t>
      </w:r>
      <w:r>
        <w:t xml:space="preserve"> </w:t>
      </w:r>
      <w:r>
        <w:t xml:space="preserve">CodeSysteme mit Mapping-Tabelle auf CPG-Common.</w:t>
      </w:r>
    </w:p>
    <w:p>
      <w:pPr>
        <w:pStyle w:val="BodyText"/>
        <w:numPr>
          <w:ilvl w:val="0"/>
          <w:numId w:val="1032"/>
        </w:numPr>
      </w:pPr>
      <w:r>
        <w:rPr>
          <w:b/>
          <w:bCs/>
        </w:rPr>
        <w:t xml:space="preserve">Reine Ableitung von IPS-Composition</w:t>
      </w:r>
      <w:r>
        <w:t xml:space="preserve"> </w:t>
      </w:r>
      <w:r>
        <w:t xml:space="preserve">für Patient Summary. Begründung: für unseren Use Case "Therapieziel &amp; Linien" reicht IPS-Komposition nicht – siehe IPS/EPS-Baustein.</w:t>
      </w:r>
    </w:p>
    <w:bookmarkEnd w:id="85"/>
    <w:bookmarkStart w:id="88" w:name="X4015a817e80fd0e2d313f982d9ab7223dc61d29"/>
    <w:p>
      <w:pPr>
        <w:pStyle w:val="Heading3"/>
      </w:pPr>
      <w:r>
        <w:t xml:space="preserve">6. Quellen</w:t>
      </w:r>
    </w:p>
    <w:p>
      <w:pPr>
        <w:pStyle w:val="BodyText"/>
        <w:numPr>
          <w:ilvl w:val="0"/>
          <w:numId w:val="1033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CPG-on-FHIR IG</w:t>
      </w:r>
      <w:r>
        <w:t xml:space="preserve"> </w:t>
      </w:r>
      <w:r>
        <w:t xml:space="preserve">v2.0.0 STU2 (CI-Build Mai 2026). Methodology:</w:t>
      </w:r>
      <w:r>
        <w:t xml:space="preserve"> </w:t>
      </w:r>
      <w:hyperlink r:id="rId79">
        <w:r>
          <w:rPr>
            <w:rStyle w:val="Hyperlink"/>
          </w:rPr>
          <w:t xml:space="preserve">build.fhir.org/ig/HL7/cqf-recommendations/en/methodology.html</w:t>
        </w:r>
      </w:hyperlink>
      <w:r>
        <w:t xml:space="preserve"> </w:t>
      </w:r>
      <w:r>
        <w:t xml:space="preserve">· Profiles:</w:t>
      </w:r>
      <w:r>
        <w:t xml:space="preserve"> </w:t>
      </w:r>
      <w:hyperlink r:id="rId80">
        <w:r>
          <w:rPr>
            <w:rStyle w:val="Hyperlink"/>
          </w:rPr>
          <w:t xml:space="preserve">build.fhir.org/ig/HL7/cqf-recommendations/en/profiles.html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Clinical Quality Language (CQL)</w:t>
      </w:r>
      <w:r>
        <w:t xml:space="preserve">:</w:t>
      </w:r>
      <w:r>
        <w:t xml:space="preserve"> </w:t>
      </w:r>
      <w:hyperlink r:id="rId86">
        <w:r>
          <w:rPr>
            <w:rStyle w:val="Hyperlink"/>
          </w:rPr>
          <w:t xml:space="preserve">cql.hl7.org</w:t>
        </w:r>
      </w:hyperlink>
    </w:p>
    <w:p>
      <w:pPr>
        <w:pStyle w:val="BodyText"/>
        <w:numPr>
          <w:ilvl w:val="0"/>
          <w:numId w:val="1033"/>
        </w:numPr>
      </w:pPr>
      <w:r>
        <w:t xml:space="preserve">HL7</w:t>
      </w:r>
      <w:r>
        <w:t xml:space="preserve"> </w:t>
      </w:r>
      <w:r>
        <w:rPr>
          <w:i/>
          <w:iCs/>
        </w:rPr>
        <w:t xml:space="preserve">Canonical Resource Management Infrastructure (CRMI)</w:t>
      </w:r>
      <w:r>
        <w:t xml:space="preserve"> </w:t>
      </w:r>
      <w:r>
        <w:t xml:space="preserve">IG</w:t>
      </w:r>
    </w:p>
    <w:p>
      <w:pPr>
        <w:pStyle w:val="BodyText"/>
        <w:numPr>
          <w:ilvl w:val="0"/>
          <w:numId w:val="1033"/>
        </w:numPr>
      </w:pPr>
      <w:r>
        <w:t xml:space="preserve">AWMF Regelwerk Leitlinien (Empfehlungsstärken, LoE):</w:t>
      </w:r>
      <w:r>
        <w:t xml:space="preserve"> </w:t>
      </w:r>
      <w:hyperlink r:id="rId87">
        <w:r>
          <w:rPr>
            <w:rStyle w:val="Hyperlink"/>
          </w:rPr>
          <w:t xml:space="preserve">awmf.org/regelwerk</w:t>
        </w:r>
      </w:hyperlink>
    </w:p>
    <w:p>
      <w:pPr>
        <w:pStyle w:val="BodyText"/>
        <w:numPr>
          <w:ilvl w:val="0"/>
          <w:numId w:val="1033"/>
        </w:numPr>
      </w:pPr>
      <w:r>
        <w:t xml:space="preserve">Verwandte Specification IGs: Quality Measure IG, DEQM, SDC (Structured Data Capture), EBM-on-FHIR</w:t>
      </w:r>
    </w:p>
    <w:bookmarkEnd w:id="88"/>
    <w:bookmarkEnd w:id="89"/>
    <w:bookmarkEnd w:id="90"/>
    <w:bookmarkStart w:id="98" w:name="weitere-relevante-initiativen"/>
    <w:p>
      <w:pPr>
        <w:pStyle w:val="Heading1"/>
      </w:pPr>
      <w:r>
        <w:t xml:space="preserve">Weitere relevante Initiativen</w:t>
      </w:r>
    </w:p>
    <w:bookmarkStart w:id="97" w:name="weitere-relevante-initiativen-1"/>
    <w:p>
      <w:pPr>
        <w:pStyle w:val="Heading2"/>
      </w:pPr>
      <w:r>
        <w:t xml:space="preserve">Weitere relevante Initiativen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t xml:space="preserve">Zwei weitere Initiativen sind für den Kontext dieser Spezifikation relevant, wurden hier aber bewusst nicht in der gleichen Tiefe analysiert wie die in Kapitel 3 untersuchten Standards. Sie werden im weiteren Projektverlauf — insbesondere in der Phase LG-05 (MII-Integrationskonzept) — eng angebunden.</w:t>
      </w:r>
    </w:p>
    <w:bookmarkStart w:id="93" w:name="mii-erweiterungsmodul-onkologie"/>
    <w:p>
      <w:pPr>
        <w:pStyle w:val="Heading3"/>
      </w:pPr>
      <w:r>
        <w:t xml:space="preserve">MII-Erweiterungsmodul Onkologie</w:t>
      </w:r>
    </w:p>
    <w:p>
      <w:pPr>
        <w:pStyle w:val="FirstParagraph"/>
      </w:pPr>
      <w:r>
        <w:t xml:space="preserve">Das MII-Erweiterungsmodul Onkologie ist die nationale FHIR-Spezifikation für die strukturierte Erfassung onkologischer Versorgungsdaten in der Medizininformatik-Initiative. Es baut auf dem MII-Kerndatensatz auf, integriert die Datensätze des oBDS (onkologischer Basisdatensatz, ADT/GEKID) und liefert die Datenelemente, mit denen die deutschen Datenintegrationszentren (DIZ) und Cancer Centers heute arbeiten.</w:t>
      </w:r>
    </w:p>
    <w:p>
      <w:pPr>
        <w:pStyle w:val="BodyText"/>
      </w:pPr>
      <w:r>
        <w:t xml:space="preserve">Diese Spezifikation</w:t>
      </w:r>
      <w:r>
        <w:t xml:space="preserve"> </w:t>
      </w:r>
      <w:r>
        <w:rPr>
          <w:b/>
          <w:bCs/>
        </w:rPr>
        <w:t xml:space="preserve">baut auf dem MII-Erweiterungsmodul Onkologie auf</w:t>
      </w:r>
      <w:r>
        <w:t xml:space="preserve">: die in unserer Spec eingeführten Profile (z. B.</w:t>
      </w:r>
      <w:r>
        <w:t xml:space="preserve"> </w:t>
      </w:r>
      <w:r>
        <w:rPr>
          <w:rStyle w:val="VerbatimChar"/>
        </w:rPr>
        <w:t xml:space="preserve">OnkoTherapyLine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OnkoCarePlan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OnkoTherapyGoal</w:t>
      </w:r>
      <w:r>
        <w:t xml:space="preserve">) referenzieren die MII-Profile als Datenelemente-Basis. Auf eine eigene Tiefenanalyse wird hier verzichtet, weil die Ausschreibung explizit darauf aufbaut und in Phase LG-05 ein</w:t>
      </w:r>
      <w:r>
        <w:t xml:space="preserve"> </w:t>
      </w:r>
      <w:r>
        <w:rPr>
          <w:b/>
          <w:bCs/>
        </w:rPr>
        <w:t xml:space="preserve">schriftliches Integrationskonzept</w:t>
      </w:r>
      <w:r>
        <w:t xml:space="preserve"> </w:t>
      </w:r>
      <w:r>
        <w:t xml:space="preserve">in das MII-Erweiterungsmodul vorgesehen ist, das die finale Verzahnung herstellt.</w:t>
      </w:r>
    </w:p>
    <w:p>
      <w:pPr>
        <w:pStyle w:val="BodyText"/>
      </w:pPr>
      <w:r>
        <w:t xml:space="preserve">Ergänzend ist das BMBF-geförderte</w:t>
      </w:r>
      <w:r>
        <w:t xml:space="preserve"> </w:t>
      </w:r>
      <w:r>
        <w:rPr>
          <w:b/>
          <w:bCs/>
        </w:rPr>
        <w:t xml:space="preserve">PM4Onko</w:t>
      </w:r>
      <w:r>
        <w:t xml:space="preserve"> </w:t>
      </w:r>
      <w:r>
        <w:t xml:space="preserve">(Personalisierte Medizin für die Onkologie) als komplementäre Initiative zu nennen — Miteinbeziehung erfolgt im Rahmen der Workshop-Phase über die Comprehensive Cancer Centers und NCTs.</w:t>
      </w:r>
    </w:p>
    <w:p>
      <w:pPr>
        <w:pStyle w:val="BodyText"/>
      </w:pPr>
      <w:r>
        <w:t xml:space="preserve">Quellen:</w:t>
      </w:r>
    </w:p>
    <w:p>
      <w:pPr>
        <w:pStyle w:val="BodyText"/>
        <w:numPr>
          <w:ilvl w:val="0"/>
          <w:numId w:val="1034"/>
        </w:numPr>
      </w:pPr>
      <w:r>
        <w:t xml:space="preserve">MII Kerndatensatz Modul Onkologie:</w:t>
      </w:r>
      <w:r>
        <w:t xml:space="preserve"> </w:t>
      </w:r>
      <w:hyperlink r:id="rId91">
        <w:r>
          <w:rPr>
            <w:rStyle w:val="Hyperlink"/>
          </w:rPr>
          <w:t xml:space="preserve">simplifier.net/medizininformatikinitiative-modulonkologie</w:t>
        </w:r>
      </w:hyperlink>
    </w:p>
    <w:p>
      <w:pPr>
        <w:pStyle w:val="Compact"/>
        <w:numPr>
          <w:ilvl w:val="0"/>
          <w:numId w:val="1034"/>
        </w:numPr>
      </w:pPr>
      <w:r>
        <w:t xml:space="preserve">MII GitHub:</w:t>
      </w:r>
      <w:r>
        <w:t xml:space="preserve"> </w:t>
      </w:r>
      <w:hyperlink r:id="rId92">
        <w:r>
          <w:rPr>
            <w:rStyle w:val="Hyperlink"/>
          </w:rPr>
          <w:t xml:space="preserve">github.com/medizininformatik-initiative/kerndatensatzmodul-onkologie</w:t>
        </w:r>
      </w:hyperlink>
    </w:p>
    <w:p>
      <w:pPr>
        <w:pStyle w:val="Compact"/>
        <w:numPr>
          <w:ilvl w:val="0"/>
          <w:numId w:val="1034"/>
        </w:numPr>
      </w:pPr>
      <w:r>
        <w:t xml:space="preserve">oBDS / ADT-GEKID: Klinische Krebsregister, Datenstandard der Gesellschaft der epidemiologischen Krebsregister in Deutschland</w:t>
      </w:r>
    </w:p>
    <w:bookmarkEnd w:id="93"/>
    <w:bookmarkStart w:id="95" w:name="Xf97d72beb785f08cb2308e3da65d9fd076344d2"/>
    <w:p>
      <w:pPr>
        <w:pStyle w:val="Heading3"/>
      </w:pPr>
      <w:r>
        <w:t xml:space="preserve">European Common Cancer Data Model (HL7 Europe)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European Common Cancer Data Model</w:t>
      </w:r>
      <w:r>
        <w:t xml:space="preserve"> </w:t>
      </w:r>
      <w:r>
        <w:t xml:space="preserve">ist eine HL7-Europe-Initiative zur gemeinsamen Strukturierung onkologischer Daten auf europäischer Ebene. Es zielt darauf ab, EHDS-konforme Datenaustausch- und Auswertungsstrukturen für Krebspatient*innen über Sektoren- und Ländergrenzen hinweg zu ermöglichen.</w:t>
      </w:r>
    </w:p>
    <w:p>
      <w:pPr>
        <w:pStyle w:val="BodyText"/>
      </w:pPr>
      <w:r>
        <w:t xml:space="preserve">Der Reifegrad ist derzeit</w:t>
      </w:r>
      <w:r>
        <w:t xml:space="preserve"> </w:t>
      </w:r>
      <w:r>
        <w:rPr>
          <w:b/>
          <w:bCs/>
        </w:rPr>
        <w:t xml:space="preserve">konzeptionell und logisch</w:t>
      </w:r>
      <w:r>
        <w:t xml:space="preserve">: es liegen konzeptuelle und logische Modelle vor, aber</w:t>
      </w:r>
      <w:r>
        <w:t xml:space="preserve"> </w:t>
      </w:r>
      <w:r>
        <w:rPr>
          <w:b/>
          <w:bCs/>
        </w:rPr>
        <w:t xml:space="preserve">noch keine validierten FHIR-Profile</w:t>
      </w:r>
      <w:r>
        <w:t xml:space="preserve">. Eine direkte Übernahme in unsere Spec ist daher zum jetzigen Zeitpunkt nicht möglich. Die Initiative ist gleichwohl wichtig zu beobachten, weil:</w:t>
      </w:r>
    </w:p>
    <w:p>
      <w:pPr>
        <w:pStyle w:val="Compact"/>
        <w:numPr>
          <w:ilvl w:val="0"/>
          <w:numId w:val="1035"/>
        </w:numPr>
      </w:pPr>
      <w:r>
        <w:t xml:space="preserve">sie ein natürliches</w:t>
      </w:r>
      <w:r>
        <w:t xml:space="preserve"> </w:t>
      </w:r>
      <w:r>
        <w:rPr>
          <w:b/>
          <w:bCs/>
        </w:rPr>
        <w:t xml:space="preserve">Andockziel für EHDS-/EPS-Konformität</w:t>
      </w:r>
      <w:r>
        <w:t xml:space="preserve"> </w:t>
      </w:r>
      <w:r>
        <w:t xml:space="preserve">im onkologischen Kontext darstellt,</w:t>
      </w:r>
    </w:p>
    <w:p>
      <w:pPr>
        <w:pStyle w:val="Compact"/>
        <w:numPr>
          <w:ilvl w:val="0"/>
          <w:numId w:val="1035"/>
        </w:numPr>
      </w:pPr>
      <w:r>
        <w:t xml:space="preserve">die in dieser Spec entstehenden Modelle (insb. die</w:t>
      </w:r>
      <w:r>
        <w:t xml:space="preserve"> </w:t>
      </w:r>
      <w:r>
        <w:rPr>
          <w:rStyle w:val="VerbatimChar"/>
        </w:rPr>
        <w:t xml:space="preserve">OnkoTherapyLine</w:t>
      </w:r>
      <w:r>
        <w:t xml:space="preserve">- und</w:t>
      </w:r>
      <w:r>
        <w:t xml:space="preserve"> </w:t>
      </w:r>
      <w:r>
        <w:rPr>
          <w:rStyle w:val="VerbatimChar"/>
        </w:rPr>
        <w:t xml:space="preserve">OnkoTherapyGoal</w:t>
      </w:r>
      <w:r>
        <w:t xml:space="preserve">-Strukturen, der CarePlan-/Goal-Pfad und die Leitlinienreferenz-Mechanik)</w:t>
      </w:r>
      <w:r>
        <w:t xml:space="preserve"> </w:t>
      </w:r>
      <w:r>
        <w:rPr>
          <w:b/>
          <w:bCs/>
        </w:rPr>
        <w:t xml:space="preserve">sehr wahrscheinlich Eingang in zukünftige Versionen</w:t>
      </w:r>
      <w:r>
        <w:t xml:space="preserve"> </w:t>
      </w:r>
      <w:r>
        <w:t xml:space="preserve">des Common Cancer Data Model finden werden,</w:t>
      </w:r>
    </w:p>
    <w:p>
      <w:pPr>
        <w:pStyle w:val="BodyText"/>
        <w:numPr>
          <w:ilvl w:val="0"/>
          <w:numId w:val="1035"/>
        </w:numPr>
      </w:pPr>
      <w:r>
        <w:t xml:space="preserve">eine bidirektionale Mapping-Strategie schon jetzt mitgedacht werden sollte, um spätere Konvergenz zu erleichtern.</w:t>
      </w:r>
    </w:p>
    <w:p>
      <w:pPr>
        <w:pStyle w:val="FirstParagraph"/>
      </w:pPr>
      <w:r>
        <w:t xml:space="preserve">Quelle:</w:t>
      </w:r>
      <w:r>
        <w:t xml:space="preserve"> </w:t>
      </w:r>
      <w:hyperlink r:id="rId94">
        <w:r>
          <w:rPr>
            <w:rStyle w:val="Hyperlink"/>
          </w:rPr>
          <w:t xml:space="preserve">build.fhir.org/ig/hl7-eu/cancer-common</w:t>
        </w:r>
      </w:hyperlink>
    </w:p>
    <w:bookmarkEnd w:id="95"/>
    <w:bookmarkStart w:id="96" w:name="konsequenz-für-die-spec"/>
    <w:p>
      <w:pPr>
        <w:pStyle w:val="Heading3"/>
      </w:pPr>
      <w:r>
        <w:t xml:space="preserve">Konsequenz für die Spec</w:t>
      </w:r>
    </w:p>
    <w:p>
      <w:pPr>
        <w:pStyle w:val="FirstParagraph"/>
      </w:pPr>
      <w:r>
        <w:t xml:space="preserve">Beide Initiativen sind in der Architekturentscheidung implizit berücksichtigt: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MII-Erweiterungsmodul Onkologie</w:t>
      </w:r>
      <w:r>
        <w:t xml:space="preserve"> </w:t>
      </w:r>
      <w:r>
        <w:t xml:space="preserve">ist in Schicht 4 (Datenelemente &amp; Terminologie) der tragende Standard und wird in LG-05 mit einem Integrationskonzept formal angeschlossen.</w:t>
      </w:r>
    </w:p>
    <w:p>
      <w:pPr>
        <w:pStyle w:val="BodyText"/>
        <w:numPr>
          <w:ilvl w:val="0"/>
          <w:numId w:val="1036"/>
        </w:numPr>
      </w:pPr>
      <w:r>
        <w:rPr>
          <w:b/>
          <w:bCs/>
        </w:rPr>
        <w:t xml:space="preserve">European Common Cancer Data Model</w:t>
      </w:r>
      <w:r>
        <w:t xml:space="preserve"> </w:t>
      </w:r>
      <w:r>
        <w:t xml:space="preserve">wird über die EHDS-/EPS-Mapping-Schicht (siehe IPS/EPS-Baustein) anschlussfähig gehalten; eine eigene Profilbindung ist zum jetzigen Zeitpunkt nicht sinnvoll.</w:t>
      </w:r>
    </w:p>
    <w:bookmarkEnd w:id="96"/>
    <w:bookmarkEnd w:id="97"/>
    <w:bookmarkEnd w:id="98"/>
    <w:bookmarkStart w:id="110" w:name="architekturentscheidung"/>
    <w:p>
      <w:pPr>
        <w:pStyle w:val="Heading1"/>
      </w:pPr>
      <w:r>
        <w:t xml:space="preserve">Architekturentscheidung</w:t>
      </w:r>
    </w:p>
    <w:bookmarkStart w:id="109" w:name="X6128e6a47c73c03cc1e3ba49d3dbe3d5053b5fe"/>
    <w:p>
      <w:pPr>
        <w:pStyle w:val="Heading2"/>
      </w:pPr>
      <w:r>
        <w:t xml:space="preserve">Architekturentscheidung – Spezifikation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bookmarkStart w:id="102" w:name="kernaussage"/>
    <w:p>
      <w:pPr>
        <w:pStyle w:val="Heading3"/>
      </w:pPr>
      <w:r>
        <w:t xml:space="preserve">Kernaussage</w:t>
      </w:r>
    </w:p>
    <w:p>
      <w:pPr>
        <w:pStyle w:val="FirstParagraph"/>
      </w:pPr>
      <w:r>
        <w:t xml:space="preserve">Die Spezifikation beruht auf vier Schichten mit klarer Rollenverteilung und einem expliziten Fallback-Pfad:</w:t>
      </w:r>
    </w:p>
    <w:p>
      <w:pPr>
        <w:pStyle w:val="BodyText"/>
      </w:pPr>
      <w:r>
        <w:drawing>
          <wp:inline>
            <wp:extent cx="5969000" cy="3760928"/>
            <wp:effectExtent b="0" l="0" r="0" t="0"/>
            <wp:docPr descr="Vier-Schichten-Architektur" title="" id="100" name="Picture"/>
            <a:graphic>
              <a:graphicData uri="http://schemas.openxmlformats.org/drawingml/2006/picture">
                <pic:pic>
                  <pic:nvPicPr>
                    <pic:cNvPr descr="00_architektur_stack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6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3" w:name="rollen-der-vier-schichten"/>
    <w:p>
      <w:pPr>
        <w:pStyle w:val="Heading3"/>
      </w:pPr>
      <w:r>
        <w:t xml:space="preserve">Rollen der vier Schichten</w:t>
      </w:r>
    </w:p>
    <w:p>
      <w:pPr>
        <w:pStyle w:val="FirstParagraph"/>
      </w:pPr>
      <w:r>
        <w:rPr>
          <w:b/>
          <w:bCs/>
        </w:rPr>
        <w:t xml:space="preserve">Schicht 1 – Therapielinien-Strukturachse (EnLiST):</w:t>
      </w:r>
      <w:r>
        <w:t xml:space="preserve"> </w:t>
      </w:r>
      <w:r>
        <w:t xml:space="preserve">liefert die internationale Konsensnotation für Linien, Settings und Änderungstypen. Definiert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gezählt wird und</w:t>
      </w:r>
      <w:r>
        <w:t xml:space="preserve"> </w:t>
      </w:r>
      <w:r>
        <w:rPr>
          <w:i/>
          <w:iCs/>
        </w:rPr>
        <w:t xml:space="preserve">wie</w:t>
      </w:r>
      <w:r>
        <w:t xml:space="preserve"> </w:t>
      </w:r>
      <w:r>
        <w:t xml:space="preserve">es dargestellt wird. Konzeptionell, nicht profiltechnisch.</w:t>
      </w:r>
    </w:p>
    <w:p>
      <w:pPr>
        <w:pStyle w:val="BodyText"/>
      </w:pPr>
      <w:r>
        <w:rPr>
          <w:b/>
          <w:bCs/>
        </w:rPr>
        <w:t xml:space="preserve">Schicht 2 – Methodik &amp; computable Repräsentation (CPG-on-FHIR):</w:t>
      </w:r>
      <w:r>
        <w:t xml:space="preserve"> </w:t>
      </w:r>
      <w:r>
        <w:t xml:space="preserve">liefert die Vorgehensweise (Select → Represent → Translate → Validate, L1–L4-Continuum) und das FHIR-Profil-Set (PlanDefinition, ActivityDefinition, Library, Definition–Request–Event-Triade). Wird im</w:t>
      </w:r>
      <w:r>
        <w:t xml:space="preserve"> </w:t>
      </w:r>
      <w:r>
        <w:rPr>
          <w:b/>
          <w:bCs/>
        </w:rPr>
        <w:t xml:space="preserve">Primärpfad</w:t>
      </w:r>
      <w:r>
        <w:t xml:space="preserve"> </w:t>
      </w:r>
      <w:r>
        <w:t xml:space="preserve">verwendet: existiert für den Fall eine computable Leitlinienempfehlung, wird sie via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 </w:t>
      </w:r>
      <w:r>
        <w:t xml:space="preserve">referenziert – kompakte Darstellung, keine Wiederholung des normativen Inhalts.</w:t>
      </w:r>
    </w:p>
    <w:p>
      <w:pPr>
        <w:pStyle w:val="BodyText"/>
      </w:pPr>
      <w:r>
        <w:rPr>
          <w:b/>
          <w:bCs/>
        </w:rPr>
        <w:t xml:space="preserve">Schicht 3 – Plan- und Ziel-Logik (CarePlan / Goal):</w:t>
      </w:r>
      <w:r>
        <w:t xml:space="preserve"> </w:t>
      </w:r>
      <w:r>
        <w:t xml:space="preserve">liefert die generische Repräsentation des realen Versorgungsverlaufs. Wird im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verwendet:</w:t>
      </w:r>
    </w:p>
    <w:p>
      <w:pPr>
        <w:pStyle w:val="BodyText"/>
        <w:numPr>
          <w:ilvl w:val="0"/>
          <w:numId w:val="1037"/>
        </w:numPr>
      </w:pPr>
      <w:r>
        <w:t xml:space="preserve">wenn für den klinischen Fall keine computable Leitlinienempfehlung existiert (Off-Label, seltene Tumoren, Studienteilnahme, palliative Sondersituationen);</w:t>
      </w:r>
    </w:p>
    <w:p>
      <w:pPr>
        <w:pStyle w:val="Compact"/>
        <w:numPr>
          <w:ilvl w:val="0"/>
          <w:numId w:val="1037"/>
        </w:numPr>
      </w:pPr>
      <w:r>
        <w:t xml:space="preserve">wenn der reale Verlauf von der Leitlinie abweicht (bewusst, unbewusst oder kontraindiziert) – dann wird der CarePlan zum Detailbild neben dem Verweisbild auf die Leitlinie.</w:t>
      </w:r>
    </w:p>
    <w:p>
      <w:pPr>
        <w:pStyle w:val="FirstParagraph"/>
      </w:pPr>
      <w:r>
        <w:t xml:space="preserve">Quellen für das Plan-/Ziel-Pattern: MCC eCare Plan, mCODE-Treatment-Pattern, ergänzt um die Inhaltsstruktur aus IPS (Plan-of-Care-Sektion).</w:t>
      </w:r>
    </w:p>
    <w:p>
      <w:pPr>
        <w:pStyle w:val="BodyText"/>
      </w:pPr>
      <w:r>
        <w:rPr>
          <w:b/>
          <w:bCs/>
        </w:rPr>
        <w:t xml:space="preserve">IPS/EPS als Boundary Exchange Format – verpflichtend zu berücksichtigen:</w:t>
      </w:r>
      <w:r>
        <w:t xml:space="preserve"> </w:t>
      </w:r>
      <w:r>
        <w:t xml:space="preserve">IPS ist in dieser Architektur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Fallback-Standard, sondern ein</w:t>
      </w:r>
      <w:r>
        <w:t xml:space="preserve"> </w:t>
      </w:r>
      <w:r>
        <w:rPr>
          <w:b/>
          <w:bCs/>
        </w:rPr>
        <w:t xml:space="preserve">Brückenformat</w:t>
      </w:r>
      <w:r>
        <w:t xml:space="preserve"> </w:t>
      </w:r>
      <w:r>
        <w:t xml:space="preserve">an den Sektorengrenzen. Konkrete Rollen:</w:t>
      </w:r>
    </w:p>
    <w:p>
      <w:pPr>
        <w:pStyle w:val="BodyText"/>
        <w:numPr>
          <w:ilvl w:val="0"/>
          <w:numId w:val="1038"/>
        </w:numPr>
      </w:pPr>
      <w:r>
        <w:rPr>
          <w:b/>
          <w:bCs/>
        </w:rPr>
        <w:t xml:space="preserve">Prepopulate:</w:t>
      </w:r>
      <w:r>
        <w:t xml:space="preserve"> </w:t>
      </w:r>
      <w:r>
        <w:t xml:space="preserve">Beim Übergang von Versorgungssektor zu Versorgungssektor (z. B. Klinikaufnahme nach ambulanter Vorgeschichte, Reha-Verlegung) wird unsere Spec aus einem IPS-/EPS-Dokument</w:t>
      </w:r>
      <w:r>
        <w:t xml:space="preserve"> </w:t>
      </w:r>
      <w:r>
        <w:rPr>
          <w:i/>
          <w:iCs/>
        </w:rPr>
        <w:t xml:space="preserve">vorbefüllt</w:t>
      </w:r>
      <w:r>
        <w:t xml:space="preserve"> </w:t>
      </w:r>
      <w:r>
        <w:t xml:space="preserve">– Diagnosen, Medikation, Allergien, ggf. Therapieabschnitte werden übernommen.</w:t>
      </w:r>
    </w:p>
    <w:p>
      <w:pPr>
        <w:pStyle w:val="BodyText"/>
        <w:numPr>
          <w:ilvl w:val="0"/>
          <w:numId w:val="1038"/>
        </w:numPr>
      </w:pPr>
      <w:r>
        <w:rPr>
          <w:b/>
          <w:bCs/>
        </w:rPr>
        <w:t xml:space="preserve">Writeback:</w:t>
      </w:r>
      <w:r>
        <w:t xml:space="preserve"> </w:t>
      </w:r>
      <w:r>
        <w:t xml:space="preserve">Beim Sektorenwechsel in die Gegenrichtung schreiben wir die aktuelle Therapieziel-/Therapielinien-Sicht so in ein IPS-/EPS-Dokument zurück, dass die Folgesektoren sie verlustarm lesen können.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EHDS-Anschluss:</w:t>
      </w:r>
      <w:r>
        <w:t xml:space="preserve"> </w:t>
      </w:r>
      <w:r>
        <w:t xml:space="preserve">EPS ist die strategische Bezugsgröße für EHDS-/EEHRxF-Konformität und damit hochrelevant für den</w:t>
      </w:r>
      <w:r>
        <w:t xml:space="preserve"> </w:t>
      </w:r>
      <w:r>
        <w:rPr>
          <w:b/>
          <w:bCs/>
        </w:rPr>
        <w:t xml:space="preserve">Datenaustausch innerhalb Europas</w:t>
      </w:r>
      <w:r>
        <w:t xml:space="preserve">.</w:t>
      </w:r>
    </w:p>
    <w:p>
      <w:pPr>
        <w:pStyle w:val="FirstParagraph"/>
      </w:pPr>
      <w:r>
        <w:t xml:space="preserve">Daraus folgt: Unsere Spec MUSS ein</w:t>
      </w:r>
      <w:r>
        <w:t xml:space="preserve"> </w:t>
      </w:r>
      <w:r>
        <w:rPr>
          <w:b/>
          <w:bCs/>
        </w:rPr>
        <w:t xml:space="preserve">IPS-/EPS-Mapping</w:t>
      </w:r>
      <w:r>
        <w:t xml:space="preserve"> </w:t>
      </w:r>
      <w:r>
        <w:t xml:space="preserve">als eigenes Lieferobjekt führen und die Boundary-Transactions sauber abbilden. Die Empfehlung „Plan-/Ziel-Quelle ist nicht IPS" gilt nur für den internen Modellierungspfad, nicht für die Sektorengrenze.</w:t>
      </w:r>
    </w:p>
    <w:p>
      <w:pPr>
        <w:pStyle w:val="BodyText"/>
      </w:pPr>
      <w:r>
        <w:rPr>
          <w:b/>
          <w:bCs/>
        </w:rPr>
        <w:t xml:space="preserve">Schicht 4 – Datenelemente &amp; Terminologie (MII Onkologie):</w:t>
      </w:r>
      <w:r>
        <w:t xml:space="preserve"> </w:t>
      </w:r>
      <w:r>
        <w:t xml:space="preserve">liefert die deutschen Datenelemente und Terminologien als primäre Interoperabilitätsbasis. Anschluss an EHDS via Mapping auf IPS/EPS als sekundäre Schicht.</w:t>
      </w:r>
    </w:p>
    <w:bookmarkEnd w:id="103"/>
    <w:bookmarkStart w:id="104" w:name="X9ca9c9a33b10383ced955720424241eac65a72c"/>
    <w:p>
      <w:pPr>
        <w:pStyle w:val="Heading3"/>
      </w:pPr>
      <w:r>
        <w:t xml:space="preserve">Fallback-Logik: wann Primärpfad, wann Fallback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Schicht 2 (CPG)</w:t>
            </w:r>
          </w:p>
        </w:tc>
        <w:tc>
          <w:tcPr/>
          <w:p>
            <w:pPr>
              <w:pStyle w:val="Compact"/>
            </w:pPr>
            <w:r>
              <w:t xml:space="preserve">Schicht 3 (CarePlan/Goal)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Leitliniengerechte 1L bei häufigem Tumor (z. B. KRK mFOLFOX6)</w:t>
            </w:r>
          </w:p>
        </w:tc>
        <w:tc>
          <w:tcPr/>
          <w:p>
            <w:pPr>
              <w:pStyle w:val="BodyText"/>
            </w:pPr>
            <w:r>
              <w:t xml:space="preserve">Primär –</w:t>
            </w:r>
            <w:r>
              <w:t xml:space="preserve"> 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 </w:t>
            </w:r>
            <w:r>
              <w:t xml:space="preserve">auf normative Recommendation</w:t>
            </w:r>
          </w:p>
        </w:tc>
        <w:tc>
          <w:tcPr/>
          <w:p>
            <w:pPr>
              <w:pStyle w:val="Compact"/>
            </w:pPr>
            <w:r>
              <w:t xml:space="preserve">Optional – kompakter CarePlan als Container für Verweis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Bewusste Abweichung (Patient*innenpräferenz, Komorbidität)</w:t>
            </w:r>
          </w:p>
        </w:tc>
        <w:tc>
          <w:tcPr/>
          <w:p>
            <w:pPr>
              <w:pStyle w:val="BodyText"/>
            </w:pPr>
            <w:r>
              <w:t xml:space="preserve">Verweis bleibt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– CarePlan mit Detailbeschreibung 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Seltene Tumoren / Off-Label / keine computable Leitlinie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– CarePlan + Goal als alleinige Repräsentation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Studienteilnahme (iLoT in EnLiST)</w:t>
            </w:r>
          </w:p>
        </w:tc>
        <w:tc>
          <w:tcPr/>
          <w:p>
            <w:pPr>
              <w:pStyle w:val="Compact"/>
            </w:pPr>
            <w:r>
              <w:t xml:space="preserve">Wenn Studienprotokoll als CPG vorliegt: Verweis</w:t>
            </w:r>
          </w:p>
        </w:tc>
        <w:tc>
          <w:tcPr/>
          <w:p>
            <w:pPr>
              <w:pStyle w:val="Compact"/>
            </w:pPr>
            <w:r>
              <w:t xml:space="preserve">Sonst Fallback – CarePlan referenziert ResearchStudy</w:t>
            </w:r>
          </w:p>
        </w:tc>
      </w:tr>
      <w:tr>
        <w:tc>
          <w:tcPr/>
          <w:p>
            <w:pPr>
              <w:pStyle w:val="BodyText"/>
            </w:pPr>
            <w:r>
              <w:t xml:space="preserve">Versorgungsdrift / unbewusste Abweichung</w:t>
            </w:r>
          </w:p>
        </w:tc>
        <w:tc>
          <w:tcPr/>
          <w:p>
            <w:pPr>
              <w:pStyle w:val="BodyText"/>
            </w:pPr>
            <w:r>
              <w:t xml:space="preserve">Verweis bleibt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– CarePlan 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  <w:r>
              <w:t xml:space="preserve"> </w:t>
            </w:r>
            <w:r>
              <w:t xml:space="preserve">als Audit-Anker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Tumorboard-Entscheidung mit eigener Empfehlung</w:t>
            </w:r>
          </w:p>
        </w:tc>
        <w:tc>
          <w:tcPr/>
          <w:p>
            <w:pPr>
              <w:pStyle w:val="BodyText"/>
            </w:pPr>
            <w:r>
              <w:t xml:space="preserve">Verweis auf S3-Leitlinie +</w:t>
            </w:r>
            <w:r>
              <w:t xml:space="preserve"> </w:t>
            </w:r>
            <w:r>
              <w:rPr>
                <w:rStyle w:val="VerbatimChar"/>
              </w:rPr>
              <w:t xml:space="preserve">OnkoTumorboardDecision</w:t>
            </w:r>
            <w:r>
              <w:t xml:space="preserve"> </w:t>
            </w:r>
            <w:r>
              <w:t xml:space="preserve">als ergänzende Recommendation</w:t>
            </w:r>
          </w:p>
        </w:tc>
        <w:tc>
          <w:tcPr/>
          <w:p>
            <w:pPr>
              <w:pStyle w:val="BodyText"/>
            </w:pPr>
            <w:r>
              <w:t xml:space="preserve">CarePlan als Container; bei Abweichung zusätzlich Fallback</w:t>
            </w:r>
          </w:p>
        </w:tc>
      </w:tr>
    </w:tbl>
    <w:bookmarkEnd w:id="104"/>
    <w:bookmarkStart w:id="105" w:name="implikation-für-die-profile"/>
    <w:p>
      <w:pPr>
        <w:pStyle w:val="Heading3"/>
      </w:pPr>
      <w:r>
        <w:t xml:space="preserve">Implikation für die Profile</w:t>
      </w:r>
    </w:p>
    <w:p>
      <w:pPr>
        <w:pStyle w:val="FirstParagraph"/>
      </w:pPr>
      <w:r>
        <w:t xml:space="preserve">Die FHIR-Profile der Spec gliedern sich entsprechend:</w:t>
      </w:r>
    </w:p>
    <w:p>
      <w:pPr>
        <w:pStyle w:val="BodyText"/>
        <w:numPr>
          <w:ilvl w:val="0"/>
          <w:numId w:val="1039"/>
        </w:numPr>
      </w:pPr>
      <w:r>
        <w:rPr>
          <w:b/>
          <w:bCs/>
        </w:rPr>
        <w:t xml:space="preserve">EnLiST-konforme Profile:</w:t>
      </w:r>
      <w:r>
        <w:t xml:space="preserve"> </w:t>
      </w:r>
      <w:r>
        <w:rPr>
          <w:rStyle w:val="VerbatimChar"/>
        </w:rPr>
        <w:t xml:space="preserve">OnkoTherapyLine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OnkoTherapyIntent</w:t>
      </w:r>
      <w:r>
        <w:t xml:space="preserve">-Extension,</w:t>
      </w:r>
      <w:r>
        <w:t xml:space="preserve"> </w:t>
      </w:r>
      <w:r>
        <w:rPr>
          <w:rStyle w:val="VerbatimChar"/>
        </w:rPr>
        <w:t xml:space="preserve">OnkoClinicalSetting</w:t>
      </w:r>
      <w:r>
        <w:t xml:space="preserve">-Extension</w:t>
      </w:r>
    </w:p>
    <w:p>
      <w:pPr>
        <w:pStyle w:val="BodyText"/>
        <w:numPr>
          <w:ilvl w:val="0"/>
          <w:numId w:val="1039"/>
        </w:numPr>
      </w:pPr>
      <w:r>
        <w:rPr>
          <w:b/>
          <w:bCs/>
        </w:rPr>
        <w:t xml:space="preserve">CPG-on-FHIR-basierte Profile (Primärpfad):</w:t>
      </w:r>
      <w:r>
        <w:t xml:space="preserve"> </w:t>
      </w:r>
      <w:r>
        <w:rPr>
          <w:rStyle w:val="VerbatimChar"/>
        </w:rPr>
        <w:t xml:space="preserve">OnkoPathwayDefinition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CPGPathwayDefinition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OnkoStrategyDefinition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OnkoRecommendationDefinition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OnkoMedicationRequest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CPGMedicationRequest</w:t>
      </w:r>
      <w:r>
        <w:t xml:space="preserve">) etc.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CarePlan/Goal-Profile (Fallback):</w:t>
      </w:r>
      <w:r>
        <w:t xml:space="preserve"> </w:t>
      </w:r>
      <w:r>
        <w:rPr>
          <w:rStyle w:val="VerbatimChar"/>
        </w:rPr>
        <w:t xml:space="preserve">OnkoCarePlan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CPGCarePlan</w:t>
      </w:r>
      <w:r>
        <w:t xml:space="preserve">, der wiederum CarePlan profiliert),</w:t>
      </w:r>
      <w:r>
        <w:t xml:space="preserve"> </w:t>
      </w:r>
      <w:r>
        <w:rPr>
          <w:rStyle w:val="VerbatimChar"/>
        </w:rPr>
        <w:t xml:space="preserve">OnkoGoal</w:t>
      </w:r>
      <w:r>
        <w:t xml:space="preserve"> </w:t>
      </w:r>
      <w:r>
        <w:t xml:space="preserve">(mit Therapieziel-Codierung),</w:t>
      </w:r>
      <w:r>
        <w:t xml:space="preserve"> </w:t>
      </w:r>
      <w:r>
        <w:rPr>
          <w:rStyle w:val="VerbatimChar"/>
        </w:rPr>
        <w:t xml:space="preserve">OnkoDetectedIssue</w:t>
      </w:r>
      <w:r>
        <w:t xml:space="preserve"> </w:t>
      </w:r>
      <w:r>
        <w:t xml:space="preserve">für Abweichungsbegründung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MII-Anschluss-Profile (Datenelemente):</w:t>
      </w:r>
      <w:r>
        <w:t xml:space="preserve"> </w:t>
      </w:r>
      <w:r>
        <w:t xml:space="preserve">Slicing auf MII KDS-Profile (Medikation, Prozedur, Diagnose) als Basis für</w:t>
      </w:r>
      <w:r>
        <w:t xml:space="preserve"> </w:t>
      </w:r>
      <w:r>
        <w:rPr>
          <w:rStyle w:val="VerbatimChar"/>
        </w:rPr>
        <w:t xml:space="preserve">OnkoMedicationStatement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OnkoProcedure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OnkoCondition</w:t>
      </w:r>
    </w:p>
    <w:bookmarkEnd w:id="105"/>
    <w:bookmarkStart w:id="106" w:name="warum-diese-architektur"/>
    <w:p>
      <w:pPr>
        <w:pStyle w:val="Heading3"/>
      </w:pPr>
      <w:r>
        <w:t xml:space="preserve">Warum diese Architektur</w:t>
      </w:r>
    </w:p>
    <w:p>
      <w:pPr>
        <w:pStyle w:val="BodyText"/>
        <w:numPr>
          <w:ilvl w:val="0"/>
          <w:numId w:val="1040"/>
        </w:numPr>
      </w:pPr>
      <w:r>
        <w:rPr>
          <w:b/>
          <w:bCs/>
        </w:rPr>
        <w:t xml:space="preserve">EnLiST</w:t>
      </w:r>
      <w:r>
        <w:t xml:space="preserve"> </w:t>
      </w:r>
      <w:r>
        <w:t xml:space="preserve">ist alternativlos: einziger paneuropäischer Delphi-Konsens für solide Tumoren, international anschlussfähig, sonst nichts Vergleichbares.</w:t>
      </w:r>
    </w:p>
    <w:p>
      <w:pPr>
        <w:pStyle w:val="BodyText"/>
        <w:numPr>
          <w:ilvl w:val="0"/>
          <w:numId w:val="1040"/>
        </w:numPr>
      </w:pPr>
      <w:r>
        <w:rPr>
          <w:b/>
          <w:bCs/>
        </w:rPr>
        <w:t xml:space="preserve">CPG-on-FHIR</w:t>
      </w:r>
      <w:r>
        <w:t xml:space="preserve"> </w:t>
      </w:r>
      <w:r>
        <w:t xml:space="preserve">ist alternativlos: einziges FHIR-natives Framework mit Methodik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Profil-Set für computable Leitlinien; Alternativen (Quality Measure IG, SDC, CDS Hooks pur) decken nur Teilaspekte.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CarePlan/Goal als Fallback</w:t>
      </w:r>
      <w:r>
        <w:t xml:space="preserve"> </w:t>
      </w:r>
      <w:r>
        <w:t xml:space="preserve">ist notwendig: WiZen-/internationale Studien zeigen 15–30 % strukturierte Abweichung; für seltene Tumoren und Studieneinsätze fehlen computable Leitlinien systematisch. Ohne Fallback bleibt jeder vierte bis fünfte Verlauf unmodellierbar.</w:t>
      </w:r>
    </w:p>
    <w:p>
      <w:pPr>
        <w:pStyle w:val="BodyText"/>
        <w:numPr>
          <w:ilvl w:val="0"/>
          <w:numId w:val="1040"/>
        </w:numPr>
      </w:pPr>
      <w:r>
        <w:rPr>
          <w:b/>
          <w:bCs/>
        </w:rPr>
        <w:t xml:space="preserve">MII KDS-Onkologie als Datenelemente-Basis</w:t>
      </w:r>
      <w:r>
        <w:t xml:space="preserve"> </w:t>
      </w:r>
      <w:r>
        <w:t xml:space="preserve">ist gesetzt: deutsche Versorgungsrealität, etablierte DIZ-Datenflüsse, gematik-/MII-Mandat. IPS/EPS sekundär für EHDS-Konformität.</w:t>
      </w:r>
    </w:p>
    <w:bookmarkEnd w:id="106"/>
    <w:bookmarkStart w:id="107" w:name="X7603a9960ae24670efc5e40e67c41581625d168"/>
    <w:p>
      <w:pPr>
        <w:pStyle w:val="Heading3"/>
      </w:pPr>
      <w:r>
        <w:t xml:space="preserve">Out-of-Scope-Entscheidungen mit Begründung</w:t>
      </w:r>
    </w:p>
    <w:p>
      <w:pPr>
        <w:pStyle w:val="BodyText"/>
        <w:numPr>
          <w:ilvl w:val="0"/>
          <w:numId w:val="1041"/>
        </w:numPr>
      </w:pPr>
      <w:r>
        <w:rPr>
          <w:b/>
          <w:bCs/>
        </w:rPr>
        <w:t xml:space="preserve">Hämatologische Malignome:</w:t>
      </w:r>
      <w:r>
        <w:t xml:space="preserve"> </w:t>
      </w:r>
      <w:r>
        <w:t xml:space="preserve">als separate IG-Seite (Phasen- statt Setting-Achse), nicht im Kern-Datenmodell. Begründung: EnLiST adressiert sie nicht; hämatologisches Pendant existiert noch nicht; Versorgungslogik (Induktion-Konsolidierung-Maintenance, Allo-SZT, CAR-T) unterscheidet sich strukturell.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Lokoregionale Therapien</w:t>
      </w:r>
      <w:r>
        <w:t xml:space="preserve"> </w:t>
      </w:r>
      <w:r>
        <w:t xml:space="preserve">(Chirurgie, Strahlentherapie, Ablation): in der Visualisierung als eigene Modalitäten-Spur, nicht in die LoT-Zählung. Begründung: EnLiST-konform; klinisch hochrelevant, aber konzeptuell von Systemtherapie zu trennen.</w:t>
      </w:r>
    </w:p>
    <w:p>
      <w:pPr>
        <w:pStyle w:val="BodyText"/>
        <w:numPr>
          <w:ilvl w:val="0"/>
          <w:numId w:val="1041"/>
        </w:numPr>
      </w:pPr>
      <w:r>
        <w:rPr>
          <w:b/>
          <w:bCs/>
        </w:rPr>
        <w:t xml:space="preserve">Patient-Reported-Outcomes:</w:t>
      </w:r>
      <w:r>
        <w:t xml:space="preserve"> </w:t>
      </w:r>
      <w:r>
        <w:t xml:space="preserve">via PCO IG anbinden, nicht selbst entwickeln. Begründung: PCO ist die international etablierte Lösung; Eigenentwicklung wäre Duplizierung.</w:t>
      </w:r>
    </w:p>
    <w:p>
      <w:pPr>
        <w:pStyle w:val="BodyText"/>
        <w:numPr>
          <w:ilvl w:val="0"/>
          <w:numId w:val="1041"/>
        </w:numPr>
      </w:pPr>
      <w:r>
        <w:rPr>
          <w:b/>
          <w:bCs/>
        </w:rPr>
        <w:t xml:space="preserve">EHDS-Anschluss:</w:t>
      </w:r>
      <w:r>
        <w:t xml:space="preserve"> </w:t>
      </w:r>
      <w:r>
        <w:t xml:space="preserve">via Mapping-Schicht auf IPS/EPS, nicht durch IPS-konforme Composition als Primärformat. Begründung: für computable Pfade ist IPS-Composition zu schmal (siehe IPS/EPS-Baustein).</w:t>
      </w:r>
    </w:p>
    <w:bookmarkEnd w:id="107"/>
    <w:bookmarkStart w:id="108" w:name="konsequenzen-für-die-folgephasen"/>
    <w:p>
      <w:pPr>
        <w:pStyle w:val="Heading3"/>
      </w:pPr>
      <w:r>
        <w:t xml:space="preserve">Konsequenzen für die Folgephasen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Workshop 1 (Anforderungserhebung):</w:t>
      </w:r>
      <w:r>
        <w:t xml:space="preserve"> </w:t>
      </w:r>
      <w:r>
        <w:t xml:space="preserve">Use Cases auswählen, die alle vier Schichten exemplifizieren – empfohlen: KRK 1L (Primärpfad), mBC mit Komorbidität (Fallback wegen Abweichung), Sarkom in Studie (Fallback wegen iLoT/fehlender Leitlinie). Ein</w:t>
      </w:r>
      <w:r>
        <w:t xml:space="preserve"> </w:t>
      </w:r>
      <w:r>
        <w:rPr>
          <w:b/>
          <w:bCs/>
        </w:rPr>
        <w:t xml:space="preserve">Molekulares Tumorboard</w:t>
      </w:r>
      <w:r>
        <w:t xml:space="preserve">-Use-Case soll explizit aufgenommen werden, um die Verzahnung von genomischen Befunden, CPG-Recommendations und CarePlan-Abweichungen zu prüfen.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Informationsmodell:</w:t>
      </w:r>
      <w:r>
        <w:t xml:space="preserve"> </w:t>
      </w:r>
      <w:r>
        <w:t xml:space="preserve">auf Basis der vier Schichten gegliedert, klare Trennung zwischen normativer Empfehlung und realer Versorgung.</w:t>
      </w:r>
    </w:p>
    <w:p>
      <w:pPr>
        <w:pStyle w:val="BodyText"/>
        <w:numPr>
          <w:ilvl w:val="0"/>
          <w:numId w:val="1042"/>
        </w:numPr>
      </w:pPr>
      <w:r>
        <w:rPr>
          <w:b/>
          <w:bCs/>
        </w:rPr>
        <w:t xml:space="preserve">IG-Entwurf:</w:t>
      </w:r>
      <w:r>
        <w:t xml:space="preserve"> </w:t>
      </w:r>
      <w:r>
        <w:t xml:space="preserve">Profil-Set wie oben skizziert; CPG-on-FHIR und CarePlan/Goal-Pattern als verbundenes Set in FSH/SUSHI.</w:t>
      </w:r>
    </w:p>
    <w:p>
      <w:pPr>
        <w:pStyle w:val="BodyText"/>
        <w:numPr>
          <w:ilvl w:val="0"/>
          <w:numId w:val="1042"/>
        </w:numPr>
      </w:pPr>
      <w:r>
        <w:rPr>
          <w:b/>
          <w:bCs/>
        </w:rPr>
        <w:t xml:space="preserve">MII-Integrationskonzept:</w:t>
      </w:r>
      <w:r>
        <w:t xml:space="preserve"> </w:t>
      </w:r>
      <w:r>
        <w:t xml:space="preserve">Schicht 4 in den MII-AGs Onkologie und Medikation gespiegelt.</w:t>
      </w:r>
    </w:p>
    <w:bookmarkEnd w:id="108"/>
    <w:bookmarkEnd w:id="109"/>
    <w:bookmarkEnd w:id="110"/>
    <w:sectPr w:rsidR="00FC693F" w:rsidRPr="0006063C" w:rsidSect="00034616">
      <w:headerReference r:id="rId9" w:type="default"/>
      <w:footerReference r:id="rId10" w:type="default"/>
      <w:pgSz w:h="15840" w:w="12240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4442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4442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00" w:lineRule="auto"/>
    </w:pPr>
    <w:rPr>
      <w:rFonts w:ascii="Fira Sans" w:cs="Fira Sans" w:eastAsia="Fira Sans" w:hAnsi="Fira Sans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375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AF182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9AA9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Fira Sans" w:asciiTheme="majorHAnsi" w:cs="Fira Sans" w:cstheme="majorBidi" w:eastAsia="Fira Sans" w:eastAsiaTheme="majorEastAsia" w:hAnsi="Fira Sans" w:hAnsiTheme="majorHAnsi"/>
      <w:b/>
      <w:bCs/>
      <w:i/>
      <w:iCs/>
      <w:color w:val="7876B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Fira Sans" w:asciiTheme="majorHAnsi" w:cs="Fira Sans" w:cstheme="majorBidi" w:eastAsia="Fira Sans" w:eastAsiaTheme="majorEastAsia" w:hAnsi="Fira Sans" w:hAnsiTheme="majorHAnsi"/>
      <w:b/>
      <w:color w:val="00375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Fira Sans" w:asciiTheme="majorHAnsi" w:cs="Fira Sans" w:cstheme="majorBidi" w:eastAsia="Fira Sans" w:eastAsiaTheme="majorEastAsia" w:hAnsi="Fira Sans" w:hAnsiTheme="majorHAnsi"/>
      <w:b w:val="0"/>
      <w:i/>
      <w:iCs/>
      <w:color w:val="AF1821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Fira Sans" w:cs="Fira Sans" w:eastAsia="Fira Sans" w:hAnsi="Fira Sans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cs="Fira Sans" w:eastAsia="Fira Sans" w:hAnsi="Fira Sans"/>
      <w:i/>
      <w:iCs/>
      <w:color w:val="009AA9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cs="Fira Sans" w:eastAsia="Fira Sans" w:hAnsi="Fira Sans"/>
      <w:b/>
      <w:bCs/>
      <w:color w:val="7876B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283" w:right="936"/>
    </w:pPr>
    <w:rPr>
      <w:rFonts w:ascii="Fira Sans" w:cs="Fira Sans" w:eastAsia="Fira Sans" w:hAnsi="Fira Sans"/>
      <w:b/>
      <w:bCs/>
      <w:i/>
      <w:iCs/>
      <w:color w:val="009AA9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Fira Sans" w:cs="Fira Sans" w:eastAsia="Fira Sans" w:hAnsi="Fira San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pact" w:type="paragraph">
    <w:name w:val="Compact"/>
    <w:basedOn w:val="Normal"/>
    <w:pPr>
      <w:spacing w:after="0" w:line="240" w:lineRule="auto"/>
    </w:pPr>
    <w:rPr>
      <w:rFonts w:ascii="Fira Sans" w:cs="Fira Sans" w:hAnsi="Fira Sans"/>
      <w:sz w:val="20"/>
    </w:rPr>
  </w:style>
  <w:style w:styleId="Table" w:type="table">
    <w:name w:val="Table"/>
    <w:basedOn w:val="TableNormal"/>
    <w:uiPriority w:val="59"/>
    <w:rPr>
      <w:rFonts w:ascii="Fira Sans" w:cs="Fira Sans" w:hAnsi="Fira Sans"/>
      <w:sz w:val="20"/>
    </w:rPr>
    <w:tblPr>
      <w:tblBorders>
        <w:top w:color="AF1821" w:space="0" w:sz="4" w:val="single"/>
        <w:left w:color="AF1821" w:space="0" w:sz="4" w:val="single"/>
        <w:bottom w:color="AF1821" w:space="0" w:sz="4" w:val="single"/>
        <w:right w:color="AF1821" w:space="0" w:sz="4" w:val="single"/>
        <w:insideH w:color="AF1821" w:space="0" w:sz="4" w:val="single"/>
        <w:insideV w:color="AF1821" w:space="0" w:sz="4" w:val="single"/>
      </w:tblBorders>
    </w:tblPr>
    <w:tblStylePr w:type="firstRow">
      <w:rPr>
        <w:b/>
        <w:color w:val="FFFFFF"/>
      </w:rPr>
      <w:tcPr>
        <w:shd w:color="auto" w:fill="003754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99" Type="http://schemas.openxmlformats.org/officeDocument/2006/relationships/image" Target="media/rId99.png"/><Relationship Id="rId54" Type="http://schemas.openxmlformats.org/officeDocument/2006/relationships/hyperlink" Target="http://hl7.org/fhir/us/pco" TargetMode="External"/><Relationship Id="rId32" Type="http://schemas.openxmlformats.org/officeDocument/2006/relationships/hyperlink" Target="http://www.hl7.org/codex" TargetMode="External"/><Relationship Id="rId79" Type="http://schemas.openxmlformats.org/officeDocument/2006/relationships/hyperlink" Target="https://build.fhir.org/ig/HL7/cqf-recommendations/en/methodology.html" TargetMode="External"/><Relationship Id="rId80" Type="http://schemas.openxmlformats.org/officeDocument/2006/relationships/hyperlink" Target="https://build.fhir.org/ig/HL7/cqf-recommendations/en/profiles.html" TargetMode="External"/><Relationship Id="rId24" Type="http://schemas.openxmlformats.org/officeDocument/2006/relationships/hyperlink" Target="https://build.fhir.org/ig/HL7/fhir-mCODE-ig/" TargetMode="External"/><Relationship Id="rId45" Type="http://schemas.openxmlformats.org/officeDocument/2006/relationships/hyperlink" Target="https://build.fhir.org/ig/HL7/fhir-us-mcc/StructureDefinition-MCCCarePlan.html" TargetMode="External"/><Relationship Id="rId46" Type="http://schemas.openxmlformats.org/officeDocument/2006/relationships/hyperlink" Target="https://build.fhir.org/ig/HL7/fhir-us-mcc/StructureDefinition-MCCGoal.html" TargetMode="External"/><Relationship Id="rId51" Type="http://schemas.openxmlformats.org/officeDocument/2006/relationships/hyperlink" Target="https://build.fhir.org/ig/HL7/fhir-us-mcc/index.html" TargetMode="External"/><Relationship Id="rId64" Type="http://schemas.openxmlformats.org/officeDocument/2006/relationships/hyperlink" Target="https://build.fhir.org/ig/HL7/pco-ig/" TargetMode="External"/><Relationship Id="rId94" Type="http://schemas.openxmlformats.org/officeDocument/2006/relationships/hyperlink" Target="https://build.fhir.org/ig/hl7-eu/cancer-common/index.html" TargetMode="External"/><Relationship Id="rId50" Type="http://schemas.openxmlformats.org/officeDocument/2006/relationships/hyperlink" Target="https://confluence.hl7.org/spaces/PC/pages/66935243/Multiple+Chronic+Conditions+MCC+eCare+Plan&#183;" TargetMode="External"/><Relationship Id="rId86" Type="http://schemas.openxmlformats.org/officeDocument/2006/relationships/hyperlink" Target="https://cql.hl7.org/" TargetMode="External"/><Relationship Id="rId68" Type="http://schemas.openxmlformats.org/officeDocument/2006/relationships/hyperlink" Target="https://doi.org/10.1016/j.annonc.2026.02.008" TargetMode="External"/><Relationship Id="rId34" Type="http://schemas.openxmlformats.org/officeDocument/2006/relationships/hyperlink" Target="https://github.com/HL7/fhir-mCODE-ig" TargetMode="External"/><Relationship Id="rId92" Type="http://schemas.openxmlformats.org/officeDocument/2006/relationships/hyperlink" Target="https://github.com/medizininformatik-initiative/kerndatensatzmodul-onkologie" TargetMode="External"/><Relationship Id="rId65" Type="http://schemas.openxmlformats.org/officeDocument/2006/relationships/hyperlink" Target="https://hl7.org/fhir/us/mcc/" TargetMode="External"/><Relationship Id="rId23" Type="http://schemas.openxmlformats.org/officeDocument/2006/relationships/hyperlink" Target="https://hl7.org/fhir/us/mcode" TargetMode="External"/><Relationship Id="rId31" Type="http://schemas.openxmlformats.org/officeDocument/2006/relationships/hyperlink" Target="https://hl7.org/fhir/us/mcode/STU4/" TargetMode="External"/><Relationship Id="rId63" Type="http://schemas.openxmlformats.org/officeDocument/2006/relationships/hyperlink" Target="https://hl7.org/fhir/us/pco/" TargetMode="External"/><Relationship Id="rId91" Type="http://schemas.openxmlformats.org/officeDocument/2006/relationships/hyperlink" Target="https://simplifier.net/medizininformatikinitiative-modulonkologie" TargetMode="External"/><Relationship Id="rId87" Type="http://schemas.openxmlformats.org/officeDocument/2006/relationships/hyperlink" Target="https://www.awmf.org/regelwerk/" TargetMode="External"/><Relationship Id="rId33" Type="http://schemas.openxmlformats.org/officeDocument/2006/relationships/hyperlink" Target="https://www.hl7.org/codex/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://hl7.org/fhir/us/pco" TargetMode="External"/><Relationship Id="rId32" Type="http://schemas.openxmlformats.org/officeDocument/2006/relationships/hyperlink" Target="http://www.hl7.org/codex" TargetMode="External"/><Relationship Id="rId79" Type="http://schemas.openxmlformats.org/officeDocument/2006/relationships/hyperlink" Target="https://build.fhir.org/ig/HL7/cqf-recommendations/en/methodology.html" TargetMode="External"/><Relationship Id="rId80" Type="http://schemas.openxmlformats.org/officeDocument/2006/relationships/hyperlink" Target="https://build.fhir.org/ig/HL7/cqf-recommendations/en/profiles.html" TargetMode="External"/><Relationship Id="rId24" Type="http://schemas.openxmlformats.org/officeDocument/2006/relationships/hyperlink" Target="https://build.fhir.org/ig/HL7/fhir-mCODE-ig/" TargetMode="External"/><Relationship Id="rId45" Type="http://schemas.openxmlformats.org/officeDocument/2006/relationships/hyperlink" Target="https://build.fhir.org/ig/HL7/fhir-us-mcc/StructureDefinition-MCCCarePlan.html" TargetMode="External"/><Relationship Id="rId46" Type="http://schemas.openxmlformats.org/officeDocument/2006/relationships/hyperlink" Target="https://build.fhir.org/ig/HL7/fhir-us-mcc/StructureDefinition-MCCGoal.html" TargetMode="External"/><Relationship Id="rId51" Type="http://schemas.openxmlformats.org/officeDocument/2006/relationships/hyperlink" Target="https://build.fhir.org/ig/HL7/fhir-us-mcc/index.html" TargetMode="External"/><Relationship Id="rId64" Type="http://schemas.openxmlformats.org/officeDocument/2006/relationships/hyperlink" Target="https://build.fhir.org/ig/HL7/pco-ig/" TargetMode="External"/><Relationship Id="rId94" Type="http://schemas.openxmlformats.org/officeDocument/2006/relationships/hyperlink" Target="https://build.fhir.org/ig/hl7-eu/cancer-common/index.html" TargetMode="External"/><Relationship Id="rId50" Type="http://schemas.openxmlformats.org/officeDocument/2006/relationships/hyperlink" Target="https://confluence.hl7.org/spaces/PC/pages/66935243/Multiple+Chronic+Conditions+MCC+eCare+Plan&#183;" TargetMode="External"/><Relationship Id="rId86" Type="http://schemas.openxmlformats.org/officeDocument/2006/relationships/hyperlink" Target="https://cql.hl7.org/" TargetMode="External"/><Relationship Id="rId68" Type="http://schemas.openxmlformats.org/officeDocument/2006/relationships/hyperlink" Target="https://doi.org/10.1016/j.annonc.2026.02.008" TargetMode="External"/><Relationship Id="rId34" Type="http://schemas.openxmlformats.org/officeDocument/2006/relationships/hyperlink" Target="https://github.com/HL7/fhir-mCODE-ig" TargetMode="External"/><Relationship Id="rId92" Type="http://schemas.openxmlformats.org/officeDocument/2006/relationships/hyperlink" Target="https://github.com/medizininformatik-initiative/kerndatensatzmodul-onkologie" TargetMode="External"/><Relationship Id="rId65" Type="http://schemas.openxmlformats.org/officeDocument/2006/relationships/hyperlink" Target="https://hl7.org/fhir/us/mcc/" TargetMode="External"/><Relationship Id="rId23" Type="http://schemas.openxmlformats.org/officeDocument/2006/relationships/hyperlink" Target="https://hl7.org/fhir/us/mcode" TargetMode="External"/><Relationship Id="rId31" Type="http://schemas.openxmlformats.org/officeDocument/2006/relationships/hyperlink" Target="https://hl7.org/fhir/us/mcode/STU4/" TargetMode="External"/><Relationship Id="rId63" Type="http://schemas.openxmlformats.org/officeDocument/2006/relationships/hyperlink" Target="https://hl7.org/fhir/us/pco/" TargetMode="External"/><Relationship Id="rId91" Type="http://schemas.openxmlformats.org/officeDocument/2006/relationships/hyperlink" Target="https://simplifier.net/medizininformatikinitiative-modulonkologie" TargetMode="External"/><Relationship Id="rId87" Type="http://schemas.openxmlformats.org/officeDocument/2006/relationships/hyperlink" Target="https://www.awmf.org/regelwerk/" TargetMode="External"/><Relationship Id="rId33" Type="http://schemas.openxmlformats.org/officeDocument/2006/relationships/hyperlink" Target="https://www.hl7.org/code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2026-05-18T21:34:26Z</dcterms:created>
  <dcterms:modified xsi:type="dcterms:W3CDTF">2026-05-18T21:34:26Z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Inhaltsverzeichnis</vt:lpwstr>
  </property>
</Properties>
</file>