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keepNext w:val="0"/>
        <w:spacing w:before="0" w:after="240" w:line="300" w:lineRule="auto"/>
        <w:jc w:val="center"/>
      </w:pPr>
      <w:r>
        <w:rPr>
          <w:rFonts w:ascii="Calibri" w:hAnsi="Calibri" w:eastAsia="Microsoft YaHei"/>
          <w:b/>
          <w:color w:val="8A6400"/>
          <w:sz w:val="20"/>
        </w:rPr>
        <w:t>PROJECT ROADMAP</w:t>
      </w:r>
    </w:p>
    <w:p>
      <w:pPr>
        <w:keepNext w:val="0"/>
        <w:spacing w:before="0" w:after="200" w:line="300" w:lineRule="auto"/>
        <w:jc w:val="center"/>
      </w:pPr>
      <w:r>
        <w:rPr>
          <w:rFonts w:ascii="Calibri" w:hAnsi="Calibri" w:eastAsia="Microsoft YaHei"/>
          <w:b/>
          <w:color w:val="17365D"/>
          <w:sz w:val="58"/>
        </w:rPr>
        <w:t>可验证金融研究 Agent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Microsoft YaHei"/>
          <w:b/>
          <w:color w:val="2E74B5"/>
          <w:sz w:val="34"/>
        </w:rPr>
        <w:t>完整开发路线与 Trae 执行手册</w:t>
      </w:r>
    </w:p>
    <w:p>
      <w:pPr>
        <w:keepNext w:val="0"/>
        <w:spacing w:before="0" w:after="720" w:line="300" w:lineRule="auto"/>
        <w:jc w:val="center"/>
      </w:pPr>
      <w:r>
        <w:rPr>
          <w:rFonts w:ascii="Calibri" w:hAnsi="Calibri" w:eastAsia="Microsoft YaHei"/>
          <w:color w:val="667085"/>
          <w:sz w:val="22"/>
        </w:rPr>
        <w:t>面向中美股票 · 确定性估值 · 数值验证 · Agent评测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7365D"/>
              </w:rPr>
              <w:t xml:space="preserve">项目定位  </w:t>
            </w:r>
            <w:r>
              <w:rPr>
                <w:rFonts w:ascii="Calibri" w:hAnsi="Calibri" w:eastAsia="Microsoft YaHei"/>
                <w:color w:val="1F2937"/>
              </w:rPr>
              <w:t>基于 Agentic-Analyst/stock-analyst 的 Apache 2.0 二次开发，目标是形成可运行、可验证、可评测、可部署并可用于AI实习投递的完整作品。</w:t>
            </w:r>
          </w:p>
        </w:tc>
      </w:tr>
    </w:tbl>
    <w:p>
      <w:pPr>
        <w:spacing w:after="20"/>
      </w:pPr>
    </w:p>
    <w:p>
      <w:pPr>
        <w:spacing w:after="680"/>
      </w:pPr>
    </w:p>
    <w:p>
      <w:pPr>
        <w:keepNext w:val="0"/>
        <w:spacing w:before="0" w:after="60" w:line="300" w:lineRule="auto"/>
        <w:jc w:val="center"/>
      </w:pPr>
      <w:r>
        <w:rPr>
          <w:rFonts w:ascii="Calibri" w:hAnsi="Calibri" w:eastAsia="Microsoft YaHei"/>
          <w:b/>
          <w:color w:val="17365D"/>
          <w:sz w:val="20"/>
        </w:rPr>
        <w:t>版本：V1.0</w:t>
      </w:r>
    </w:p>
    <w:p>
      <w:pPr>
        <w:keepNext w:val="0"/>
        <w:spacing w:before="0" w:after="40" w:line="300" w:lineRule="auto"/>
        <w:jc w:val="center"/>
      </w:pPr>
      <w:r>
        <w:rPr>
          <w:rFonts w:ascii="Calibri" w:hAnsi="Calibri" w:eastAsia="Microsoft YaHei"/>
          <w:color w:val="667085"/>
          <w:sz w:val="19"/>
        </w:rPr>
        <w:t>规划日期：2026年8月</w:t>
      </w:r>
    </w:p>
    <w:p>
      <w:pPr>
        <w:jc w:val="center"/>
      </w:pPr>
      <w:r>
        <w:rPr>
          <w:rFonts w:ascii="Calibri" w:hAnsi="Calibri" w:eastAsia="Microsoft YaHei"/>
          <w:color w:val="667085"/>
          <w:sz w:val="19"/>
        </w:rPr>
        <w:t>执行方式：小批次开发 → 测试 → Git提交 → 下一批</w:t>
      </w:r>
    </w:p>
    <w:p>
      <w:r>
        <w:br w:type="page"/>
      </w:r>
    </w:p>
    <w:p>
      <w:pPr>
        <w:pStyle w:val="Heading1"/>
      </w:pPr>
      <w:r>
        <w:t>使用说明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本文档从第四批开始，覆盖DeepSeek真实接入、评测基线、统一金融数据层、可比公司估值、DCF交叉验证、A股MVP、完整评测系统、研究工作台、部署和简历交付。第三批视为已经完成。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8F2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6794A"/>
              </w:rPr>
              <w:t xml:space="preserve">唯一主线  </w:t>
            </w:r>
            <w:r>
              <w:rPr>
                <w:rFonts w:ascii="Calibri" w:hAnsi="Calibri" w:eastAsia="Microsoft YaHei"/>
                <w:color w:val="1F2937"/>
              </w:rPr>
              <w:t>先让DeepSeek稳定可用，再建立评测基线，然后开发确定性可比估值与Validator，最后做A股、工作台和部署。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每一批都必须独立制定方案、执行、测试、提交和停止。除非当前批次验收通过，否则不得自动跨批次开发。</w:t>
      </w:r>
    </w:p>
    <w:p>
      <w:pPr>
        <w:pStyle w:val="Heading1"/>
      </w:pPr>
      <w:r>
        <w:t>目录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1. 项目最终定位与范围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2. 总体技术原则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3. 第四批：DeepSeek真实接入与产品化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4. 第五批：最小评测基线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5. 第六批：统一金融数据层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6. 第七批：同行候选与筛选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7. 第八批：确定性可比公司估值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8. 第九批：DCF交叉验证、Validator与Excel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9. 第十批：A股MVP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10. 第十一批：完整Agent评测系统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11. 第十二批：研究工作台与部署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12. 时间安排与范围裁剪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13. 最终验收标准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14. 简历与面试交付物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15. Trae总执行指令</w:t>
      </w:r>
    </w:p>
    <w:p>
      <w:pPr>
        <w:pStyle w:val="Heading1"/>
      </w:pPr>
      <w:r>
        <w:t>1. 项目最终定位与范围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最终定位：面向中美股票的可验证金融研究Agent，通过确定性估值、证据引用、数值校验和离线评测，提高金融研究结果的可追溯性与可靠性。</w:t>
      </w:r>
    </w:p>
    <w:p>
      <w:pPr>
        <w:pStyle w:val="Heading2"/>
      </w:pPr>
      <w:r>
        <w:t>1.1 三个核心卖点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确定性可比公司估值系统。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DCF与相对估值交叉验证和数字Validator。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支持离线快照回放、模型对比和Git版本对比的Agent评测系统。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8A6400"/>
              </w:rPr>
              <w:t xml:space="preserve">定位提醒  </w:t>
            </w:r>
            <w:r>
              <w:rPr>
                <w:rFonts w:ascii="Calibri" w:hAnsi="Calibri" w:eastAsia="Microsoft YaHei"/>
                <w:color w:val="1F2937"/>
              </w:rPr>
              <w:t>DeepSeek是降本增效的基础设施，不是项目的主要创新。面试时应重点讲确定性计算、可验证性与评测闭环。</w:t>
            </w:r>
          </w:p>
        </w:tc>
      </w:tr>
    </w:tbl>
    <w:p>
      <w:pPr>
        <w:spacing w:after="20"/>
      </w:pPr>
    </w:p>
    <w:p>
      <w:pPr>
        <w:pStyle w:val="Heading2"/>
      </w:pPr>
      <w:r>
        <w:t>1.2 明确不做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股票涨跌预测、自动交易、券商账户接入和盈利保证。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高频行情、强化学习和全A股覆盖。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DeepSeek思考模式、更多国产模型和自动调用Pro审核每次回答。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全行业专用估值模型、多币种成本系统和复杂商业计费。</w:t>
      </w:r>
    </w:p>
    <w:p>
      <w:pPr>
        <w:pStyle w:val="Heading1"/>
      </w:pPr>
      <w:r>
        <w:t>2. 总体技术原则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原则</w:t>
            </w:r>
          </w:p>
        </w:tc>
        <w:tc>
          <w:tcPr>
            <w:tcW w:type="dxa" w:w="7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要求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确定性计算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估值、统计、异常值剔除和数字校验全部由Python执行。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LLM边界</w:t>
            </w:r>
          </w:p>
        </w:tc>
        <w:tc>
          <w:tcPr>
            <w:tcW w:type="dxa" w:w="7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LLM只负责工具选择、必要假设、信息归纳和结果解释。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可追溯数据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每个关键数值包含来源、日期、币种、单位和财务期间。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离线优先评测</w:t>
            </w:r>
          </w:p>
        </w:tc>
        <w:tc>
          <w:tcPr>
            <w:tcW w:type="dxa" w:w="7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默认测试读取固定快照，不能产生API费用。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小批次交付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每批先记录baseline，完成后测试、Git提交并停止。</w:t>
            </w:r>
          </w:p>
        </w:tc>
      </w:tr>
      <w:tr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兼容与归属</w:t>
            </w:r>
          </w:p>
        </w:tc>
        <w:tc>
          <w:tcPr>
            <w:tcW w:type="dxa" w:w="7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保留原项目来源、Apache 2.0许可证和第三方数据声明。</w:t>
            </w:r>
          </w:p>
        </w:tc>
      </w:tr>
    </w:tbl>
    <w:p>
      <w:pPr>
        <w:spacing w:after="40"/>
      </w:pPr>
    </w:p>
    <w:p>
      <w:pPr>
        <w:pStyle w:val="Heading2"/>
      </w:pPr>
      <w:r>
        <w:t>2.1 后续批次总览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050"/>
        <w:gridCol w:w="4110"/>
      </w:tblGrid>
      <w:tr>
        <w:trPr>
          <w:tblHeader w:val="true"/>
        </w:trPr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批次</w:t>
            </w:r>
          </w:p>
        </w:tc>
        <w:tc>
          <w:tcPr>
            <w:tcW w:type="dxa" w:w="40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核心任务</w:t>
            </w:r>
          </w:p>
        </w:tc>
        <w:tc>
          <w:tcPr>
            <w:tcW w:type="dxa" w:w="41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主要结果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第四批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DeepSeek真实接入与文档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项目真正可运行</w:t>
            </w:r>
          </w:p>
        </w:tc>
      </w:tr>
      <w:tr>
        <w:tc>
          <w:tcPr>
            <w:tcW w:type="dxa" w:w="1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第五批</w:t>
            </w:r>
          </w:p>
        </w:tc>
        <w:tc>
          <w:tcPr>
            <w:tcW w:type="dxa" w:w="40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15题评测基线</w:t>
            </w:r>
          </w:p>
        </w:tc>
        <w:tc>
          <w:tcPr>
            <w:tcW w:type="dxa" w:w="41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保存功能改造前基准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第六批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统一Schema与Provider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中美金融数据统一</w:t>
            </w:r>
          </w:p>
        </w:tc>
      </w:tr>
      <w:tr>
        <w:tc>
          <w:tcPr>
            <w:tcW w:type="dxa" w:w="1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第七批</w:t>
            </w:r>
          </w:p>
        </w:tc>
        <w:tc>
          <w:tcPr>
            <w:tcW w:type="dxa" w:w="40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同行候选与确定性筛选</w:t>
            </w:r>
          </w:p>
        </w:tc>
        <w:tc>
          <w:tcPr>
            <w:tcW w:type="dxa" w:w="41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可解释同行列表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第八批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PE/PB/PS/EV-EBITDA估值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确定性估值区间</w:t>
            </w:r>
          </w:p>
        </w:tc>
      </w:tr>
      <w:tr>
        <w:tc>
          <w:tcPr>
            <w:tcW w:type="dxa" w:w="1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第九批</w:t>
            </w:r>
          </w:p>
        </w:tc>
        <w:tc>
          <w:tcPr>
            <w:tcW w:type="dxa" w:w="40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DCF交叉验证、Validator与Excel</w:t>
            </w:r>
          </w:p>
        </w:tc>
        <w:tc>
          <w:tcPr>
            <w:tcW w:type="dxa" w:w="41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可验证估值闭环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第十批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约10家A股MVP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中美股票最小覆盖</w:t>
            </w:r>
          </w:p>
        </w:tc>
      </w:tr>
      <w:tr>
        <w:tc>
          <w:tcPr>
            <w:tcW w:type="dxa" w:w="1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第十一批</w:t>
            </w:r>
          </w:p>
        </w:tc>
        <w:tc>
          <w:tcPr>
            <w:tcW w:type="dxa" w:w="40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约50题完整评测</w:t>
            </w:r>
          </w:p>
        </w:tc>
        <w:tc>
          <w:tcPr>
            <w:tcW w:type="dxa" w:w="41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版本、模型、在线/离线对比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第十二批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工作台、部署和作品集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可演示、可投递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第四批：DeepSeek真实接入与产品化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8F2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6794A"/>
              </w:rPr>
              <w:t xml:space="preserve">目标  </w:t>
            </w:r>
            <w:r>
              <w:rPr>
                <w:rFonts w:ascii="Calibri" w:hAnsi="Calibri" w:eastAsia="Microsoft YaHei"/>
                <w:color w:val="1F2937"/>
              </w:rPr>
              <w:t>在不破坏OpenAI和Anthropic兼容路径的前提下，让DeepSeek Flash成为默认可运行模型，并完成受控真实E2E。</w:t>
            </w:r>
          </w:p>
        </w:tc>
      </w:tr>
    </w:tbl>
    <w:p>
      <w:pPr>
        <w:spacing w:after="20"/>
      </w:pPr>
    </w:p>
    <w:p>
      <w:pPr>
        <w:pStyle w:val="Heading2"/>
      </w:pPr>
      <w:r>
        <w:t>3.1 CLI与模型选择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main.py的--llm choices动态读取MODEL_REGISTRY。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默认模型改为deepseek-v4-flash。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deepseek-v4-pro只能显式指定，不自动调用。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python main.py --list-llms不初始化客户端，也不要求任何API Key。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未知模型、缺少Key和不支持的thinking配置必须输出清晰错误。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Courier New" w:hAnsi="Courier New" w:eastAsia="Microsoft YaHei"/>
                <w:color w:val="243447"/>
                <w:sz w:val="18"/>
              </w:rPr>
              <w:t>python main.py --list-llms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python main.py --llm deepseek-v4-flash</w:t>
            </w:r>
          </w:p>
        </w:tc>
      </w:tr>
    </w:tbl>
    <w:p>
      <w:pPr>
        <w:spacing w:after="20"/>
      </w:pPr>
    </w:p>
    <w:p>
      <w:pPr>
        <w:pStyle w:val="Heading2"/>
      </w:pPr>
      <w:r>
        <w:t>3.2 环境变量与安全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Courier New" w:hAnsi="Courier New" w:eastAsia="Microsoft YaHei"/>
                <w:color w:val="243447"/>
                <w:sz w:val="18"/>
              </w:rPr>
              <w:t>DEEPSEEK_API_KEY=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DEEPSEEK_BASE_URL=https://api.deepseek.com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DEEPSEEK_THINKING_ENABLED=false</w:t>
            </w:r>
          </w:p>
        </w:tc>
      </w:tr>
    </w:tbl>
    <w:p>
      <w:pPr>
        <w:spacing w:after="20"/>
      </w:pP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真实Key不得提交到Git、Docker镜像、前端或测试快照。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日志不得打印Key、Authorization头或完整敏感请求。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DeepSeek不得回退读取OPENAI_API_KEY。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每次DeepSeek请求继续显式发送thinking disabled。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README必须说明当前版本不支持DeepSeek思考模式。</w:t>
      </w:r>
    </w:p>
    <w:p>
      <w:pPr>
        <w:pStyle w:val="Heading2"/>
      </w:pPr>
      <w:r>
        <w:t>3.3 OpenAI与Anthropic兼容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保留原有提供商兼容能力，但它们不能成为DeepSeek运行的必要条件。Anthropic依赖应延迟导入或标记为可选；只有选择Claude时才检查并提示安装。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未安装anthropic时，DeepSeek CLI、测试和运行路径仍然正常。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不得删除Claude代码或修改原有公开接口。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OpenAI、Anthropic和DeepSeek的Key、Base URL、客户端实例保持隔离。</w:t>
      </w:r>
    </w:p>
    <w:p>
      <w:pPr>
        <w:pStyle w:val="Heading2"/>
      </w:pPr>
      <w:r>
        <w:t>3.4 测试分层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49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命令</w:t>
            </w:r>
          </w:p>
        </w:tc>
        <w:tc>
          <w:tcPr>
            <w:tcW w:type="dxa" w:w="4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要求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默认离线测试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pytest -q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禁止真实网络和API费用；CI默认运行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手动集成测试</w:t>
            </w:r>
          </w:p>
        </w:tc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pytest -m integration</w:t>
            </w:r>
          </w:p>
        </w:tc>
        <w:tc>
          <w:tcPr>
            <w:tcW w:type="dxa" w:w="49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无Key时skip；限制请求次数、max_tokens与费用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真实集成测试第一版只调用Flash：一次普通对话、一次工具调用流程、一次AAPL轻量E2E。暂不运行完整DCF、PDF和新闻全流水线。</w:t>
      </w:r>
    </w:p>
    <w:p>
      <w:pPr>
        <w:pStyle w:val="Heading2"/>
      </w:pPr>
      <w:r>
        <w:t>3.5 AAPL轻量E2E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用户提出AAPL价格或基础财务问题。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DeepSeek选择价格或财务工具。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工具返回真实数据与来源。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DeepSeek解释结果。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系统输出工具轨迹、Token、响应时间与美元成本。</w:t>
      </w:r>
    </w:p>
    <w:p>
      <w:pPr>
        <w:pStyle w:val="Heading2"/>
      </w:pPr>
      <w:r>
        <w:t>3.6 第四批验收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全部离线测试通过。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真实普通请求成功。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真实工具调用成功且不出现400。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AAPL轻量E2E成功。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thinking确认关闭。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README可让新用户独立启动。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记录Token、成本、延迟和工具轨迹。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创建Git标签deepseek-integration-v1。</w:t>
      </w:r>
    </w:p>
    <w:p>
      <w:pPr>
        <w:pStyle w:val="Heading1"/>
      </w:pPr>
      <w:r>
        <w:t>4. 第五批：最小评测基线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8A6400"/>
              </w:rPr>
              <w:t xml:space="preserve">为什么现在做  </w:t>
            </w:r>
            <w:r>
              <w:rPr>
                <w:rFonts w:ascii="Calibri" w:hAnsi="Calibri" w:eastAsia="Microsoft YaHei"/>
                <w:color w:val="1F2937"/>
              </w:rPr>
              <w:t>必须在开发可比估值前保存基线，否则无法客观证明后续改造提高了工具路由、数值一致性或异常恢复能力。</w:t>
            </w:r>
          </w:p>
        </w:tc>
      </w:tr>
    </w:tbl>
    <w:p>
      <w:pPr>
        <w:spacing w:after="20"/>
      </w:pPr>
    </w:p>
    <w:p>
      <w:pPr>
        <w:pStyle w:val="Heading2"/>
      </w:pPr>
      <w:r>
        <w:t>4.1 第一版15题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56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题型</w:t>
            </w:r>
          </w:p>
        </w:tc>
        <w:tc>
          <w:tcPr>
            <w:tcW w:type="dxa" w:w="1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数量</w:t>
            </w:r>
          </w:p>
        </w:tc>
        <w:tc>
          <w:tcPr>
            <w:tcW w:type="dxa" w:w="5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重点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股票代码识别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中英文公司名、市场后缀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价格与技术指标</w:t>
            </w:r>
          </w:p>
        </w:tc>
        <w:tc>
          <w:tcPr>
            <w:tcW w:type="dxa" w:w="1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</w:t>
            </w:r>
          </w:p>
        </w:tc>
        <w:tc>
          <w:tcPr>
            <w:tcW w:type="dxa" w:w="56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工具和日期参数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财务数据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指标、期间和来源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新闻与风险</w:t>
            </w:r>
          </w:p>
        </w:tc>
        <w:tc>
          <w:tcPr>
            <w:tcW w:type="dxa" w:w="1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</w:t>
            </w:r>
          </w:p>
        </w:tc>
        <w:tc>
          <w:tcPr>
            <w:tcW w:type="dxa" w:w="56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证据覆盖与无依据结论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DCF调用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正确工具和结果一致性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多工具任务</w:t>
            </w:r>
          </w:p>
        </w:tc>
        <w:tc>
          <w:tcPr>
            <w:tcW w:type="dxa" w:w="1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</w:t>
            </w:r>
          </w:p>
        </w:tc>
        <w:tc>
          <w:tcPr>
            <w:tcW w:type="dxa" w:w="56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调用顺序和完整性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非法参数恢复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错误回传后模型修正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数据源异常恢复</w:t>
            </w:r>
          </w:p>
        </w:tc>
        <w:tc>
          <w:tcPr>
            <w:tcW w:type="dxa" w:w="1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</w:t>
            </w:r>
          </w:p>
        </w:tc>
        <w:tc>
          <w:tcPr>
            <w:tcW w:type="dxa" w:w="56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重试/降级/明确失败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拒绝无依据结论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不承诺收益、不编造数据</w:t>
            </w:r>
          </w:p>
        </w:tc>
      </w:tr>
    </w:tbl>
    <w:p>
      <w:pPr>
        <w:spacing w:after="40"/>
      </w:pPr>
    </w:p>
    <w:p>
      <w:pPr>
        <w:pStyle w:val="Heading2"/>
      </w:pPr>
      <w:r>
        <w:t>4.2 案例与运行记录Schema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Courier New" w:hAnsi="Courier New" w:eastAsia="Microsoft YaHei"/>
                <w:color w:val="243447"/>
                <w:sz w:val="18"/>
              </w:rPr>
              <w:t>{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"case_id": "tool_001",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"question": "获取苹果最近价格并分析趋势",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"market": "US",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"expected_tools": ["get_prices", "get_technicals"],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"required_arguments": {"ticker": "AAPL"},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"required_facts": [],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"forbidden_claims": ["保证上涨", "稳定盈利"],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"snapshot_id": "snapshot_2026_08_01"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}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Courier New" w:hAnsi="Courier New" w:eastAsia="Microsoft YaHei"/>
                <w:color w:val="243447"/>
                <w:sz w:val="18"/>
              </w:rPr>
              <w:t>{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"run_id": "...", "case_id": "...",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"model": "deepseek-v4-flash", "git_commit": "...",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"tool_calls": [], "tool_results": [], "final_answer": "...",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"citations": [], "latency_ms": 0,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"prompt_tokens": 0, "completion_tokens": 0, "cost_usd": 0.0,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"error": null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4.3 第一版指标与输出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工具选择准确率。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必填工具参数正确率。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任务完成率。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数字一致性。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异常恢复率。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响应时间、Token和美元成本。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第一版输出JSON和CSV即可；完成后保存Git标签eval-baseline-v1。</w:t>
      </w:r>
    </w:p>
    <w:p>
      <w:pPr>
        <w:pStyle w:val="Heading1"/>
      </w:pPr>
      <w:r>
        <w:t>5. 第六批：统一金融数据层</w:t>
      </w:r>
    </w:p>
    <w:p>
      <w:pPr>
        <w:pStyle w:val="Heading2"/>
      </w:pPr>
      <w:r>
        <w:t>5.1 Provider接口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Courier New" w:hAnsi="Courier New" w:eastAsia="Microsoft YaHei"/>
                <w:color w:val="243447"/>
                <w:sz w:val="18"/>
              </w:rPr>
              <w:t>class FinancialDataProvider(Protocol):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  def search_company(...)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  def get_company_profile(...)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  def get_market_data(...)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  def get_financial_statements(...)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  def get_peer_candidates(...)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至少实现美股Provider、A股Provider和离线SnapshotProvider。估值引擎只能依赖统一接口，不能直接依赖某个API或爬虫。</w:t>
      </w:r>
    </w:p>
    <w:p>
      <w:pPr>
        <w:pStyle w:val="Heading2"/>
      </w:pPr>
      <w:r>
        <w:t>5.2 CompanyFinancialSnapshot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Courier New" w:hAnsi="Courier New" w:eastAsia="Microsoft YaHei"/>
                <w:color w:val="243447"/>
                <w:sz w:val="18"/>
              </w:rPr>
              <w:t>symbol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company_name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market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exchange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currency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industry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sub_industry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as_of_date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fiscal_period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share_price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shares_diluted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market_cap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enterprise_value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revenue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net_income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book_value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ebitda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cash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total_debt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minority_interest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preferred_equity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source_urls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provider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fetched_at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每个关键数值都必须能追踪币种、单位、财务期间、数据日期、来源和缺失状态。缺失值不得自动替换为0。</w:t>
      </w:r>
    </w:p>
    <w:p>
      <w:pPr>
        <w:pStyle w:val="Heading2"/>
      </w:pPr>
      <w:r>
        <w:t>5.3 离线快照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Courier New" w:hAnsi="Courier New" w:eastAsia="Microsoft YaHei"/>
                <w:color w:val="243447"/>
                <w:sz w:val="18"/>
              </w:rPr>
              <w:t>snapshots/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US/AAPL/...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CN/600519/...</w:t>
            </w:r>
          </w:p>
        </w:tc>
      </w:tr>
    </w:tbl>
    <w:p>
      <w:pPr>
        <w:spacing w:after="20"/>
      </w:pP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在线Provider响应可保存为JSON快照。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离线测试固定读取指定snapshot_id。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快照包含schema_version、provider、抓取时间和来源。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Schema升级必须提供迁移或兼容策略。</w:t>
      </w:r>
    </w:p>
    <w:p>
      <w:pPr>
        <w:pStyle w:val="Heading1"/>
      </w:pPr>
      <w:r>
        <w:t>6. 第七批：同行候选与筛选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实现get_peer_candidates、get_peer_financials和screen_comparable_companies。候选公司可由行业分类或Provider生成，但最终筛选和排序必须由Python执行。</w:t>
      </w:r>
    </w:p>
    <w:p>
      <w:pPr>
        <w:pStyle w:val="Heading2"/>
      </w:pPr>
      <w:r>
        <w:t>6.1 确定性评分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行业和子行业一致性。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市场、地区和商业模式接近程度。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营收规模和市值规模距离。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盈利状态是否一致。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财务期间是否接近。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估值所需字段完整度。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Courier New" w:hAnsi="Courier New" w:eastAsia="Microsoft YaHei"/>
                <w:color w:val="243447"/>
                <w:sz w:val="18"/>
              </w:rPr>
              <w:t>{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"symbol": "MSFT",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"score": 0.86,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"selected": true,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"reasons": ["同属大型软件行业", "营收规模接近", "EBITDA数据完整"]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候选建议10至20家，最终保留5至10家；少于4家时必须给出低置信度警告。入选和剔除公司都要保留原因。</w:t>
      </w:r>
    </w:p>
    <w:p>
      <w:pPr>
        <w:pStyle w:val="Heading1"/>
      </w:pPr>
      <w:r>
        <w:t>7. 第八批：确定性可比公司估值</w:t>
      </w:r>
    </w:p>
    <w:p>
      <w:pPr>
        <w:pStyle w:val="Heading2"/>
      </w:pPr>
      <w:r>
        <w:t>7.1 支持倍数与有效条件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476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倍数</w:t>
            </w:r>
          </w:p>
        </w:tc>
        <w:tc>
          <w:tcPr>
            <w:tcW w:type="dxa" w:w="3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有效条件</w:t>
            </w:r>
          </w:p>
        </w:tc>
        <w:tc>
          <w:tcPr>
            <w:tcW w:type="dxa" w:w="4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隐含价值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净利润或EPS为正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同行PE × 目标公司净利润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PB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账面净资产为正</w:t>
            </w:r>
          </w:p>
        </w:tc>
        <w:tc>
          <w:tcPr>
            <w:tcW w:type="dxa" w:w="4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同行PB × 目标公司账面净资产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PS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营收为正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同行PS × 目标公司营收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EV/EBITDA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EBITDA为正</w:t>
            </w:r>
          </w:p>
        </w:tc>
        <w:tc>
          <w:tcPr>
            <w:tcW w:type="dxa" w:w="4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同行倍数 × 目标公司EBITDA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Courier New" w:hAnsi="Courier New" w:eastAsia="Microsoft YaHei"/>
                <w:color w:val="243447"/>
                <w:sz w:val="18"/>
              </w:rPr>
              <w:t>隐含股权价值 = 隐含企业价值 + 现金 - 总债务 - 少数股东权益 - 优先股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隐含每股价值 = 隐含股权价值 / 稀释后总股本</w:t>
            </w:r>
          </w:p>
        </w:tc>
      </w:tr>
    </w:tbl>
    <w:p>
      <w:pPr>
        <w:spacing w:after="20"/>
      </w:pPr>
    </w:p>
    <w:p>
      <w:pPr>
        <w:pStyle w:val="Heading2"/>
      </w:pPr>
      <w:r>
        <w:t>7.2 异常值与区间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同行不少于5家时使用IQR规则。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少于5家时不自动剔除，只输出警告。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保留剔除前数据、规则、阈值和剔除原因。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每种倍数输出P25、中位数和P75。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不允许负PE进入行业中位数。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不同币种的绝对金额不得直接相加。</w:t>
      </w:r>
    </w:p>
    <w:p>
      <w:pPr>
        <w:pStyle w:val="Heading2"/>
      </w:pPr>
      <w:r>
        <w:t>7.3 综合估值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默认展示每个有效倍数的独立区间，并对各有效倍数的中位估值再次取中位数作为综合中心。第一版不让LLM生成权重；如需权重，必须通过显式配置并保证归一化。</w:t>
      </w:r>
    </w:p>
    <w:p>
      <w:pPr>
        <w:pStyle w:val="Heading1"/>
      </w:pPr>
      <w:r>
        <w:t>8. 第九批：DCF交叉验证、Validator与Excel</w:t>
      </w:r>
    </w:p>
    <w:p>
      <w:pPr>
        <w:pStyle w:val="Heading2"/>
      </w:pPr>
      <w:r>
        <w:t>8.1 compare_dcf_and_comps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DCF估值区间和可比估值区间。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两个区间是否重叠。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两种方法中点差异率。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当前股价相对折价或溢价。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数据日期和财务期间是否一致。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偏差的可能原因和综合置信度。</w:t>
      </w:r>
    </w:p>
    <w:p>
      <w:pPr>
        <w:pStyle w:val="Heading2"/>
      </w:pPr>
      <w:r>
        <w:t>8.2 Validator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重新计算全部公式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股权价值与每股价值一致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EV到Equity Value桥接正确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股本单位一致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币种一致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数据日期不过期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同行数量足够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负数分母未被错误使用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异常值剔除有记录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报告数字与计算结果一致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Courier New" w:hAnsi="Courier New" w:eastAsia="Microsoft YaHei"/>
                <w:color w:val="243447"/>
                <w:sz w:val="18"/>
              </w:rPr>
              <w:t>{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"valid": false,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"errors": [],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"warnings": [],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 xml:space="preserve">  "recalculated_values": {}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}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1F1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9B1C1C"/>
              </w:rPr>
              <w:t xml:space="preserve">边界  </w:t>
            </w:r>
            <w:r>
              <w:rPr>
                <w:rFonts w:ascii="Calibri" w:hAnsi="Calibri" w:eastAsia="Microsoft YaHei"/>
                <w:color w:val="1F2937"/>
              </w:rPr>
              <w:t>Validator结果不可由LLM修改、隐藏或降级。LLM只能解释错误和警告。</w:t>
            </w:r>
          </w:p>
        </w:tc>
      </w:tr>
    </w:tbl>
    <w:p>
      <w:pPr>
        <w:spacing w:after="20"/>
      </w:pPr>
    </w:p>
    <w:p>
      <w:pPr>
        <w:pStyle w:val="Heading2"/>
      </w:pPr>
      <w:r>
        <w:t>8.3 Excel新增工作表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Peer Candidates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Peer Financials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Trading Multiples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Comps Valuation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DCF vs Comps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Validation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采用新增工作表方式，不破坏原项目已有的10张工作表。</w:t>
      </w:r>
    </w:p>
    <w:p>
      <w:pPr>
        <w:pStyle w:val="Heading1"/>
      </w:pPr>
      <w:r>
        <w:t>9. 第十批：A股MVP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第一版仅支持约10家代表性A股公司，覆盖白酒、银行、保险、新能源、汽车、医药、家电、消费、科技和制造业。具体公司根据数据源稳定性和字段完整度选择。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统一股票代码和交易所后缀。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公司本位币使用人民币。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明确年度、季度和TTM口径。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处理A股与美股会计字段映射差异。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A股优先与A股同行比较，不强行跨市场比较。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每家公司保存可回放的离线快照。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先进行小型Provider技术验证，再确定一个主Provider和一个备用Provider。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8A6400"/>
              </w:rPr>
              <w:t xml:space="preserve">范围控制  </w:t>
            </w:r>
            <w:r>
              <w:rPr>
                <w:rFonts w:ascii="Calibri" w:hAnsi="Calibri" w:eastAsia="Microsoft YaHei"/>
                <w:color w:val="1F2937"/>
              </w:rPr>
              <w:t>不追求全A股覆盖；MVP的重点是Schema统一、估值正确、来源清楚和离线可复现。</w:t>
            </w:r>
          </w:p>
        </w:tc>
      </w:tr>
    </w:tbl>
    <w:p>
      <w:pPr>
        <w:spacing w:after="20"/>
      </w:pPr>
    </w:p>
    <w:p>
      <w:pPr>
        <w:pStyle w:val="Heading1"/>
      </w:pPr>
      <w:r>
        <w:t>10. 第十一批：完整Agent评测系统</w:t>
      </w:r>
    </w:p>
    <w:p>
      <w:pPr>
        <w:pStyle w:val="Heading2"/>
      </w:pPr>
      <w:r>
        <w:t>10.1 约50题分布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0"/>
        <w:gridCol w:w="3360"/>
      </w:tblGrid>
      <w:tr>
        <w:trPr>
          <w:tblHeader w:val="true"/>
        </w:trPr>
        <w:tc>
          <w:tcPr>
            <w:tcW w:type="dxa" w:w="6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3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数量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工具路由与参数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6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多步骤任务</w:t>
            </w:r>
          </w:p>
        </w:tc>
        <w:tc>
          <w:tcPr>
            <w:tcW w:type="dxa" w:w="3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8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财务分析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6</w:t>
            </w:r>
          </w:p>
        </w:tc>
      </w:tr>
      <w:tr>
        <w:tc>
          <w:tcPr>
            <w:tcW w:type="dxa" w:w="6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DCF</w:t>
            </w:r>
          </w:p>
        </w:tc>
        <w:tc>
          <w:tcPr>
            <w:tcW w:type="dxa" w:w="3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可比公司估值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8</w:t>
            </w:r>
          </w:p>
        </w:tc>
      </w:tr>
      <w:tr>
        <w:tc>
          <w:tcPr>
            <w:tcW w:type="dxa" w:w="6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DCF与Comps验证</w:t>
            </w:r>
          </w:p>
        </w:tc>
        <w:tc>
          <w:tcPr>
            <w:tcW w:type="dxa" w:w="3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引用与证据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4</w:t>
            </w:r>
          </w:p>
        </w:tc>
      </w:tr>
      <w:tr>
        <w:tc>
          <w:tcPr>
            <w:tcW w:type="dxa" w:w="6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异常恢复</w:t>
            </w:r>
          </w:p>
        </w:tc>
        <w:tc>
          <w:tcPr>
            <w:tcW w:type="dxa" w:w="33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pStyle w:val="Heading2"/>
      </w:pPr>
      <w:r>
        <w:t>10.2 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7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指标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工具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Precision、Recall、F1、调用顺序正确率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参数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必填字段、股票代码、日期范围、Schema合法率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数字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精确匹配、容差匹配、报告一致率、Validator通过率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引用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关键事实覆盖率、链接有效率、支持关系、无来源数字比例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工程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延迟、Token、美元成本、工具次数、重试、异常恢复率</w:t>
            </w:r>
          </w:p>
        </w:tc>
      </w:tr>
    </w:tbl>
    <w:p>
      <w:pPr>
        <w:spacing w:after="40"/>
      </w:pPr>
    </w:p>
    <w:p>
      <w:pPr>
        <w:pStyle w:val="Heading2"/>
      </w:pPr>
      <w:r>
        <w:t>10.3 运行模式与报告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在线真实数据运行。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离线固定快照回放。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Flash与Pro对比。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Git修改前后对比。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单案例回放和批量评测。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JSON、CSV、HTML报告和失败案例详情。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自动评测以确定性规则为主。LLM Judge只能辅助评价语言质量，不得用于判断估值数字是否正确。</w:t>
      </w:r>
    </w:p>
    <w:p>
      <w:pPr>
        <w:pStyle w:val="Heading1"/>
      </w:pPr>
      <w:r>
        <w:t>11. 第十二批：研究工作台与部署</w:t>
      </w:r>
    </w:p>
    <w:p>
      <w:pPr>
        <w:pStyle w:val="Heading2"/>
      </w:pPr>
      <w:r>
        <w:t>11.1 产品页面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页面</w:t>
            </w:r>
          </w:p>
        </w:tc>
        <w:tc>
          <w:tcPr>
            <w:tcW w:type="dxa" w:w="7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功能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研究页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公司搜索、市场选择、问题输入、模型选择、执行进度、工具轨迹和数据来源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估值页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当前价格、DCF区间、Comps区间、同行表、倍数分布、异常值和Validator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新闻证据页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新闻、来源、时间、风险/催化剂、引用和无来源结论警告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评测页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模型对比、版本对比、成功率、数字一致性、成本、延迟和失败案例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下载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Markdown、PDF、Excel、JSON轨迹和评测报告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优先扩展原项目现有前端；只有原前端改造成本过高时，才用Streamlit快速完成MVP。界面只展示结果，不能承担估值计算。</w:t>
      </w:r>
    </w:p>
    <w:p>
      <w:pPr>
        <w:pStyle w:val="Heading2"/>
      </w:pPr>
      <w:r>
        <w:t>11.2 部署和工程化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Dockerfile和一键启动。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健康检查、超时、并发限制和API限流。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缓存、结构化日志和Trace ID。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敏感信息过滤。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CI运行离线测试。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真实集成测试手动触发。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依赖锁定和数据Schema版本。</w:t>
      </w:r>
    </w:p>
    <w:p>
      <w:pPr>
        <w:pStyle w:val="Heading2"/>
      </w:pPr>
      <w:r>
        <w:t>11.3 最终文档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Courier New" w:hAnsi="Courier New" w:eastAsia="Microsoft YaHei"/>
                <w:color w:val="243447"/>
                <w:sz w:val="18"/>
              </w:rPr>
              <w:t>README.md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ARCHITECTURE.md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EVALUATION.md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DATA_SOURCES.md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VALUATION_METHODOLOGY.md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LIMITATIONS.md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THIRD_PARTY_NOTICES.md</w:t>
            </w:r>
          </w:p>
        </w:tc>
      </w:tr>
    </w:tbl>
    <w:p>
      <w:pPr>
        <w:spacing w:after="20"/>
      </w:pPr>
    </w:p>
    <w:p>
      <w:pPr>
        <w:pStyle w:val="Heading1"/>
      </w:pPr>
      <w:r>
        <w:t>12. 时间安排与范围裁剪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800"/>
        <w:gridCol w:w="3260"/>
      </w:tblGrid>
      <w:tr>
        <w:trPr>
          <w:tblHeader w:val="true"/>
        </w:trPr>
        <w:tc>
          <w:tcPr>
            <w:tcW w:type="dxa" w:w="1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周次</w:t>
            </w:r>
          </w:p>
        </w:tc>
        <w:tc>
          <w:tcPr>
            <w:tcW w:type="dxa" w:w="4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任务</w:t>
            </w:r>
          </w:p>
        </w:tc>
        <w:tc>
          <w:tcPr>
            <w:tcW w:type="dxa" w:w="3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里程碑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第1周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第四批＋真实DeepSeek E2E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deepseek-integration-v1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第2周</w:t>
            </w:r>
          </w:p>
        </w:tc>
        <w:tc>
          <w:tcPr>
            <w:tcW w:type="dxa" w:w="4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15题评测基线＋统一Schema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eval-baseline-v1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第3周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Provider＋离线快照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中美数据契约稳定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第4周</w:t>
            </w:r>
          </w:p>
        </w:tc>
        <w:tc>
          <w:tcPr>
            <w:tcW w:type="dxa" w:w="4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同行候选与筛选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可解释同行列表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第5周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可比估值＋Validator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确定性估值闭环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第6周</w:t>
            </w:r>
          </w:p>
        </w:tc>
        <w:tc>
          <w:tcPr>
            <w:tcW w:type="dxa" w:w="4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DCF交叉验证＋Excel＋A股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两份样例报告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第7周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50题评测＋HTML报告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版本对比结果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第8周</w:t>
            </w:r>
          </w:p>
        </w:tc>
        <w:tc>
          <w:tcPr>
            <w:tcW w:type="dxa" w:w="4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工作台＋部署＋演示材料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可投递版本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1F1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9B1C1C"/>
              </w:rPr>
              <w:t xml:space="preserve">时间不足时的优先级  </w:t>
            </w:r>
            <w:r>
              <w:rPr>
                <w:rFonts w:ascii="Calibri" w:hAnsi="Calibri" w:eastAsia="Microsoft YaHei"/>
                <w:color w:val="1F2937"/>
              </w:rPr>
              <w:t>DeepSeek可运行 ＞ 离线评测 ＞ 美股可比估值 ＞ Validator ＞ 10家A股 ＞ 工作台 ＞ PDF和视觉优化。</w:t>
            </w:r>
          </w:p>
        </w:tc>
      </w:tr>
    </w:tbl>
    <w:p>
      <w:pPr>
        <w:spacing w:after="20"/>
      </w:pPr>
    </w:p>
    <w:p>
      <w:pPr>
        <w:pStyle w:val="Heading1"/>
      </w:pPr>
      <w:r>
        <w:t>13. 最终验收标准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DeepSeek Flash可完成多轮工具调用且不出现thinking相关400。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真实AAPL轻量E2E成功。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美股支持DCF和同行估值。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约10家A股支持财务分析和同行估值。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所有估值数字由Python计算。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同行筛选和异常值剔除原因可追溯。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输出P25、中位数和P75估值区间。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DCF和Comps能够交叉验证。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Validator可以发现人工篡改或公式不一致。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约50个固定问题。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支持离线快照回放。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支持模型和Git版本对比。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输出JSON、CSV和HTML评测报告。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研究工作台可操作。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Docker可部署。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至少一份AAPL和一份A股样例报告。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来源、许可证和局限性说明完整。</w:t>
      </w:r>
    </w:p>
    <w:p>
      <w:pPr>
        <w:pStyle w:val="Heading1"/>
      </w:pPr>
      <w:r>
        <w:t>14. 简历与面试交付物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公开或可演示的GitHub仓库。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3分钟演示视频。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系统架构图。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Agent工具调用流程图。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DCF与Comps对比截图。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评测结果对比表。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AAPL样例报告。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A股样例报告。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Excel估值文件。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README快速启动。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技术难点说明。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局限性和风险声明。</w:t>
      </w:r>
    </w:p>
    <w:p>
      <w:pPr>
        <w:pStyle w:val="Heading2"/>
      </w:pPr>
      <w:r>
        <w:t>14.1 简历表述参考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7365D"/>
              </w:rPr>
              <w:t xml:space="preserve">简历项目描述  </w:t>
            </w:r>
            <w:r>
              <w:rPr>
                <w:rFonts w:ascii="Calibri" w:hAnsi="Calibri" w:eastAsia="Microsoft YaHei"/>
                <w:color w:val="1F2937"/>
              </w:rPr>
              <w:t>基于开源金融研究Agent进行二次开发，设计统一模型注册与OpenAI-Compatible调用层，接入DeepSeek并实现工具调用、缓存感知成本统计及异常恢复；构建确定性可比公司估值引擎，支持PE/PB/PS/EV-EBITDA、异常值剔除及DCF交叉验证；搭建约50题的离线快照评测系统，对工具路由、参数准确率、数值一致性、引用覆盖率、延迟与成本进行版本化评估。</w:t>
            </w:r>
          </w:p>
        </w:tc>
      </w:tr>
    </w:tbl>
    <w:p>
      <w:pPr>
        <w:spacing w:after="20"/>
      </w:pPr>
    </w:p>
    <w:p>
      <w:pPr>
        <w:pStyle w:val="Heading1"/>
      </w:pPr>
      <w:r>
        <w:t>15. Trae总执行指令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以下内容可以整体复制给Trae。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Courier New" w:hAnsi="Courier New" w:eastAsia="Microsoft YaHei"/>
                <w:color w:val="243447"/>
                <w:sz w:val="18"/>
              </w:rPr>
              <w:t>从现在开始，按照以下顺序完成 stock-analyst 二次开发：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第四批：DeepSeek真实接入、动态CLI、环境变量、README、真实冒烟测试、AAPL轻量E2E。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第五批：建立15题离线/在线评测基线。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第六批：建立统一金融数据Provider和CompanyFinancialSnapshot Schema。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第七批：实现同行候选获取、财务数据获取和确定性筛选。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第八批：实现PE/PB/PS/EV-EBITDA确定性估值、异常值处理和估值区间。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第九批：实现DCF与Comps交叉验证、Validator和Excel工作表。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第十批：支持约10家代表性A股公司。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第十一批：将评测集扩展到约50题，支持模型、Git版本、在线和离线对比。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第十二批：完成研究工作台、Docker部署、文档和演示材料。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通用原则：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1. 每批开始前先审计现有代码并运行git status --short。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2. 每批先提交详细方案，再执行。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3. 每批修改后运行离线测试。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4. 真实API测试必须手动启用并限制费用。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5. 完成一批后提交Git commit和tag，再进入下一批。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6. 不覆盖用户已有修改。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7. 所有估值数字由Python确定性计算。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8. LLM只负责工具选择、必要假设和结果解释。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9. 所有数据包含来源、日期、币种、单位和财务期间。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10. 所有异常值剔除必须可追溯。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11. 不做涨跌预测、自动交易或盈利保证。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12. 保留Apache 2.0许可证和原项目来源。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13. 默认使用deepseek-v4-flash。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14. deepseek-v4-pro只用于显式配置的复杂任务和模型对比。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15. 当前继续显式关闭DeepSeek思考模式。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16. OpenAI和Anthropic保留兼容，但不是运行项目的必要条件。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17. 默认pytest不得产生真实API费用。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18. 每批提交修改文件、核心diff、测试结果、成本、git diff --stat、遗留问题和下一批前置条件。</w:t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</w:r>
            <w:r>
              <w:br/>
            </w:r>
            <w:r>
              <w:rPr>
                <w:rFonts w:ascii="Courier New" w:hAnsi="Courier New" w:eastAsia="Microsoft YaHei"/>
                <w:color w:val="243447"/>
                <w:sz w:val="18"/>
              </w:rPr>
              <w:t>现在先制定第四批详细实施方案，不要同时开始第五批。第四批通过全部离线测试和受控真实E2E后，再按照上述路线逐批开发。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附录A：第四批交付报告模板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实际修改文件列表。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每个文件核心diff。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环境变量与CLI最终行为。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离线测试命令和完整输出。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真实API测试命令、调用次数、Token、成本和延迟。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AAPL E2E工具轨迹。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git status --short、git diff --check、git diff --stat。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安全检查结果。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尚未解决问题。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color w:val="1F2937"/>
        </w:rPr>
        <w:t>第五批前置条件。</w:t>
      </w:r>
    </w:p>
    <w:p>
      <w:pPr>
        <w:pStyle w:val="Heading1"/>
      </w:pPr>
      <w:r>
        <w:t>附录B：参考与版本说明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color w:val="1F2937"/>
        </w:rPr>
        <w:t>DeepSeek官方接口信息核对日期：2026年8月5日。模型、价格和接口参数可能继续更新，第四批真实测试前应再次核对官方文档。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b/>
          <w:color w:val="17365D"/>
        </w:rPr>
        <w:t>DeepSeek API快速开始：</w:t>
      </w:r>
      <w:r>
        <w:rPr>
          <w:rFonts w:ascii="Calibri" w:hAnsi="Calibri" w:eastAsia="Microsoft YaHei"/>
          <w:color w:val="2E74B5"/>
        </w:rPr>
        <w:t>https://api-docs.deepseek.com/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b/>
          <w:color w:val="17365D"/>
        </w:rPr>
        <w:t>DeepSeek思考模式：</w:t>
      </w:r>
      <w:r>
        <w:rPr>
          <w:rFonts w:ascii="Calibri" w:hAnsi="Calibri" w:eastAsia="Microsoft YaHei"/>
          <w:color w:val="2E74B5"/>
        </w:rPr>
        <w:t>https://api-docs.deepseek.com/zh-cn/guides/thinking_mode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b/>
          <w:color w:val="17365D"/>
        </w:rPr>
        <w:t>DeepSeek工具调用：</w:t>
      </w:r>
      <w:r>
        <w:rPr>
          <w:rFonts w:ascii="Calibri" w:hAnsi="Calibri" w:eastAsia="Microsoft YaHei"/>
          <w:color w:val="2E74B5"/>
        </w:rPr>
        <w:t>https://api-docs.deepseek.com/guides/tool_calls/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Microsoft YaHei"/>
          <w:b/>
          <w:color w:val="17365D"/>
        </w:rPr>
        <w:t>原开源项目：</w:t>
      </w:r>
      <w:r>
        <w:rPr>
          <w:rFonts w:ascii="Calibri" w:hAnsi="Calibri" w:eastAsia="Microsoft YaHei"/>
          <w:color w:val="2E74B5"/>
        </w:rPr>
        <w:t>https://github.com/Agentic-Analyst/stock-analyst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color w:val="667085"/>
        <w:sz w:val="17"/>
      </w:rPr>
      <w:t>可验证金融研究 Agent · 开发执行手册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可验证金融研究Agent：完整开发路线与Trae执行手册</dc:title>
  <dc:subject>stock-analyst二次开发路线、验收标准和Trae执行指令</dc:subject>
  <dc:creator>项目开发规划</dc:creator>
  <cp:keywords>金融研究Agent, DeepSeek, 可比公司估值, DCF, Agent评测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