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9D234D" w14:textId="77777777" w:rsidR="003A64F7" w:rsidRDefault="004F7065">
      <w:pPr>
        <w:jc w:val="center"/>
        <w:rPr>
          <w:b/>
          <w:sz w:val="48"/>
          <w:szCs w:val="48"/>
        </w:rPr>
      </w:pPr>
      <w:r>
        <w:rPr>
          <w:noProof/>
          <w:lang w:val="en-US" w:eastAsia="en-US"/>
        </w:rPr>
        <w:drawing>
          <wp:anchor distT="114300" distB="114300" distL="114300" distR="114300" simplePos="0" relativeHeight="251658240" behindDoc="0" locked="0" layoutInCell="1" hidden="0" allowOverlap="1" wp14:anchorId="23B72440" wp14:editId="43F66ADD">
            <wp:simplePos x="0" y="0"/>
            <wp:positionH relativeFrom="column">
              <wp:posOffset>-257174</wp:posOffset>
            </wp:positionH>
            <wp:positionV relativeFrom="paragraph">
              <wp:posOffset>114300</wp:posOffset>
            </wp:positionV>
            <wp:extent cx="2286000" cy="91440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19254" b="21118"/>
                    <a:stretch>
                      <a:fillRect/>
                    </a:stretch>
                  </pic:blipFill>
                  <pic:spPr>
                    <a:xfrm>
                      <a:off x="0" y="0"/>
                      <a:ext cx="2286000" cy="914400"/>
                    </a:xfrm>
                    <a:prstGeom prst="rect">
                      <a:avLst/>
                    </a:prstGeom>
                    <a:ln/>
                  </pic:spPr>
                </pic:pic>
              </a:graphicData>
            </a:graphic>
          </wp:anchor>
        </w:drawing>
      </w:r>
      <w:r>
        <w:rPr>
          <w:noProof/>
          <w:lang w:val="en-US" w:eastAsia="en-US"/>
        </w:rPr>
        <w:drawing>
          <wp:anchor distT="114300" distB="114300" distL="114300" distR="114300" simplePos="0" relativeHeight="251659264" behindDoc="0" locked="0" layoutInCell="1" hidden="0" allowOverlap="1" wp14:anchorId="5F6E824A" wp14:editId="2D894134">
            <wp:simplePos x="0" y="0"/>
            <wp:positionH relativeFrom="column">
              <wp:posOffset>3590925</wp:posOffset>
            </wp:positionH>
            <wp:positionV relativeFrom="paragraph">
              <wp:posOffset>133350</wp:posOffset>
            </wp:positionV>
            <wp:extent cx="2606715" cy="876300"/>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12621" b="10679"/>
                    <a:stretch>
                      <a:fillRect/>
                    </a:stretch>
                  </pic:blipFill>
                  <pic:spPr>
                    <a:xfrm>
                      <a:off x="0" y="0"/>
                      <a:ext cx="2606715" cy="876300"/>
                    </a:xfrm>
                    <a:prstGeom prst="rect">
                      <a:avLst/>
                    </a:prstGeom>
                    <a:ln/>
                  </pic:spPr>
                </pic:pic>
              </a:graphicData>
            </a:graphic>
          </wp:anchor>
        </w:drawing>
      </w:r>
    </w:p>
    <w:p w14:paraId="58603077" w14:textId="77777777" w:rsidR="003A64F7" w:rsidRDefault="003A64F7">
      <w:pPr>
        <w:jc w:val="center"/>
        <w:rPr>
          <w:b/>
          <w:sz w:val="48"/>
          <w:szCs w:val="48"/>
        </w:rPr>
      </w:pPr>
    </w:p>
    <w:p w14:paraId="7D3029DB" w14:textId="77777777" w:rsidR="003A64F7" w:rsidRDefault="003A64F7">
      <w:pPr>
        <w:rPr>
          <w:b/>
          <w:sz w:val="48"/>
          <w:szCs w:val="48"/>
        </w:rPr>
      </w:pPr>
    </w:p>
    <w:p w14:paraId="3BC2B497" w14:textId="77777777" w:rsidR="003A64F7" w:rsidRDefault="003A64F7">
      <w:pPr>
        <w:jc w:val="center"/>
        <w:rPr>
          <w:b/>
          <w:sz w:val="48"/>
          <w:szCs w:val="48"/>
        </w:rPr>
      </w:pPr>
    </w:p>
    <w:p w14:paraId="3796CC6A" w14:textId="77777777" w:rsidR="003A64F7" w:rsidRDefault="004F7065">
      <w:pPr>
        <w:jc w:val="center"/>
        <w:rPr>
          <w:b/>
          <w:sz w:val="48"/>
          <w:szCs w:val="48"/>
        </w:rPr>
      </w:pPr>
      <w:r>
        <w:rPr>
          <w:b/>
          <w:sz w:val="48"/>
          <w:szCs w:val="48"/>
        </w:rPr>
        <w:t>Ingeniería Biomédica</w:t>
      </w:r>
    </w:p>
    <w:p w14:paraId="2F2CC3E5" w14:textId="77777777" w:rsidR="003A64F7" w:rsidRDefault="004F7065">
      <w:pPr>
        <w:jc w:val="center"/>
        <w:rPr>
          <w:b/>
          <w:sz w:val="48"/>
          <w:szCs w:val="48"/>
        </w:rPr>
      </w:pPr>
      <w:r>
        <w:rPr>
          <w:b/>
          <w:sz w:val="48"/>
          <w:szCs w:val="48"/>
        </w:rPr>
        <w:t>PUCP- UPCH</w:t>
      </w:r>
    </w:p>
    <w:p w14:paraId="6363E34F" w14:textId="77777777" w:rsidR="003A64F7" w:rsidRDefault="003A64F7">
      <w:pPr>
        <w:rPr>
          <w:b/>
          <w:sz w:val="48"/>
          <w:szCs w:val="48"/>
        </w:rPr>
      </w:pPr>
    </w:p>
    <w:p w14:paraId="0A14339B" w14:textId="77777777" w:rsidR="003A64F7" w:rsidRDefault="003A64F7">
      <w:pPr>
        <w:rPr>
          <w:b/>
          <w:sz w:val="48"/>
          <w:szCs w:val="48"/>
        </w:rPr>
      </w:pPr>
    </w:p>
    <w:p w14:paraId="440C75FC" w14:textId="77777777" w:rsidR="003A64F7" w:rsidRDefault="004F7065">
      <w:pPr>
        <w:jc w:val="center"/>
        <w:rPr>
          <w:b/>
          <w:sz w:val="30"/>
          <w:szCs w:val="30"/>
        </w:rPr>
      </w:pPr>
      <w:r>
        <w:rPr>
          <w:b/>
          <w:sz w:val="30"/>
          <w:szCs w:val="30"/>
        </w:rPr>
        <w:t>“Monitor de signos vitales ad hoc para niños durante intervenciones quirúrgicas”</w:t>
      </w:r>
    </w:p>
    <w:p w14:paraId="2D1712A0" w14:textId="77777777" w:rsidR="003A64F7" w:rsidRDefault="003A64F7">
      <w:pPr>
        <w:jc w:val="center"/>
        <w:rPr>
          <w:sz w:val="36"/>
          <w:szCs w:val="36"/>
        </w:rPr>
      </w:pPr>
    </w:p>
    <w:p w14:paraId="693241F0" w14:textId="77777777" w:rsidR="003A64F7" w:rsidRDefault="003A64F7">
      <w:pPr>
        <w:rPr>
          <w:sz w:val="36"/>
          <w:szCs w:val="36"/>
        </w:rPr>
      </w:pPr>
    </w:p>
    <w:p w14:paraId="48188EC5" w14:textId="77777777" w:rsidR="003A64F7" w:rsidRDefault="004F7065">
      <w:pPr>
        <w:jc w:val="center"/>
        <w:rPr>
          <w:sz w:val="28"/>
          <w:szCs w:val="28"/>
        </w:rPr>
      </w:pPr>
      <w:r>
        <w:rPr>
          <w:b/>
          <w:sz w:val="28"/>
          <w:szCs w:val="28"/>
        </w:rPr>
        <w:t>INTEGRANTES:</w:t>
      </w:r>
    </w:p>
    <w:p w14:paraId="7129FBB2" w14:textId="5EFDEC02" w:rsidR="003A64F7" w:rsidRDefault="00BD0E85">
      <w:pPr>
        <w:jc w:val="center"/>
        <w:rPr>
          <w:sz w:val="28"/>
          <w:szCs w:val="28"/>
        </w:rPr>
      </w:pPr>
      <w:r>
        <w:rPr>
          <w:sz w:val="28"/>
          <w:szCs w:val="28"/>
        </w:rPr>
        <w:t xml:space="preserve">Vivian Loli Torres, </w:t>
      </w:r>
      <w:proofErr w:type="spellStart"/>
      <w:r w:rsidR="004F7065">
        <w:rPr>
          <w:sz w:val="28"/>
          <w:szCs w:val="28"/>
        </w:rPr>
        <w:t>Joaquin</w:t>
      </w:r>
      <w:proofErr w:type="spellEnd"/>
      <w:r w:rsidR="004F7065">
        <w:rPr>
          <w:sz w:val="28"/>
          <w:szCs w:val="28"/>
        </w:rPr>
        <w:t xml:space="preserve"> </w:t>
      </w:r>
      <w:proofErr w:type="spellStart"/>
      <w:r w:rsidR="004F7065">
        <w:rPr>
          <w:sz w:val="28"/>
          <w:szCs w:val="28"/>
        </w:rPr>
        <w:t>Martinez</w:t>
      </w:r>
      <w:proofErr w:type="spellEnd"/>
      <w:r w:rsidR="004F7065">
        <w:rPr>
          <w:sz w:val="28"/>
          <w:szCs w:val="28"/>
        </w:rPr>
        <w:t xml:space="preserve"> Flores</w:t>
      </w:r>
      <w:r>
        <w:rPr>
          <w:sz w:val="28"/>
          <w:szCs w:val="28"/>
        </w:rPr>
        <w:t>, Daniel Zavaleta Guzmán</w:t>
      </w:r>
    </w:p>
    <w:p w14:paraId="72A9DD96" w14:textId="77777777" w:rsidR="003A64F7" w:rsidRDefault="003A64F7">
      <w:pPr>
        <w:jc w:val="center"/>
        <w:rPr>
          <w:sz w:val="28"/>
          <w:szCs w:val="28"/>
        </w:rPr>
      </w:pPr>
    </w:p>
    <w:p w14:paraId="79A6C27E" w14:textId="77777777" w:rsidR="003A64F7" w:rsidRDefault="003A64F7">
      <w:pPr>
        <w:jc w:val="center"/>
        <w:rPr>
          <w:sz w:val="28"/>
          <w:szCs w:val="28"/>
        </w:rPr>
      </w:pPr>
    </w:p>
    <w:p w14:paraId="0D80577C" w14:textId="77777777" w:rsidR="003A64F7" w:rsidRDefault="004F7065">
      <w:pPr>
        <w:jc w:val="center"/>
        <w:rPr>
          <w:b/>
          <w:sz w:val="28"/>
          <w:szCs w:val="28"/>
        </w:rPr>
      </w:pPr>
      <w:r>
        <w:rPr>
          <w:b/>
          <w:sz w:val="28"/>
          <w:szCs w:val="28"/>
        </w:rPr>
        <w:t>CURSO:</w:t>
      </w:r>
    </w:p>
    <w:p w14:paraId="0FA8DF54" w14:textId="77777777" w:rsidR="003A64F7" w:rsidRDefault="004F7065">
      <w:pPr>
        <w:jc w:val="center"/>
        <w:rPr>
          <w:sz w:val="28"/>
          <w:szCs w:val="28"/>
        </w:rPr>
      </w:pPr>
      <w:r>
        <w:rPr>
          <w:sz w:val="28"/>
          <w:szCs w:val="28"/>
        </w:rPr>
        <w:t>Proyecto de Biodiseño 1</w:t>
      </w:r>
    </w:p>
    <w:p w14:paraId="5C8C6498" w14:textId="77777777" w:rsidR="003A64F7" w:rsidRDefault="003A64F7">
      <w:pPr>
        <w:rPr>
          <w:sz w:val="48"/>
          <w:szCs w:val="48"/>
        </w:rPr>
      </w:pPr>
    </w:p>
    <w:p w14:paraId="10FBF536" w14:textId="77777777" w:rsidR="003A64F7" w:rsidRDefault="004F7065">
      <w:pPr>
        <w:jc w:val="center"/>
        <w:rPr>
          <w:b/>
          <w:sz w:val="28"/>
          <w:szCs w:val="28"/>
        </w:rPr>
      </w:pPr>
      <w:r>
        <w:rPr>
          <w:b/>
          <w:sz w:val="28"/>
          <w:szCs w:val="28"/>
        </w:rPr>
        <w:t>ASESOR:</w:t>
      </w:r>
    </w:p>
    <w:p w14:paraId="2CFAD1DD" w14:textId="77777777" w:rsidR="003A64F7" w:rsidRDefault="004F7065">
      <w:pPr>
        <w:jc w:val="center"/>
        <w:rPr>
          <w:sz w:val="28"/>
          <w:szCs w:val="28"/>
        </w:rPr>
      </w:pPr>
      <w:proofErr w:type="spellStart"/>
      <w:r>
        <w:rPr>
          <w:color w:val="232323"/>
          <w:sz w:val="28"/>
          <w:szCs w:val="28"/>
        </w:rPr>
        <w:t>MSc</w:t>
      </w:r>
      <w:proofErr w:type="spellEnd"/>
      <w:r>
        <w:rPr>
          <w:color w:val="232323"/>
          <w:sz w:val="28"/>
          <w:szCs w:val="28"/>
        </w:rPr>
        <w:t xml:space="preserve">. PhD Candidate </w:t>
      </w:r>
      <w:r>
        <w:rPr>
          <w:sz w:val="28"/>
          <w:szCs w:val="28"/>
        </w:rPr>
        <w:t>Rossana Rivas Tarazona</w:t>
      </w:r>
    </w:p>
    <w:p w14:paraId="2D51DC6F" w14:textId="77777777" w:rsidR="003A64F7" w:rsidRDefault="003A64F7">
      <w:pPr>
        <w:jc w:val="center"/>
        <w:rPr>
          <w:sz w:val="28"/>
          <w:szCs w:val="28"/>
        </w:rPr>
      </w:pPr>
    </w:p>
    <w:p w14:paraId="38825D4D" w14:textId="77777777" w:rsidR="003A64F7" w:rsidRDefault="003A64F7">
      <w:pPr>
        <w:rPr>
          <w:sz w:val="28"/>
          <w:szCs w:val="28"/>
        </w:rPr>
      </w:pPr>
    </w:p>
    <w:p w14:paraId="7C4217AE" w14:textId="77777777" w:rsidR="003A64F7" w:rsidRDefault="004F7065">
      <w:pPr>
        <w:jc w:val="center"/>
        <w:rPr>
          <w:b/>
          <w:sz w:val="28"/>
          <w:szCs w:val="28"/>
        </w:rPr>
      </w:pPr>
      <w:r>
        <w:rPr>
          <w:b/>
          <w:sz w:val="28"/>
          <w:szCs w:val="28"/>
        </w:rPr>
        <w:t>PROFESOR COORDINADOR:</w:t>
      </w:r>
    </w:p>
    <w:p w14:paraId="0E935DB5" w14:textId="77777777" w:rsidR="003A64F7" w:rsidRDefault="004F7065">
      <w:pPr>
        <w:jc w:val="center"/>
        <w:rPr>
          <w:sz w:val="28"/>
          <w:szCs w:val="28"/>
        </w:rPr>
      </w:pPr>
      <w:proofErr w:type="spellStart"/>
      <w:r>
        <w:rPr>
          <w:sz w:val="28"/>
          <w:szCs w:val="28"/>
        </w:rPr>
        <w:t>MSc</w:t>
      </w:r>
      <w:proofErr w:type="spellEnd"/>
      <w:r>
        <w:rPr>
          <w:sz w:val="28"/>
          <w:szCs w:val="28"/>
        </w:rPr>
        <w:t>. Ivan Arturo Calle Flores</w:t>
      </w:r>
    </w:p>
    <w:p w14:paraId="467EA705" w14:textId="77777777" w:rsidR="003A64F7" w:rsidRDefault="003A64F7">
      <w:pPr>
        <w:jc w:val="center"/>
        <w:rPr>
          <w:sz w:val="28"/>
          <w:szCs w:val="28"/>
        </w:rPr>
      </w:pPr>
    </w:p>
    <w:p w14:paraId="03DA427D" w14:textId="77777777" w:rsidR="003A64F7" w:rsidRDefault="003A64F7">
      <w:pPr>
        <w:jc w:val="center"/>
        <w:rPr>
          <w:sz w:val="28"/>
          <w:szCs w:val="28"/>
        </w:rPr>
      </w:pPr>
    </w:p>
    <w:p w14:paraId="67355674" w14:textId="77777777" w:rsidR="003A64F7" w:rsidRDefault="003A64F7">
      <w:pPr>
        <w:jc w:val="center"/>
        <w:rPr>
          <w:sz w:val="28"/>
          <w:szCs w:val="28"/>
        </w:rPr>
      </w:pPr>
    </w:p>
    <w:p w14:paraId="04427DF4" w14:textId="77777777" w:rsidR="003A64F7" w:rsidRDefault="003A64F7">
      <w:pPr>
        <w:jc w:val="center"/>
        <w:rPr>
          <w:sz w:val="28"/>
          <w:szCs w:val="28"/>
        </w:rPr>
      </w:pPr>
    </w:p>
    <w:p w14:paraId="05E6BD01" w14:textId="77777777" w:rsidR="003A64F7" w:rsidRDefault="004F7065">
      <w:pPr>
        <w:jc w:val="center"/>
        <w:rPr>
          <w:b/>
          <w:sz w:val="28"/>
          <w:szCs w:val="28"/>
        </w:rPr>
      </w:pPr>
      <w:r>
        <w:rPr>
          <w:b/>
          <w:sz w:val="20"/>
          <w:szCs w:val="20"/>
        </w:rPr>
        <w:t>SEGUNDO SEMESTRE 2021</w:t>
      </w:r>
    </w:p>
    <w:p w14:paraId="7FED8E26" w14:textId="77777777" w:rsidR="003A64F7" w:rsidRDefault="003A64F7">
      <w:pPr>
        <w:jc w:val="center"/>
        <w:rPr>
          <w:b/>
          <w:sz w:val="28"/>
          <w:szCs w:val="28"/>
        </w:rPr>
      </w:pPr>
    </w:p>
    <w:p w14:paraId="5773503F" w14:textId="77777777" w:rsidR="003A64F7" w:rsidRDefault="004F7065">
      <w:pPr>
        <w:ind w:left="-141"/>
        <w:jc w:val="center"/>
        <w:rPr>
          <w:b/>
          <w:sz w:val="28"/>
          <w:szCs w:val="28"/>
        </w:rPr>
      </w:pPr>
      <w:r>
        <w:rPr>
          <w:b/>
          <w:sz w:val="28"/>
          <w:szCs w:val="28"/>
        </w:rPr>
        <w:t>ÍNDICE</w:t>
      </w:r>
    </w:p>
    <w:p w14:paraId="7DDA783E" w14:textId="77777777" w:rsidR="003A64F7" w:rsidRDefault="003A64F7">
      <w:pPr>
        <w:ind w:left="720"/>
        <w:rPr>
          <w:sz w:val="28"/>
          <w:szCs w:val="28"/>
        </w:rPr>
      </w:pPr>
    </w:p>
    <w:p w14:paraId="4143F04A" w14:textId="77777777" w:rsidR="003A64F7" w:rsidRDefault="003A64F7">
      <w:pPr>
        <w:ind w:left="1440"/>
        <w:rPr>
          <w:b/>
          <w:sz w:val="24"/>
          <w:szCs w:val="24"/>
          <w:highlight w:val="green"/>
        </w:rPr>
      </w:pPr>
    </w:p>
    <w:p w14:paraId="666613D5" w14:textId="77777777" w:rsidR="003A64F7" w:rsidRDefault="003A64F7">
      <w:pPr>
        <w:ind w:left="720"/>
        <w:rPr>
          <w:sz w:val="24"/>
          <w:szCs w:val="24"/>
          <w:highlight w:val="green"/>
        </w:rPr>
      </w:pPr>
    </w:p>
    <w:p w14:paraId="7513C11F" w14:textId="5A415335" w:rsidR="003A64F7" w:rsidRDefault="004F7065">
      <w:pPr>
        <w:ind w:left="-141"/>
      </w:pPr>
      <w:r>
        <w:rPr>
          <w:b/>
          <w:sz w:val="24"/>
          <w:szCs w:val="24"/>
        </w:rPr>
        <w:t xml:space="preserve">PROBLEMÁTICA                                                                                              </w:t>
      </w:r>
      <w:r w:rsidR="00E103B4">
        <w:t>1</w:t>
      </w:r>
    </w:p>
    <w:p w14:paraId="11E4ADF0" w14:textId="77777777" w:rsidR="003A64F7" w:rsidRDefault="003A64F7">
      <w:pPr>
        <w:ind w:left="-141"/>
      </w:pPr>
    </w:p>
    <w:p w14:paraId="0CF1846A" w14:textId="0FE64B24" w:rsidR="003A64F7" w:rsidRDefault="004F7065">
      <w:pPr>
        <w:ind w:left="578" w:firstLine="141"/>
      </w:pPr>
      <w:r>
        <w:t xml:space="preserve">Contexto                                                                                                          </w:t>
      </w:r>
      <w:r w:rsidR="00E103B4">
        <w:t>1</w:t>
      </w:r>
    </w:p>
    <w:p w14:paraId="2871A123" w14:textId="77777777" w:rsidR="003A64F7" w:rsidRDefault="003A64F7">
      <w:pPr>
        <w:ind w:left="-141"/>
      </w:pPr>
    </w:p>
    <w:p w14:paraId="2A3F9242" w14:textId="14D9A6C1" w:rsidR="003A64F7" w:rsidRDefault="004F7065">
      <w:pPr>
        <w:ind w:left="578" w:firstLine="141"/>
      </w:pPr>
      <w:r>
        <w:t xml:space="preserve">Definición del problema                                                                                   </w:t>
      </w:r>
      <w:r w:rsidR="00E103B4">
        <w:t>4</w:t>
      </w:r>
    </w:p>
    <w:p w14:paraId="63DABFF2" w14:textId="77777777" w:rsidR="003A64F7" w:rsidRDefault="003A64F7">
      <w:pPr>
        <w:ind w:left="-141"/>
      </w:pPr>
    </w:p>
    <w:p w14:paraId="5A029C2D" w14:textId="11501462" w:rsidR="003A64F7" w:rsidRDefault="004F7065">
      <w:pPr>
        <w:ind w:left="578" w:firstLine="141"/>
      </w:pPr>
      <w:r>
        <w:t xml:space="preserve">Efecto y su impacto                                                                                         </w:t>
      </w:r>
      <w:r w:rsidR="00E103B4">
        <w:t>4</w:t>
      </w:r>
    </w:p>
    <w:p w14:paraId="312E4E74" w14:textId="77777777" w:rsidR="003A64F7" w:rsidRDefault="003A64F7">
      <w:pPr>
        <w:ind w:left="-141"/>
      </w:pPr>
    </w:p>
    <w:p w14:paraId="58848564" w14:textId="25F9CBB8" w:rsidR="003A64F7" w:rsidRDefault="004F7065">
      <w:pPr>
        <w:ind w:left="578" w:firstLine="141"/>
      </w:pPr>
      <w:r>
        <w:t xml:space="preserve">Causas y sus factores                                                                                     </w:t>
      </w:r>
      <w:r w:rsidR="00E103B4">
        <w:t>4</w:t>
      </w:r>
    </w:p>
    <w:p w14:paraId="6EFE3194" w14:textId="77777777" w:rsidR="003A64F7" w:rsidRDefault="003A64F7">
      <w:pPr>
        <w:ind w:left="-141"/>
      </w:pPr>
    </w:p>
    <w:p w14:paraId="28C0FC52" w14:textId="24A7E641" w:rsidR="003A64F7" w:rsidRDefault="004F7065">
      <w:pPr>
        <w:ind w:left="578" w:firstLine="141"/>
      </w:pPr>
      <w:r>
        <w:t xml:space="preserve">Alcance de la propuesta preliminar                                                                 </w:t>
      </w:r>
      <w:r w:rsidR="00E103B4">
        <w:t>5</w:t>
      </w:r>
    </w:p>
    <w:p w14:paraId="0E9C8B84" w14:textId="77777777" w:rsidR="003A64F7" w:rsidRDefault="003A64F7">
      <w:pPr>
        <w:ind w:left="-141"/>
      </w:pPr>
    </w:p>
    <w:p w14:paraId="26A1037F" w14:textId="77777777" w:rsidR="003A64F7" w:rsidRDefault="003A64F7">
      <w:pPr>
        <w:ind w:left="-141"/>
        <w:rPr>
          <w:b/>
          <w:sz w:val="24"/>
          <w:szCs w:val="24"/>
        </w:rPr>
      </w:pPr>
    </w:p>
    <w:p w14:paraId="0A0FEFFD" w14:textId="226D2FAE" w:rsidR="003A64F7" w:rsidRDefault="004F7065">
      <w:pPr>
        <w:ind w:left="-141"/>
        <w:rPr>
          <w:sz w:val="24"/>
          <w:szCs w:val="24"/>
        </w:rPr>
      </w:pPr>
      <w:r>
        <w:rPr>
          <w:b/>
          <w:sz w:val="24"/>
          <w:szCs w:val="24"/>
        </w:rPr>
        <w:t>BIBLIOGRAFÍA</w:t>
      </w:r>
      <w:r>
        <w:rPr>
          <w:sz w:val="24"/>
          <w:szCs w:val="24"/>
        </w:rPr>
        <w:t xml:space="preserve">                                                                                                  </w:t>
      </w:r>
      <w:r w:rsidR="00E103B4">
        <w:rPr>
          <w:sz w:val="24"/>
          <w:szCs w:val="24"/>
        </w:rPr>
        <w:t>6</w:t>
      </w:r>
    </w:p>
    <w:p w14:paraId="20767003" w14:textId="77777777" w:rsidR="003A64F7" w:rsidRDefault="003A64F7">
      <w:pPr>
        <w:ind w:left="720"/>
        <w:rPr>
          <w:sz w:val="24"/>
          <w:szCs w:val="24"/>
          <w:highlight w:val="green"/>
        </w:rPr>
      </w:pPr>
    </w:p>
    <w:p w14:paraId="7AB3F848" w14:textId="77777777" w:rsidR="003A64F7" w:rsidRDefault="003A64F7">
      <w:pPr>
        <w:ind w:left="720"/>
        <w:rPr>
          <w:sz w:val="28"/>
          <w:szCs w:val="28"/>
          <w:highlight w:val="green"/>
        </w:rPr>
      </w:pPr>
    </w:p>
    <w:p w14:paraId="6548D026" w14:textId="77777777" w:rsidR="003A64F7" w:rsidRDefault="003A64F7">
      <w:pPr>
        <w:ind w:left="720"/>
        <w:rPr>
          <w:sz w:val="28"/>
          <w:szCs w:val="28"/>
          <w:highlight w:val="green"/>
        </w:rPr>
      </w:pPr>
    </w:p>
    <w:p w14:paraId="35663485" w14:textId="77777777" w:rsidR="003A64F7" w:rsidRDefault="003A64F7">
      <w:pPr>
        <w:rPr>
          <w:rFonts w:ascii="Calibri" w:eastAsia="Calibri" w:hAnsi="Calibri" w:cs="Calibri"/>
          <w:b/>
          <w:highlight w:val="green"/>
        </w:rPr>
      </w:pPr>
    </w:p>
    <w:p w14:paraId="2CF9AFAE" w14:textId="77777777" w:rsidR="003A64F7" w:rsidRDefault="003A64F7">
      <w:pPr>
        <w:rPr>
          <w:rFonts w:ascii="Calibri" w:eastAsia="Calibri" w:hAnsi="Calibri" w:cs="Calibri"/>
          <w:b/>
          <w:highlight w:val="green"/>
        </w:rPr>
      </w:pPr>
    </w:p>
    <w:p w14:paraId="01D56621" w14:textId="77777777" w:rsidR="003A64F7" w:rsidRDefault="003A64F7">
      <w:pPr>
        <w:rPr>
          <w:rFonts w:ascii="Calibri" w:eastAsia="Calibri" w:hAnsi="Calibri" w:cs="Calibri"/>
          <w:b/>
        </w:rPr>
      </w:pPr>
    </w:p>
    <w:p w14:paraId="72BBB123" w14:textId="77777777" w:rsidR="003A64F7" w:rsidRDefault="003A64F7">
      <w:pPr>
        <w:rPr>
          <w:rFonts w:ascii="Calibri" w:eastAsia="Calibri" w:hAnsi="Calibri" w:cs="Calibri"/>
          <w:b/>
        </w:rPr>
      </w:pPr>
    </w:p>
    <w:p w14:paraId="258791EA" w14:textId="77777777" w:rsidR="003A64F7" w:rsidRDefault="003A64F7">
      <w:pPr>
        <w:rPr>
          <w:rFonts w:ascii="Calibri" w:eastAsia="Calibri" w:hAnsi="Calibri" w:cs="Calibri"/>
          <w:b/>
        </w:rPr>
      </w:pPr>
    </w:p>
    <w:p w14:paraId="5CF594B3" w14:textId="77777777" w:rsidR="003A64F7" w:rsidRDefault="003A64F7">
      <w:pPr>
        <w:rPr>
          <w:rFonts w:ascii="Calibri" w:eastAsia="Calibri" w:hAnsi="Calibri" w:cs="Calibri"/>
          <w:b/>
        </w:rPr>
      </w:pPr>
    </w:p>
    <w:p w14:paraId="545676EF" w14:textId="77777777" w:rsidR="003A64F7" w:rsidRDefault="003A64F7">
      <w:pPr>
        <w:rPr>
          <w:rFonts w:ascii="Calibri" w:eastAsia="Calibri" w:hAnsi="Calibri" w:cs="Calibri"/>
          <w:b/>
        </w:rPr>
      </w:pPr>
    </w:p>
    <w:p w14:paraId="141D9BD9" w14:textId="77777777" w:rsidR="003A64F7" w:rsidRDefault="003A64F7">
      <w:pPr>
        <w:rPr>
          <w:rFonts w:ascii="Calibri" w:eastAsia="Calibri" w:hAnsi="Calibri" w:cs="Calibri"/>
          <w:b/>
        </w:rPr>
      </w:pPr>
    </w:p>
    <w:p w14:paraId="4EF09252" w14:textId="77777777" w:rsidR="003A64F7" w:rsidRDefault="003A64F7">
      <w:pPr>
        <w:rPr>
          <w:rFonts w:ascii="Calibri" w:eastAsia="Calibri" w:hAnsi="Calibri" w:cs="Calibri"/>
          <w:b/>
        </w:rPr>
      </w:pPr>
    </w:p>
    <w:p w14:paraId="7E2A405B" w14:textId="77777777" w:rsidR="003A64F7" w:rsidRDefault="003A64F7">
      <w:pPr>
        <w:rPr>
          <w:rFonts w:ascii="Calibri" w:eastAsia="Calibri" w:hAnsi="Calibri" w:cs="Calibri"/>
          <w:b/>
        </w:rPr>
      </w:pPr>
    </w:p>
    <w:p w14:paraId="35F3EAD4" w14:textId="77777777" w:rsidR="003A64F7" w:rsidRDefault="003A64F7">
      <w:pPr>
        <w:rPr>
          <w:rFonts w:ascii="Calibri" w:eastAsia="Calibri" w:hAnsi="Calibri" w:cs="Calibri"/>
          <w:b/>
        </w:rPr>
      </w:pPr>
    </w:p>
    <w:p w14:paraId="6984A5F3" w14:textId="77777777" w:rsidR="003A64F7" w:rsidRDefault="003A64F7">
      <w:pPr>
        <w:rPr>
          <w:rFonts w:ascii="Calibri" w:eastAsia="Calibri" w:hAnsi="Calibri" w:cs="Calibri"/>
          <w:b/>
        </w:rPr>
      </w:pPr>
    </w:p>
    <w:p w14:paraId="20DF3A70" w14:textId="77777777" w:rsidR="003A64F7" w:rsidRDefault="003A64F7">
      <w:pPr>
        <w:rPr>
          <w:rFonts w:ascii="Calibri" w:eastAsia="Calibri" w:hAnsi="Calibri" w:cs="Calibri"/>
          <w:b/>
        </w:rPr>
      </w:pPr>
    </w:p>
    <w:p w14:paraId="2ED1A864" w14:textId="77777777" w:rsidR="003A64F7" w:rsidRDefault="003A64F7">
      <w:pPr>
        <w:rPr>
          <w:rFonts w:ascii="Calibri" w:eastAsia="Calibri" w:hAnsi="Calibri" w:cs="Calibri"/>
          <w:b/>
        </w:rPr>
      </w:pPr>
    </w:p>
    <w:p w14:paraId="3C35C5AB" w14:textId="77777777" w:rsidR="003A64F7" w:rsidRDefault="003A64F7">
      <w:pPr>
        <w:rPr>
          <w:rFonts w:ascii="Calibri" w:eastAsia="Calibri" w:hAnsi="Calibri" w:cs="Calibri"/>
          <w:b/>
        </w:rPr>
      </w:pPr>
    </w:p>
    <w:p w14:paraId="75ECF394" w14:textId="77777777" w:rsidR="003A64F7" w:rsidRDefault="003A64F7">
      <w:pPr>
        <w:rPr>
          <w:rFonts w:ascii="Calibri" w:eastAsia="Calibri" w:hAnsi="Calibri" w:cs="Calibri"/>
          <w:b/>
        </w:rPr>
      </w:pPr>
    </w:p>
    <w:p w14:paraId="1E497964" w14:textId="77777777" w:rsidR="003A64F7" w:rsidRDefault="003A64F7">
      <w:pPr>
        <w:rPr>
          <w:rFonts w:ascii="Calibri" w:eastAsia="Calibri" w:hAnsi="Calibri" w:cs="Calibri"/>
          <w:b/>
        </w:rPr>
      </w:pPr>
    </w:p>
    <w:p w14:paraId="03C2B84A" w14:textId="77777777" w:rsidR="003A64F7" w:rsidRDefault="003A64F7">
      <w:pPr>
        <w:rPr>
          <w:rFonts w:ascii="Calibri" w:eastAsia="Calibri" w:hAnsi="Calibri" w:cs="Calibri"/>
          <w:b/>
        </w:rPr>
      </w:pPr>
    </w:p>
    <w:p w14:paraId="4A89C142" w14:textId="77777777" w:rsidR="002A5E0D" w:rsidRDefault="002A5E0D">
      <w:pPr>
        <w:rPr>
          <w:rFonts w:ascii="Calibri" w:eastAsia="Calibri" w:hAnsi="Calibri" w:cs="Calibri"/>
          <w:b/>
        </w:rPr>
        <w:sectPr w:rsidR="002A5E0D">
          <w:headerReference w:type="default" r:id="rId9"/>
          <w:headerReference w:type="first" r:id="rId10"/>
          <w:pgSz w:w="11909" w:h="16834"/>
          <w:pgMar w:top="1440" w:right="1440" w:bottom="1440" w:left="1440" w:header="720" w:footer="720" w:gutter="0"/>
          <w:pgNumType w:start="0"/>
          <w:cols w:space="720"/>
          <w:titlePg/>
        </w:sectPr>
      </w:pPr>
    </w:p>
    <w:p w14:paraId="77D5A885" w14:textId="77777777" w:rsidR="003A64F7" w:rsidRDefault="004F7065">
      <w:pPr>
        <w:numPr>
          <w:ilvl w:val="0"/>
          <w:numId w:val="2"/>
        </w:numPr>
        <w:ind w:right="100"/>
        <w:rPr>
          <w:rFonts w:ascii="Calibri" w:eastAsia="Calibri" w:hAnsi="Calibri" w:cs="Calibri"/>
          <w:b/>
        </w:rPr>
      </w:pPr>
      <w:r>
        <w:rPr>
          <w:rFonts w:ascii="Calibri" w:eastAsia="Calibri" w:hAnsi="Calibri" w:cs="Calibri"/>
          <w:b/>
        </w:rPr>
        <w:lastRenderedPageBreak/>
        <w:t>Contexto</w:t>
      </w:r>
    </w:p>
    <w:p w14:paraId="5AAEE44F" w14:textId="77777777" w:rsidR="003A64F7" w:rsidRDefault="003A64F7">
      <w:pPr>
        <w:ind w:left="141" w:right="100"/>
        <w:rPr>
          <w:rFonts w:ascii="Calibri" w:eastAsia="Calibri" w:hAnsi="Calibri" w:cs="Calibri"/>
          <w:b/>
        </w:rPr>
      </w:pPr>
    </w:p>
    <w:p w14:paraId="02799D6B" w14:textId="77777777" w:rsidR="003A64F7" w:rsidRDefault="004F7065">
      <w:pPr>
        <w:ind w:left="141" w:right="100"/>
        <w:rPr>
          <w:rFonts w:ascii="Calibri" w:eastAsia="Calibri" w:hAnsi="Calibri" w:cs="Calibri"/>
          <w:b/>
        </w:rPr>
      </w:pPr>
      <w:r>
        <w:rPr>
          <w:rFonts w:ascii="Calibri" w:eastAsia="Calibri" w:hAnsi="Calibri" w:cs="Calibri"/>
          <w:b/>
        </w:rPr>
        <w:t>1.1. Conceptos generales</w:t>
      </w:r>
    </w:p>
    <w:p w14:paraId="0E98C8DF" w14:textId="31806CD5" w:rsidR="003A64F7" w:rsidRDefault="004F7065">
      <w:pPr>
        <w:ind w:left="141" w:right="100"/>
        <w:jc w:val="both"/>
        <w:rPr>
          <w:rFonts w:ascii="Calibri" w:eastAsia="Calibri" w:hAnsi="Calibri" w:cs="Calibri"/>
        </w:rPr>
      </w:pPr>
      <w:r>
        <w:rPr>
          <w:rFonts w:ascii="Calibri" w:eastAsia="Calibri" w:hAnsi="Calibri" w:cs="Calibri"/>
        </w:rPr>
        <w:t xml:space="preserve">Cuando hablamos de signos vitales nos referirnos a una medida objetiva de un organismo vivo. Son parámetros muy importantes y necesarios para una adecuada evaluación clínica. Al medir estos valores, se consigue el grado de urgencia del paciente. </w:t>
      </w:r>
      <w:r w:rsidR="00E103B4">
        <w:rPr>
          <w:rFonts w:ascii="Calibri" w:eastAsia="Calibri" w:hAnsi="Calibri" w:cs="Calibri"/>
        </w:rPr>
        <w:t>La medición de los signos vitales puede</w:t>
      </w:r>
      <w:r>
        <w:rPr>
          <w:rFonts w:ascii="Calibri" w:eastAsia="Calibri" w:hAnsi="Calibri" w:cs="Calibri"/>
        </w:rPr>
        <w:t xml:space="preserve"> predecir resultados ya sea la visita del paciente a una sala de emergencias, la salud del paciente a largo plazo, durante una cirugía, </w:t>
      </w:r>
      <w:proofErr w:type="spellStart"/>
      <w:r>
        <w:rPr>
          <w:rFonts w:ascii="Calibri" w:eastAsia="Calibri" w:hAnsi="Calibri" w:cs="Calibri"/>
        </w:rPr>
        <w:t>etc</w:t>
      </w:r>
      <w:proofErr w:type="spellEnd"/>
      <w:r>
        <w:rPr>
          <w:rFonts w:ascii="Calibri" w:eastAsia="Calibri" w:hAnsi="Calibri" w:cs="Calibri"/>
        </w:rPr>
        <w:t xml:space="preserve"> [1]. Hay cuatro signos vitales principales: temperatura corporal, presión arterial, pulso y frecuencia respiratoria. Los rangos normales de estos signos varían según la edad, el sexo, el peso y otros factores [2]. </w:t>
      </w:r>
    </w:p>
    <w:p w14:paraId="26DBE366" w14:textId="77777777" w:rsidR="00B95E04" w:rsidRDefault="00B95E04">
      <w:pPr>
        <w:ind w:left="141" w:right="100"/>
        <w:jc w:val="both"/>
        <w:rPr>
          <w:rFonts w:ascii="Calibri" w:eastAsia="Calibri" w:hAnsi="Calibri" w:cs="Calibri"/>
        </w:rPr>
      </w:pPr>
    </w:p>
    <w:p w14:paraId="60B2DDE0" w14:textId="77777777" w:rsidR="00B95E04" w:rsidRDefault="004F7065">
      <w:pPr>
        <w:ind w:left="141" w:right="100"/>
        <w:jc w:val="both"/>
        <w:rPr>
          <w:rFonts w:ascii="Calibri" w:eastAsia="Calibri" w:hAnsi="Calibri" w:cs="Calibri"/>
        </w:rPr>
      </w:pPr>
      <w:r>
        <w:rPr>
          <w:rFonts w:ascii="Calibri" w:eastAsia="Calibri" w:hAnsi="Calibri" w:cs="Calibri"/>
        </w:rPr>
        <w:t xml:space="preserve">Por otro, lado tenemos al monitor de signos vitales, el cual está diseñado para medir, mostrar, revisar y almacenar múltiples parámetros fisiológicos, mencionados anteriormente, incluidos ECG, saturación de oxígeno en sangre (SpO2), frecuencia cardiaca, temperatura y variación de la presión arterial en entornos domésticos o de instalaciones de salud [3]. La mayoría de los hospitales y clínicas tienen monitores especializados (en base a la cantidad de parámetros que pueden medir), así como unidades más generalizadas diseñadas para desplazarse con los pacientes, recopilar criterios de diagnóstico temprano y registrar la recuperación del paciente [4]. </w:t>
      </w:r>
    </w:p>
    <w:p w14:paraId="376AAE3A" w14:textId="77777777" w:rsidR="00B95E04" w:rsidRDefault="00B95E04">
      <w:pPr>
        <w:ind w:left="141" w:right="100"/>
        <w:jc w:val="both"/>
        <w:rPr>
          <w:rFonts w:ascii="Calibri" w:eastAsia="Calibri" w:hAnsi="Calibri" w:cs="Calibri"/>
        </w:rPr>
      </w:pPr>
    </w:p>
    <w:p w14:paraId="165ED2EE" w14:textId="3D3BBA66" w:rsidR="003A64F7" w:rsidRDefault="004F7065">
      <w:pPr>
        <w:ind w:left="141" w:right="100"/>
        <w:jc w:val="both"/>
        <w:rPr>
          <w:rFonts w:ascii="Calibri" w:eastAsia="Calibri" w:hAnsi="Calibri" w:cs="Calibri"/>
        </w:rPr>
      </w:pPr>
      <w:r>
        <w:rPr>
          <w:rFonts w:ascii="Calibri" w:eastAsia="Calibri" w:hAnsi="Calibri" w:cs="Calibri"/>
        </w:rPr>
        <w:t>Los monitores más básicos muestran frecuencia cardiaca, presión arterial y temperatura, pero los más avanzados muestran cuánto oxígeno pasa por la sangre, qué tan rápido uno respira, etc. Estos monitores de signos vitales tienen pantallas brillantes y visibles para facilitar la lectura, la mayoría funcionan con AC y DC, y también hay una opción para alimentación por batería. Una característica importante es la presencia de una batería de respaldo, ya sea en caso de un corte de energía o para la portabilidad normal del paciente que incluyen un soporte rodante o se pueden colocar en la pared de forma permanente. La información del paciente se obtiene a través de pequeños sensores conectados al cuerpo, algunos sensores son parches que se adhieren a la piel, mientras que otros se enganchan en uno de los dedos; si alguno de los signos vitales del paciente cae debajo de los niveles seguros el monitor emitirá cierta advertencia ya sea un pitido y/o un color parpadeante [5].</w:t>
      </w:r>
    </w:p>
    <w:p w14:paraId="4ECEBC9E" w14:textId="3036AAC5" w:rsidR="003A64F7" w:rsidRDefault="004F7065">
      <w:pPr>
        <w:spacing w:before="240"/>
        <w:ind w:left="141" w:right="100"/>
        <w:jc w:val="both"/>
        <w:rPr>
          <w:rFonts w:ascii="Calibri" w:eastAsia="Calibri" w:hAnsi="Calibri" w:cs="Calibri"/>
        </w:rPr>
      </w:pPr>
      <w:r>
        <w:rPr>
          <w:rFonts w:ascii="Calibri" w:eastAsia="Calibri" w:hAnsi="Calibri" w:cs="Calibri"/>
          <w:b/>
        </w:rPr>
        <w:t xml:space="preserve">1.2. Contexto </w:t>
      </w:r>
      <w:r w:rsidR="00E103B4">
        <w:rPr>
          <w:rFonts w:ascii="Calibri" w:eastAsia="Calibri" w:hAnsi="Calibri" w:cs="Calibri"/>
          <w:b/>
        </w:rPr>
        <w:t>socioeconómico</w:t>
      </w:r>
    </w:p>
    <w:p w14:paraId="6C26D02A" w14:textId="78112E8F" w:rsidR="003A64F7" w:rsidRDefault="004F7065">
      <w:pPr>
        <w:ind w:left="141" w:right="100"/>
        <w:jc w:val="both"/>
        <w:rPr>
          <w:rFonts w:ascii="Calibri" w:eastAsia="Calibri" w:hAnsi="Calibri" w:cs="Calibri"/>
        </w:rPr>
      </w:pPr>
      <w:r>
        <w:rPr>
          <w:rFonts w:ascii="Calibri" w:eastAsia="Calibri" w:hAnsi="Calibri" w:cs="Calibri"/>
        </w:rPr>
        <w:t xml:space="preserve">En los Estados Unidos, entre los años 2016 y 2018, un aproximado de 3,1 millones de niños (4,7%) fueron sometidos a una intervención quirúrgica en los últimos 12 meses, sin embargo; el 10,5% de estos recibieron más de una cirugía. Por lo tanto, un total de 3,9 millones de procedimientos quirúrgicos se realizaron en pacientes pediátricos por año [6]. </w:t>
      </w:r>
    </w:p>
    <w:p w14:paraId="46342B45" w14:textId="77777777" w:rsidR="00B95E04" w:rsidRDefault="00B95E04">
      <w:pPr>
        <w:ind w:left="141" w:right="100"/>
        <w:jc w:val="both"/>
        <w:rPr>
          <w:rFonts w:ascii="Calibri" w:eastAsia="Calibri" w:hAnsi="Calibri" w:cs="Calibri"/>
        </w:rPr>
      </w:pPr>
    </w:p>
    <w:p w14:paraId="280CC223" w14:textId="77777777" w:rsidR="003A64F7" w:rsidRDefault="004F7065">
      <w:pPr>
        <w:ind w:left="141" w:right="100"/>
        <w:jc w:val="both"/>
        <w:rPr>
          <w:rFonts w:ascii="Calibri" w:eastAsia="Calibri" w:hAnsi="Calibri" w:cs="Calibri"/>
        </w:rPr>
      </w:pPr>
      <w:r>
        <w:rPr>
          <w:rFonts w:ascii="Calibri" w:eastAsia="Calibri" w:hAnsi="Calibri" w:cs="Calibri"/>
        </w:rPr>
        <w:t>En Perú, al cierre del periodo 2018, en el INSN-SB, se obtuvieron 6,252 intervenciones quirúrgicas, lo que representa un crecimiento de 28% en relación al mismo periodo del 2017 (4,889 intervenciones).</w:t>
      </w:r>
    </w:p>
    <w:p w14:paraId="0C807B54" w14:textId="77777777" w:rsidR="003A64F7" w:rsidRDefault="004F7065">
      <w:pPr>
        <w:ind w:left="141" w:right="100"/>
        <w:jc w:val="both"/>
        <w:rPr>
          <w:rFonts w:ascii="Calibri" w:eastAsia="Calibri" w:hAnsi="Calibri" w:cs="Calibri"/>
        </w:rPr>
      </w:pPr>
      <w:r>
        <w:rPr>
          <w:rFonts w:ascii="Calibri" w:eastAsia="Calibri" w:hAnsi="Calibri" w:cs="Calibri"/>
        </w:rPr>
        <w:t>Durante este periodo se programaron 5,923 intervenciones quirúrgicas, de estas se suspendieron 755, lo que representa el 12.7% de intervenciones suspendidas, debido a diferentes factores: la mayor causa se da por complicaciones relacionadas al estado inestable del paciente.</w:t>
      </w:r>
    </w:p>
    <w:p w14:paraId="38080B59" w14:textId="77777777" w:rsidR="003A64F7" w:rsidRDefault="004F7065">
      <w:pPr>
        <w:spacing w:before="240" w:after="240"/>
        <w:ind w:left="141" w:right="100"/>
        <w:jc w:val="both"/>
        <w:rPr>
          <w:rFonts w:ascii="Calibri" w:eastAsia="Calibri" w:hAnsi="Calibri" w:cs="Calibri"/>
        </w:rPr>
      </w:pPr>
      <w:r>
        <w:rPr>
          <w:rFonts w:ascii="Calibri" w:eastAsia="Calibri" w:hAnsi="Calibri" w:cs="Calibri"/>
        </w:rPr>
        <w:t>El Centro Quirúrgico del INSN-SB está implementado con 13 salas quirúrgicas para 07 ejes, se utilizaron 12 salas de operaciones lo que representa el 92% de su capacidad instalada [7].</w:t>
      </w:r>
    </w:p>
    <w:p w14:paraId="27A83A43" w14:textId="77777777" w:rsidR="003A64F7" w:rsidRDefault="004F7065">
      <w:pPr>
        <w:spacing w:before="240" w:after="240"/>
        <w:ind w:left="141" w:right="100"/>
        <w:jc w:val="center"/>
        <w:rPr>
          <w:rFonts w:ascii="Calibri" w:eastAsia="Calibri" w:hAnsi="Calibri" w:cs="Calibri"/>
        </w:rPr>
      </w:pPr>
      <w:r>
        <w:rPr>
          <w:rFonts w:ascii="Calibri" w:eastAsia="Calibri" w:hAnsi="Calibri" w:cs="Calibri"/>
          <w:noProof/>
          <w:lang w:val="en-US" w:eastAsia="en-US"/>
        </w:rPr>
        <w:lastRenderedPageBreak/>
        <w:drawing>
          <wp:inline distT="114300" distB="114300" distL="114300" distR="114300" wp14:anchorId="05972616" wp14:editId="6C67DA25">
            <wp:extent cx="4219074" cy="2029326"/>
            <wp:effectExtent l="0" t="0" r="0" b="9525"/>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11"/>
                    <a:srcRect l="4734" t="18197" r="4906" b="11351"/>
                    <a:stretch/>
                  </pic:blipFill>
                  <pic:spPr bwMode="auto">
                    <a:xfrm>
                      <a:off x="0" y="0"/>
                      <a:ext cx="4242256" cy="2040476"/>
                    </a:xfrm>
                    <a:prstGeom prst="rect">
                      <a:avLst/>
                    </a:prstGeom>
                    <a:ln>
                      <a:noFill/>
                    </a:ln>
                    <a:extLst>
                      <a:ext uri="{53640926-AAD7-44D8-BBD7-CCE9431645EC}">
                        <a14:shadowObscured xmlns:a14="http://schemas.microsoft.com/office/drawing/2010/main"/>
                      </a:ext>
                    </a:extLst>
                  </pic:spPr>
                </pic:pic>
              </a:graphicData>
            </a:graphic>
          </wp:inline>
        </w:drawing>
      </w:r>
    </w:p>
    <w:p w14:paraId="7BCFE983" w14:textId="77777777" w:rsidR="003A64F7" w:rsidRDefault="004F7065">
      <w:pPr>
        <w:ind w:left="141" w:right="100"/>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Figura 1. Intervenciones quirúrgicas (</w:t>
      </w:r>
      <w:proofErr w:type="gramStart"/>
      <w:r>
        <w:rPr>
          <w:rFonts w:ascii="Times New Roman" w:eastAsia="Times New Roman" w:hAnsi="Times New Roman" w:cs="Times New Roman"/>
          <w:b/>
          <w:sz w:val="20"/>
          <w:szCs w:val="20"/>
        </w:rPr>
        <w:t>Enero</w:t>
      </w:r>
      <w:proofErr w:type="gramEnd"/>
      <w:r>
        <w:rPr>
          <w:rFonts w:ascii="Times New Roman" w:eastAsia="Times New Roman" w:hAnsi="Times New Roman" w:cs="Times New Roman"/>
          <w:b/>
          <w:sz w:val="20"/>
          <w:szCs w:val="20"/>
        </w:rPr>
        <w:t xml:space="preserve">- Diciembre) 2018. </w:t>
      </w:r>
    </w:p>
    <w:p w14:paraId="723E4A3C" w14:textId="77777777" w:rsidR="003A64F7" w:rsidRDefault="004F7065">
      <w:pPr>
        <w:ind w:left="141" w:right="100"/>
        <w:rPr>
          <w:rFonts w:ascii="Calibri" w:eastAsia="Calibri" w:hAnsi="Calibri" w:cs="Calibri"/>
        </w:rPr>
      </w:pPr>
      <w:r>
        <w:rPr>
          <w:rFonts w:ascii="Times New Roman" w:eastAsia="Times New Roman" w:hAnsi="Times New Roman" w:cs="Times New Roman"/>
          <w:b/>
          <w:sz w:val="20"/>
          <w:szCs w:val="20"/>
        </w:rPr>
        <w:t>Nota Fuente:</w:t>
      </w:r>
      <w:r>
        <w:rPr>
          <w:rFonts w:ascii="Times New Roman" w:eastAsia="Times New Roman" w:hAnsi="Times New Roman" w:cs="Times New Roman"/>
          <w:sz w:val="20"/>
          <w:szCs w:val="20"/>
        </w:rPr>
        <w:t xml:space="preserve"> Instituto Nacional de Salud del Niño San Borja. (2018). Memorial Institucional del INSN-SB 2018 (p. 14). Lima: INSN-SB.</w:t>
      </w:r>
    </w:p>
    <w:p w14:paraId="5AB2E58B" w14:textId="77777777" w:rsidR="003A64F7" w:rsidRDefault="003A64F7">
      <w:pPr>
        <w:ind w:left="141" w:right="100"/>
        <w:rPr>
          <w:rFonts w:ascii="Calibri" w:eastAsia="Calibri" w:hAnsi="Calibri" w:cs="Calibri"/>
        </w:rPr>
      </w:pPr>
    </w:p>
    <w:p w14:paraId="1C1CE82E" w14:textId="7F9BE433" w:rsidR="003A64F7" w:rsidRDefault="004F7065">
      <w:pPr>
        <w:ind w:left="141" w:right="100"/>
        <w:jc w:val="both"/>
        <w:rPr>
          <w:rFonts w:ascii="Calibri" w:eastAsia="Calibri" w:hAnsi="Calibri" w:cs="Calibri"/>
        </w:rPr>
      </w:pPr>
      <w:r>
        <w:rPr>
          <w:rFonts w:ascii="Calibri" w:eastAsia="Calibri" w:hAnsi="Calibri" w:cs="Calibri"/>
        </w:rPr>
        <w:t xml:space="preserve">Asimismo, en Perú en el año 2020 se han incrementado significativamente el número de procedimientos quirúrgicos de alta complejidad en menores, logrando por diversas campañas como las realizadas por el Instituto Nacional de Salud del Niño de Breña y San Borja cifras de 2000 y 4000 intervenciones quirúrgicas respectivamente, siendo las especialidades de mayor demanda las del Eje Quemado, Cirugía Pediátrica, Neurocirugía, Traumatología y  Cirugía Cardiovascular, además de emergencias desencadenadas por Covid-19. </w:t>
      </w:r>
    </w:p>
    <w:p w14:paraId="1A8E87CB" w14:textId="77777777" w:rsidR="00B95E04" w:rsidRDefault="00B95E04">
      <w:pPr>
        <w:ind w:left="141" w:right="100"/>
        <w:jc w:val="both"/>
        <w:rPr>
          <w:rFonts w:ascii="Calibri" w:eastAsia="Calibri" w:hAnsi="Calibri" w:cs="Calibri"/>
        </w:rPr>
      </w:pPr>
    </w:p>
    <w:p w14:paraId="1C03E8A8" w14:textId="77777777" w:rsidR="003A64F7" w:rsidRDefault="004F7065">
      <w:pPr>
        <w:ind w:left="141" w:right="100"/>
        <w:jc w:val="both"/>
        <w:rPr>
          <w:rFonts w:ascii="Calibri" w:eastAsia="Calibri" w:hAnsi="Calibri" w:cs="Calibri"/>
        </w:rPr>
      </w:pPr>
      <w:r>
        <w:rPr>
          <w:rFonts w:ascii="Calibri" w:eastAsia="Calibri" w:hAnsi="Calibri" w:cs="Calibri"/>
        </w:rPr>
        <w:t>En el primer semestre del año 2021, el Instituto Nacional de Salud del Niño San Borja, realizó un total 2,575 cirugías de alta complejidad a niños y adolescentes de las diversas regiones del país, logrando un incremento del 30% en comparación al mismo periodo del año anterior que concretó 1,992 cirugías. Estos niños fueron sometidos a cirugías complejas para superar las grandes quemaduras, enfermedades neurológicas, cardiovasculares, tumores sólidos, entre otras. Más del 80% de los casos complejos que se atienden en este centro hospitalario son derivados de las regiones del país y el 90% son atendidos gratuitamente mediante el Seguro Integral de Salud SIS [8]. El INSN San Borja es un centro de referencia para el abordaje de patologías complejas que requieren intervenciones quirúrgicas altamente especializadas por parte de un equipo multidisciplinario que a diario realiza en promedio 25 cirugías y procedimientos [9].</w:t>
      </w:r>
    </w:p>
    <w:p w14:paraId="5D01347E" w14:textId="77777777" w:rsidR="003A64F7" w:rsidRDefault="003A64F7">
      <w:pPr>
        <w:ind w:left="141" w:right="100"/>
        <w:jc w:val="both"/>
        <w:rPr>
          <w:rFonts w:ascii="Calibri" w:eastAsia="Calibri" w:hAnsi="Calibri" w:cs="Calibri"/>
        </w:rPr>
      </w:pPr>
    </w:p>
    <w:p w14:paraId="1247C036" w14:textId="77777777" w:rsidR="003A64F7" w:rsidRDefault="003A64F7">
      <w:pPr>
        <w:ind w:left="141" w:right="100"/>
        <w:jc w:val="both"/>
        <w:rPr>
          <w:rFonts w:ascii="Calibri" w:eastAsia="Calibri" w:hAnsi="Calibri" w:cs="Calibri"/>
        </w:rPr>
      </w:pPr>
    </w:p>
    <w:p w14:paraId="65A58373" w14:textId="77777777" w:rsidR="003A64F7" w:rsidRDefault="003A64F7">
      <w:pPr>
        <w:ind w:left="141" w:right="100"/>
        <w:jc w:val="both"/>
        <w:rPr>
          <w:rFonts w:ascii="Calibri" w:eastAsia="Calibri" w:hAnsi="Calibri" w:cs="Calibri"/>
        </w:rPr>
      </w:pPr>
    </w:p>
    <w:p w14:paraId="19B0B696" w14:textId="77777777" w:rsidR="003A64F7" w:rsidRDefault="003A64F7">
      <w:pPr>
        <w:ind w:left="141" w:right="100"/>
        <w:rPr>
          <w:rFonts w:ascii="Calibri" w:eastAsia="Calibri" w:hAnsi="Calibri" w:cs="Calibri"/>
        </w:rPr>
      </w:pPr>
    </w:p>
    <w:p w14:paraId="6E09EFF0" w14:textId="666DBB8D" w:rsidR="003A64F7" w:rsidRDefault="004F7065">
      <w:pPr>
        <w:ind w:left="141" w:right="100"/>
        <w:jc w:val="both"/>
        <w:rPr>
          <w:rFonts w:ascii="Calibri" w:eastAsia="Calibri" w:hAnsi="Calibri" w:cs="Calibri"/>
          <w:b/>
        </w:rPr>
      </w:pPr>
      <w:r>
        <w:rPr>
          <w:noProof/>
          <w:lang w:val="en-US" w:eastAsia="en-US"/>
        </w:rPr>
        <w:lastRenderedPageBreak/>
        <w:drawing>
          <wp:anchor distT="114300" distB="114300" distL="114300" distR="114300" simplePos="0" relativeHeight="251660288" behindDoc="0" locked="0" layoutInCell="1" hidden="0" allowOverlap="1" wp14:anchorId="2324960C" wp14:editId="4D9D016E">
            <wp:simplePos x="0" y="0"/>
            <wp:positionH relativeFrom="column">
              <wp:posOffset>809625</wp:posOffset>
            </wp:positionH>
            <wp:positionV relativeFrom="paragraph">
              <wp:posOffset>114300</wp:posOffset>
            </wp:positionV>
            <wp:extent cx="4291013" cy="2584845"/>
            <wp:effectExtent l="0" t="0" r="0" b="0"/>
            <wp:wrapSquare wrapText="bothSides" distT="114300" distB="114300" distL="114300" distR="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291013" cy="2584845"/>
                    </a:xfrm>
                    <a:prstGeom prst="rect">
                      <a:avLst/>
                    </a:prstGeom>
                    <a:ln/>
                  </pic:spPr>
                </pic:pic>
              </a:graphicData>
            </a:graphic>
          </wp:anchor>
        </w:drawing>
      </w:r>
    </w:p>
    <w:p w14:paraId="0E46ADFF" w14:textId="77777777" w:rsidR="003A64F7" w:rsidRDefault="003A64F7">
      <w:pPr>
        <w:ind w:left="141" w:right="100"/>
        <w:jc w:val="both"/>
        <w:rPr>
          <w:rFonts w:ascii="Calibri" w:eastAsia="Calibri" w:hAnsi="Calibri" w:cs="Calibri"/>
          <w:b/>
        </w:rPr>
      </w:pPr>
    </w:p>
    <w:p w14:paraId="488DC104" w14:textId="77777777" w:rsidR="003A64F7" w:rsidRDefault="003A64F7">
      <w:pPr>
        <w:ind w:left="141" w:right="100"/>
        <w:jc w:val="both"/>
        <w:rPr>
          <w:rFonts w:ascii="Calibri" w:eastAsia="Calibri" w:hAnsi="Calibri" w:cs="Calibri"/>
          <w:b/>
        </w:rPr>
      </w:pPr>
    </w:p>
    <w:p w14:paraId="013284D5" w14:textId="77777777" w:rsidR="003A64F7" w:rsidRDefault="003A64F7">
      <w:pPr>
        <w:ind w:left="141" w:right="100"/>
        <w:jc w:val="both"/>
        <w:rPr>
          <w:rFonts w:ascii="Calibri" w:eastAsia="Calibri" w:hAnsi="Calibri" w:cs="Calibri"/>
          <w:b/>
        </w:rPr>
      </w:pPr>
    </w:p>
    <w:p w14:paraId="0A1E92B5" w14:textId="77777777" w:rsidR="003A64F7" w:rsidRDefault="003A64F7">
      <w:pPr>
        <w:ind w:left="141" w:right="100"/>
        <w:jc w:val="both"/>
        <w:rPr>
          <w:rFonts w:ascii="Calibri" w:eastAsia="Calibri" w:hAnsi="Calibri" w:cs="Calibri"/>
          <w:b/>
        </w:rPr>
      </w:pPr>
    </w:p>
    <w:p w14:paraId="51EEED7D" w14:textId="77777777" w:rsidR="003A64F7" w:rsidRDefault="003A64F7">
      <w:pPr>
        <w:ind w:left="141" w:right="100"/>
        <w:jc w:val="both"/>
        <w:rPr>
          <w:rFonts w:ascii="Calibri" w:eastAsia="Calibri" w:hAnsi="Calibri" w:cs="Calibri"/>
          <w:b/>
        </w:rPr>
      </w:pPr>
    </w:p>
    <w:p w14:paraId="5619C18B" w14:textId="77777777" w:rsidR="003A64F7" w:rsidRDefault="003A64F7">
      <w:pPr>
        <w:ind w:left="141" w:right="100"/>
        <w:jc w:val="both"/>
        <w:rPr>
          <w:rFonts w:ascii="Calibri" w:eastAsia="Calibri" w:hAnsi="Calibri" w:cs="Calibri"/>
          <w:b/>
        </w:rPr>
      </w:pPr>
    </w:p>
    <w:p w14:paraId="3522CDA9" w14:textId="77777777" w:rsidR="003A64F7" w:rsidRDefault="003A64F7">
      <w:pPr>
        <w:ind w:left="141" w:right="100"/>
        <w:jc w:val="both"/>
        <w:rPr>
          <w:rFonts w:ascii="Calibri" w:eastAsia="Calibri" w:hAnsi="Calibri" w:cs="Calibri"/>
          <w:b/>
        </w:rPr>
      </w:pPr>
    </w:p>
    <w:p w14:paraId="13388FE8" w14:textId="77777777" w:rsidR="003A64F7" w:rsidRDefault="003A64F7">
      <w:pPr>
        <w:ind w:left="141" w:right="100"/>
        <w:jc w:val="both"/>
        <w:rPr>
          <w:rFonts w:ascii="Calibri" w:eastAsia="Calibri" w:hAnsi="Calibri" w:cs="Calibri"/>
          <w:b/>
        </w:rPr>
      </w:pPr>
    </w:p>
    <w:p w14:paraId="7BF58401" w14:textId="77777777" w:rsidR="003A64F7" w:rsidRDefault="003A64F7">
      <w:pPr>
        <w:ind w:left="141" w:right="100"/>
        <w:jc w:val="both"/>
        <w:rPr>
          <w:rFonts w:ascii="Calibri" w:eastAsia="Calibri" w:hAnsi="Calibri" w:cs="Calibri"/>
          <w:b/>
        </w:rPr>
      </w:pPr>
    </w:p>
    <w:p w14:paraId="14D61A92" w14:textId="77777777" w:rsidR="003A64F7" w:rsidRDefault="003A64F7">
      <w:pPr>
        <w:ind w:left="141" w:right="100"/>
        <w:jc w:val="both"/>
        <w:rPr>
          <w:rFonts w:ascii="Calibri" w:eastAsia="Calibri" w:hAnsi="Calibri" w:cs="Calibri"/>
          <w:b/>
        </w:rPr>
      </w:pPr>
    </w:p>
    <w:p w14:paraId="74C5FE6B" w14:textId="77777777" w:rsidR="003A64F7" w:rsidRDefault="003A64F7">
      <w:pPr>
        <w:ind w:left="141" w:right="100"/>
        <w:jc w:val="both"/>
        <w:rPr>
          <w:rFonts w:ascii="Calibri" w:eastAsia="Calibri" w:hAnsi="Calibri" w:cs="Calibri"/>
          <w:b/>
        </w:rPr>
      </w:pPr>
    </w:p>
    <w:p w14:paraId="6ABE5597" w14:textId="77777777" w:rsidR="003A64F7" w:rsidRDefault="003A64F7">
      <w:pPr>
        <w:ind w:left="141" w:right="100"/>
        <w:jc w:val="both"/>
        <w:rPr>
          <w:rFonts w:ascii="Calibri" w:eastAsia="Calibri" w:hAnsi="Calibri" w:cs="Calibri"/>
          <w:b/>
        </w:rPr>
      </w:pPr>
    </w:p>
    <w:p w14:paraId="22E6727A" w14:textId="77777777" w:rsidR="003A64F7" w:rsidRDefault="003A64F7">
      <w:pPr>
        <w:ind w:left="141" w:right="100"/>
        <w:jc w:val="both"/>
        <w:rPr>
          <w:rFonts w:ascii="Calibri" w:eastAsia="Calibri" w:hAnsi="Calibri" w:cs="Calibri"/>
          <w:b/>
        </w:rPr>
      </w:pPr>
    </w:p>
    <w:p w14:paraId="7DC26604" w14:textId="77777777" w:rsidR="003A64F7" w:rsidRDefault="003A64F7">
      <w:pPr>
        <w:ind w:right="100"/>
        <w:jc w:val="both"/>
        <w:rPr>
          <w:rFonts w:ascii="Calibri" w:eastAsia="Calibri" w:hAnsi="Calibri" w:cs="Calibri"/>
          <w:b/>
        </w:rPr>
      </w:pPr>
    </w:p>
    <w:p w14:paraId="25D0B465" w14:textId="77777777" w:rsidR="003A64F7" w:rsidRDefault="004F7065">
      <w:pPr>
        <w:ind w:left="141" w:right="1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Figura 2. Cirugías realizadas en el INSN-SB por mes en los últimos 3 años. </w:t>
      </w:r>
    </w:p>
    <w:p w14:paraId="52A553CB" w14:textId="77777777" w:rsidR="003A64F7" w:rsidRDefault="004F7065">
      <w:pPr>
        <w:ind w:left="141" w:right="100"/>
        <w:jc w:val="both"/>
        <w:rPr>
          <w:rFonts w:ascii="Calibri" w:eastAsia="Calibri" w:hAnsi="Calibri" w:cs="Calibri"/>
        </w:rPr>
      </w:pPr>
      <w:r>
        <w:rPr>
          <w:rFonts w:ascii="Times New Roman" w:eastAsia="Times New Roman" w:hAnsi="Times New Roman" w:cs="Times New Roman"/>
          <w:b/>
          <w:sz w:val="20"/>
          <w:szCs w:val="20"/>
        </w:rPr>
        <w:t>Nota Fuente:</w:t>
      </w:r>
      <w:r>
        <w:rPr>
          <w:rFonts w:ascii="Times New Roman" w:eastAsia="Times New Roman" w:hAnsi="Times New Roman" w:cs="Times New Roman"/>
          <w:sz w:val="20"/>
          <w:szCs w:val="20"/>
        </w:rPr>
        <w:t xml:space="preserve"> Adaptado del Instituto Nacional de Salud del Niño San Borja - Unidad de Tecnologías de la Información. (2020). Hospitalización - UPSS - Tablero de Gestión. Lima: INSN-SB. Recuperado el 17 Set 2021 de http://www.insnsb.gob.pe/tablerodegestion/index.php/hospitalizacion-tablero-gestion/ </w:t>
      </w:r>
    </w:p>
    <w:p w14:paraId="2B8C6911" w14:textId="77777777" w:rsidR="003A64F7" w:rsidRDefault="003A64F7">
      <w:pPr>
        <w:ind w:left="141" w:right="100"/>
        <w:jc w:val="both"/>
        <w:rPr>
          <w:rFonts w:ascii="Calibri" w:eastAsia="Calibri" w:hAnsi="Calibri" w:cs="Calibri"/>
          <w:b/>
        </w:rPr>
      </w:pPr>
    </w:p>
    <w:p w14:paraId="44A76E3E" w14:textId="77777777" w:rsidR="003A64F7" w:rsidRDefault="003A64F7">
      <w:pPr>
        <w:ind w:left="141" w:right="100"/>
        <w:jc w:val="both"/>
        <w:rPr>
          <w:rFonts w:ascii="Calibri" w:eastAsia="Calibri" w:hAnsi="Calibri" w:cs="Calibri"/>
          <w:b/>
        </w:rPr>
      </w:pPr>
    </w:p>
    <w:p w14:paraId="663D1BC9" w14:textId="77777777" w:rsidR="003A64F7" w:rsidRDefault="004F7065">
      <w:pPr>
        <w:ind w:left="141" w:right="100"/>
        <w:jc w:val="both"/>
        <w:rPr>
          <w:rFonts w:ascii="Calibri" w:eastAsia="Calibri" w:hAnsi="Calibri" w:cs="Calibri"/>
        </w:rPr>
      </w:pPr>
      <w:r>
        <w:rPr>
          <w:rFonts w:ascii="Calibri" w:eastAsia="Calibri" w:hAnsi="Calibri" w:cs="Calibri"/>
        </w:rPr>
        <w:t>En el hospital Regional Docente de Trujillo (nivel III), durante el año 2019, hubo 1088 atenciones y 408 atendidos en consultorios externos de este hospital con respecto al servicio de cirugía pediátrica, y 1823 egresos de hospitalización por mes del departamento de pediatría [10].</w:t>
      </w:r>
    </w:p>
    <w:p w14:paraId="515FD100" w14:textId="2840CEC0" w:rsidR="003A64F7" w:rsidRDefault="004F7065">
      <w:pPr>
        <w:ind w:left="141" w:right="100"/>
        <w:jc w:val="both"/>
        <w:rPr>
          <w:rFonts w:ascii="Calibri" w:eastAsia="Calibri" w:hAnsi="Calibri" w:cs="Calibri"/>
        </w:rPr>
      </w:pPr>
      <w:r>
        <w:rPr>
          <w:rFonts w:ascii="Calibri" w:eastAsia="Calibri" w:hAnsi="Calibri" w:cs="Calibri"/>
        </w:rPr>
        <w:t>Respecto al hospital Honorio Delgado de Arequipa (nivel III), también en el año 2019, hubo 1385 atenciones y 593 atendidos en consultorios externos con respecto al servicio de cirugía pediátrica, y 3848 egresos de hospitalización durante todo el año del departamento de pediatría [11].</w:t>
      </w:r>
    </w:p>
    <w:p w14:paraId="59485538" w14:textId="77777777" w:rsidR="00B95E04" w:rsidRDefault="00B95E04">
      <w:pPr>
        <w:ind w:left="141" w:right="100"/>
        <w:jc w:val="both"/>
      </w:pPr>
    </w:p>
    <w:p w14:paraId="50544256" w14:textId="77777777" w:rsidR="00B95E04" w:rsidRDefault="004F7065">
      <w:pPr>
        <w:ind w:left="141" w:right="100"/>
        <w:jc w:val="both"/>
        <w:rPr>
          <w:rFonts w:ascii="Calibri" w:eastAsia="Calibri" w:hAnsi="Calibri" w:cs="Calibri"/>
        </w:rPr>
      </w:pPr>
      <w:r>
        <w:rPr>
          <w:rFonts w:ascii="Calibri" w:eastAsia="Calibri" w:hAnsi="Calibri" w:cs="Calibri"/>
        </w:rPr>
        <w:t xml:space="preserve">A lo largo de esta coyuntura de emergencia sanitaria, la necesidad de monitores de signos vitales ha incrementado, dando como resultado que los hospitales adquieran este tipo de equipos biomédicos. Según un plan anual de contrataciones del MINSA del año 2020 podemos observar que la adquisición de estos monitores (en su mayoría están estandarizados para niños y adultos) presentan un precio muy elevado, en el mes de julio hubo una adquisición de un monitor de funciones vitales de 8 parámetros teniendo un valor de S/. 3 744 000.00 en el mes de noviembre hubo otra adquisición de 4 monitores de 8 parámetros con un valor de S/. 6 403 000.00 y un monitor de 5 parámetros con un valor de S/. 148 945.00 [12]. </w:t>
      </w:r>
    </w:p>
    <w:p w14:paraId="441FC100" w14:textId="77777777" w:rsidR="00B95E04" w:rsidRDefault="00B95E04">
      <w:pPr>
        <w:ind w:left="141" w:right="100"/>
        <w:jc w:val="both"/>
        <w:rPr>
          <w:rFonts w:ascii="Calibri" w:eastAsia="Calibri" w:hAnsi="Calibri" w:cs="Calibri"/>
        </w:rPr>
      </w:pPr>
    </w:p>
    <w:p w14:paraId="63E1C4D0" w14:textId="0311275D" w:rsidR="003A64F7" w:rsidRDefault="004F7065">
      <w:pPr>
        <w:ind w:left="141" w:right="100"/>
        <w:jc w:val="both"/>
        <w:rPr>
          <w:rFonts w:ascii="Calibri" w:eastAsia="Calibri" w:hAnsi="Calibri" w:cs="Calibri"/>
        </w:rPr>
      </w:pPr>
      <w:r>
        <w:rPr>
          <w:rFonts w:ascii="Calibri" w:eastAsia="Calibri" w:hAnsi="Calibri" w:cs="Calibri"/>
        </w:rPr>
        <w:t xml:space="preserve">En el hospital 2 de </w:t>
      </w:r>
      <w:proofErr w:type="gramStart"/>
      <w:r>
        <w:rPr>
          <w:rFonts w:ascii="Calibri" w:eastAsia="Calibri" w:hAnsi="Calibri" w:cs="Calibri"/>
        </w:rPr>
        <w:t>Mayo</w:t>
      </w:r>
      <w:proofErr w:type="gramEnd"/>
      <w:r>
        <w:rPr>
          <w:rFonts w:ascii="Calibri" w:eastAsia="Calibri" w:hAnsi="Calibri" w:cs="Calibri"/>
        </w:rPr>
        <w:t>, en un informe de transferencia de gestión entre los meses de noviembre del 2020 y febrero del 2021 se pudieron obtener datos de la adquisición de 2 monitores de 5 parámetros con un valor de 200,000.00 y un monitor de 8 parámetros con un valor de S/. 75 000.00 [13]. Otro caso similar es el de la adquisición de estos equipos en el distrito de Ate Vitarte, el hospital adquirió 36 monitores de 8 parámetros teniendo un valor total de S/. 4 140 000.00 y dando un costo estimado de mantenimiento de S/. 378 000.00 [14].</w:t>
      </w:r>
    </w:p>
    <w:p w14:paraId="67485B44" w14:textId="77777777" w:rsidR="003A64F7" w:rsidRDefault="003A64F7">
      <w:pPr>
        <w:ind w:left="141" w:right="100"/>
        <w:jc w:val="both"/>
        <w:rPr>
          <w:rFonts w:ascii="Calibri" w:eastAsia="Calibri" w:hAnsi="Calibri" w:cs="Calibri"/>
        </w:rPr>
      </w:pPr>
    </w:p>
    <w:p w14:paraId="3E116E43" w14:textId="7262AE62" w:rsidR="003A64F7" w:rsidRDefault="003A64F7">
      <w:pPr>
        <w:ind w:right="100"/>
        <w:jc w:val="both"/>
        <w:rPr>
          <w:rFonts w:ascii="Calibri" w:eastAsia="Calibri" w:hAnsi="Calibri" w:cs="Calibri"/>
        </w:rPr>
      </w:pPr>
    </w:p>
    <w:p w14:paraId="04F0DF13" w14:textId="77777777" w:rsidR="003A64F7" w:rsidRDefault="004F7065">
      <w:pPr>
        <w:numPr>
          <w:ilvl w:val="0"/>
          <w:numId w:val="2"/>
        </w:numPr>
        <w:ind w:right="100"/>
        <w:jc w:val="both"/>
        <w:rPr>
          <w:rFonts w:ascii="Calibri" w:eastAsia="Calibri" w:hAnsi="Calibri" w:cs="Calibri"/>
          <w:b/>
        </w:rPr>
      </w:pPr>
      <w:r>
        <w:rPr>
          <w:rFonts w:ascii="Calibri" w:eastAsia="Calibri" w:hAnsi="Calibri" w:cs="Calibri"/>
          <w:b/>
        </w:rPr>
        <w:lastRenderedPageBreak/>
        <w:t xml:space="preserve">Definición del problema </w:t>
      </w:r>
    </w:p>
    <w:p w14:paraId="27AA991F" w14:textId="77777777" w:rsidR="003A64F7" w:rsidRDefault="003A64F7">
      <w:pPr>
        <w:ind w:left="141" w:right="100"/>
        <w:jc w:val="both"/>
        <w:rPr>
          <w:rFonts w:ascii="Calibri" w:eastAsia="Calibri" w:hAnsi="Calibri" w:cs="Calibri"/>
          <w:b/>
          <w:color w:val="FFFFFF"/>
          <w:shd w:val="clear" w:color="auto" w:fill="980000"/>
        </w:rPr>
      </w:pPr>
    </w:p>
    <w:p w14:paraId="56C0FD19" w14:textId="77777777" w:rsidR="003A64F7" w:rsidRDefault="004F7065">
      <w:pPr>
        <w:ind w:left="141" w:right="100"/>
        <w:jc w:val="both"/>
        <w:rPr>
          <w:rFonts w:ascii="Calibri" w:eastAsia="Calibri" w:hAnsi="Calibri" w:cs="Calibri"/>
        </w:rPr>
      </w:pPr>
      <w:r>
        <w:rPr>
          <w:rFonts w:ascii="Calibri" w:eastAsia="Calibri" w:hAnsi="Calibri" w:cs="Calibri"/>
        </w:rPr>
        <w:t>Baja disponibilidad de monitores multiparámetro en niños de entre 0 a 5 años durante una intervención quirúrgica.</w:t>
      </w:r>
    </w:p>
    <w:p w14:paraId="44BA82D2" w14:textId="77777777" w:rsidR="003A64F7" w:rsidRDefault="003A64F7">
      <w:pPr>
        <w:ind w:right="100"/>
        <w:jc w:val="both"/>
        <w:rPr>
          <w:rFonts w:ascii="Calibri" w:eastAsia="Calibri" w:hAnsi="Calibri" w:cs="Calibri"/>
          <w:b/>
          <w:color w:val="FFFFFF"/>
          <w:shd w:val="clear" w:color="auto" w:fill="980000"/>
        </w:rPr>
      </w:pPr>
    </w:p>
    <w:p w14:paraId="42398ADB" w14:textId="77777777" w:rsidR="003A64F7" w:rsidRDefault="004F7065">
      <w:pPr>
        <w:numPr>
          <w:ilvl w:val="0"/>
          <w:numId w:val="2"/>
        </w:numPr>
        <w:ind w:right="100"/>
        <w:jc w:val="both"/>
        <w:rPr>
          <w:rFonts w:ascii="Calibri" w:eastAsia="Calibri" w:hAnsi="Calibri" w:cs="Calibri"/>
          <w:b/>
        </w:rPr>
      </w:pPr>
      <w:r>
        <w:rPr>
          <w:rFonts w:ascii="Calibri" w:eastAsia="Calibri" w:hAnsi="Calibri" w:cs="Calibri"/>
          <w:b/>
        </w:rPr>
        <w:t xml:space="preserve">Análisis de los efectos y su impacto  </w:t>
      </w:r>
    </w:p>
    <w:p w14:paraId="3490C1DC" w14:textId="77777777" w:rsidR="003A64F7" w:rsidRDefault="003A64F7">
      <w:pPr>
        <w:ind w:left="141" w:right="100"/>
        <w:jc w:val="both"/>
        <w:rPr>
          <w:rFonts w:ascii="Calibri" w:eastAsia="Calibri" w:hAnsi="Calibri" w:cs="Calibri"/>
          <w:b/>
        </w:rPr>
      </w:pPr>
    </w:p>
    <w:p w14:paraId="3069E7A5" w14:textId="77777777" w:rsidR="003A64F7" w:rsidRDefault="004F7065">
      <w:pPr>
        <w:ind w:left="141" w:right="100"/>
        <w:jc w:val="both"/>
        <w:rPr>
          <w:rFonts w:ascii="Calibri" w:eastAsia="Calibri" w:hAnsi="Calibri" w:cs="Calibri"/>
          <w:b/>
        </w:rPr>
      </w:pPr>
      <w:r>
        <w:rPr>
          <w:rFonts w:ascii="Calibri" w:eastAsia="Calibri" w:hAnsi="Calibri" w:cs="Calibri"/>
          <w:b/>
        </w:rPr>
        <w:t>3.1. Tiempo de estancia mayor en el hospital</w:t>
      </w:r>
    </w:p>
    <w:p w14:paraId="38CFEB35" w14:textId="77777777" w:rsidR="00B95E04" w:rsidRDefault="004F7065">
      <w:pPr>
        <w:ind w:left="141" w:right="100"/>
        <w:jc w:val="both"/>
        <w:rPr>
          <w:rFonts w:ascii="Calibri" w:eastAsia="Calibri" w:hAnsi="Calibri" w:cs="Calibri"/>
        </w:rPr>
      </w:pPr>
      <w:r>
        <w:rPr>
          <w:rFonts w:ascii="Calibri" w:eastAsia="Calibri" w:hAnsi="Calibri" w:cs="Calibri"/>
        </w:rPr>
        <w:t xml:space="preserve">El Ministerio de Salud informa en una notificación de aplicación de medidas de seguridad en el departamento de San Martín, los pacientes hospitalizados o en el área de observación de post-operados tienen que tener en su sala de recuperación un equipamiento mínimo donde resalta el requerimiento de un monitor de signos vitales multiparámetros con control de temperatura [15], así mismo en el plan de acción para la atención integral de pacientes en esta pandemia el equipamiento necesario en el área de UCI debe de contar con monitores multiparámetro con capacidad de monitorización invasiva [16]. </w:t>
      </w:r>
    </w:p>
    <w:p w14:paraId="2D9B3A87" w14:textId="77777777" w:rsidR="00B95E04" w:rsidRDefault="00B95E04">
      <w:pPr>
        <w:ind w:left="141" w:right="100"/>
        <w:jc w:val="both"/>
        <w:rPr>
          <w:rFonts w:ascii="Calibri" w:eastAsia="Calibri" w:hAnsi="Calibri" w:cs="Calibri"/>
        </w:rPr>
      </w:pPr>
    </w:p>
    <w:p w14:paraId="69E86CCC" w14:textId="5F17C2DB" w:rsidR="003A64F7" w:rsidRDefault="004F7065">
      <w:pPr>
        <w:ind w:left="141" w:right="100"/>
        <w:jc w:val="both"/>
        <w:rPr>
          <w:rFonts w:ascii="Calibri" w:eastAsia="Calibri" w:hAnsi="Calibri" w:cs="Calibri"/>
        </w:rPr>
      </w:pPr>
      <w:r>
        <w:rPr>
          <w:rFonts w:ascii="Calibri" w:eastAsia="Calibri" w:hAnsi="Calibri" w:cs="Calibri"/>
        </w:rPr>
        <w:t xml:space="preserve">De acuerdo con una entrevista hecha con una anestesióloga que forma parte del Hospital del Niño en el distrito de Breña, nos indica que cuando un paciente necesita un </w:t>
      </w:r>
      <w:proofErr w:type="gramStart"/>
      <w:r>
        <w:rPr>
          <w:rFonts w:ascii="Calibri" w:eastAsia="Calibri" w:hAnsi="Calibri" w:cs="Calibri"/>
        </w:rPr>
        <w:t>monitor</w:t>
      </w:r>
      <w:proofErr w:type="gramEnd"/>
      <w:r>
        <w:rPr>
          <w:rFonts w:ascii="Calibri" w:eastAsia="Calibri" w:hAnsi="Calibri" w:cs="Calibri"/>
        </w:rPr>
        <w:t xml:space="preserve"> pero este no se encuentra disponible y no hay manera de conseguir uno, este paciente se deriva a la zona de emergencia del hospital haciendo más larga su estancia e impactando en la economía de este. En el caso del Instituto Nacional de Salud del Niño de San Borja la atención de emergencia en sala de observaciones de 12 a 24 horas tiene un precio público de S/. 585.00 y de hasta 12 horas un precio de S/. 395.00 y una hospitalización por día de un paciente sometido a una cirugía pediátrica tiene un precio público de S/. 358.00 [17</w:t>
      </w:r>
      <w:proofErr w:type="gramStart"/>
      <w:r>
        <w:rPr>
          <w:rFonts w:ascii="Calibri" w:eastAsia="Calibri" w:hAnsi="Calibri" w:cs="Calibri"/>
        </w:rPr>
        <w:t>].En</w:t>
      </w:r>
      <w:proofErr w:type="gramEnd"/>
      <w:r>
        <w:rPr>
          <w:rFonts w:ascii="Calibri" w:eastAsia="Calibri" w:hAnsi="Calibri" w:cs="Calibri"/>
        </w:rPr>
        <w:t xml:space="preserve"> el caso del hospital nacional Hipólito Unanue, la atención de emergencia con sala de observación de 12 a 24 horas tiene un precio de S/. 20.00 y una hospitalización pediátrica tiene como precio por día, de S/. 12.00 [18].</w:t>
      </w:r>
    </w:p>
    <w:p w14:paraId="14A2AF5F" w14:textId="77777777" w:rsidR="003A64F7" w:rsidRDefault="003A64F7">
      <w:pPr>
        <w:ind w:left="141" w:right="100"/>
        <w:jc w:val="both"/>
        <w:rPr>
          <w:rFonts w:ascii="Calibri" w:eastAsia="Calibri" w:hAnsi="Calibri" w:cs="Calibri"/>
        </w:rPr>
      </w:pPr>
    </w:p>
    <w:p w14:paraId="402E7A25" w14:textId="77777777" w:rsidR="003A64F7" w:rsidRDefault="004F7065">
      <w:pPr>
        <w:numPr>
          <w:ilvl w:val="0"/>
          <w:numId w:val="2"/>
        </w:numPr>
        <w:ind w:right="100"/>
        <w:jc w:val="both"/>
        <w:rPr>
          <w:rFonts w:ascii="Calibri" w:eastAsia="Calibri" w:hAnsi="Calibri" w:cs="Calibri"/>
          <w:b/>
        </w:rPr>
      </w:pPr>
      <w:r>
        <w:rPr>
          <w:rFonts w:ascii="Calibri" w:eastAsia="Calibri" w:hAnsi="Calibri" w:cs="Calibri"/>
          <w:b/>
        </w:rPr>
        <w:t>Análisis de las causas y sus factores</w:t>
      </w:r>
    </w:p>
    <w:p w14:paraId="5210C4D7" w14:textId="77777777" w:rsidR="003A64F7" w:rsidRDefault="003A64F7">
      <w:pPr>
        <w:ind w:left="141" w:right="100"/>
        <w:jc w:val="both"/>
        <w:rPr>
          <w:rFonts w:ascii="Calibri" w:eastAsia="Calibri" w:hAnsi="Calibri" w:cs="Calibri"/>
          <w:b/>
        </w:rPr>
      </w:pPr>
    </w:p>
    <w:p w14:paraId="685C5F6B" w14:textId="77777777" w:rsidR="003A64F7" w:rsidRDefault="004F7065">
      <w:pPr>
        <w:ind w:left="141" w:right="100"/>
        <w:jc w:val="both"/>
        <w:rPr>
          <w:rFonts w:ascii="Calibri" w:eastAsia="Calibri" w:hAnsi="Calibri" w:cs="Calibri"/>
          <w:b/>
        </w:rPr>
      </w:pPr>
      <w:r>
        <w:rPr>
          <w:rFonts w:ascii="Calibri" w:eastAsia="Calibri" w:hAnsi="Calibri" w:cs="Calibri"/>
          <w:b/>
        </w:rPr>
        <w:t>4.1 Mala gestión en el avance de proyectos</w:t>
      </w:r>
    </w:p>
    <w:p w14:paraId="3AC57A9E" w14:textId="79C03DBF" w:rsidR="003A64F7" w:rsidRDefault="004F7065">
      <w:pPr>
        <w:ind w:left="141" w:right="100"/>
        <w:jc w:val="both"/>
        <w:rPr>
          <w:rFonts w:ascii="Calibri" w:eastAsia="Calibri" w:hAnsi="Calibri" w:cs="Calibri"/>
        </w:rPr>
      </w:pPr>
      <w:r>
        <w:rPr>
          <w:rFonts w:ascii="Calibri" w:eastAsia="Calibri" w:hAnsi="Calibri" w:cs="Calibri"/>
        </w:rPr>
        <w:t xml:space="preserve">Durante el año 2020, 54 proyectos </w:t>
      </w:r>
      <w:r w:rsidR="00E103B4">
        <w:rPr>
          <w:rFonts w:ascii="Calibri" w:eastAsia="Calibri" w:hAnsi="Calibri" w:cs="Calibri"/>
        </w:rPr>
        <w:t>de inversión</w:t>
      </w:r>
      <w:r>
        <w:rPr>
          <w:rFonts w:ascii="Calibri" w:eastAsia="Calibri" w:hAnsi="Calibri" w:cs="Calibri"/>
        </w:rPr>
        <w:t xml:space="preserve"> no tuvieron avance alguno en su ejecución respecto al monto de inversión total (0% avance), 1 presentó 4.2% de avance y otro más presentó 85% de avance. Estos proyectos consistían en la adquisición de monitores de signos vitales y otros equipos médicos para distintos hospitales en todo el país, ya sea en la capital o provincias. </w:t>
      </w:r>
    </w:p>
    <w:p w14:paraId="44FDC4B5" w14:textId="51B61B20" w:rsidR="003A64F7" w:rsidRDefault="004F7065">
      <w:pPr>
        <w:ind w:left="141" w:right="100"/>
        <w:jc w:val="both"/>
        <w:rPr>
          <w:rFonts w:ascii="Calibri" w:eastAsia="Calibri" w:hAnsi="Calibri" w:cs="Calibri"/>
        </w:rPr>
      </w:pPr>
      <w:r>
        <w:rPr>
          <w:rFonts w:ascii="Calibri" w:eastAsia="Calibri" w:hAnsi="Calibri" w:cs="Calibri"/>
        </w:rPr>
        <w:t xml:space="preserve">Un ejemplo de esto es el proyecto “Adquisición de Monitor de Funciones Vitales, Monitor de Funciones Vitales, Monitor de Funciones Vitales y Ventilador Mecánico; además de otros Activos en el(la) EESS Hospital de la Amistad Perú - Corea Santa Rosa II-2 - Veintiséis de Octubre distrito de Veintiséis de Octubre, provincia Piura, departamento Piura”, con un monto de inversión total de S/. 790 900 y cuyo avance de ejecución era de 0.0 %. </w:t>
      </w:r>
    </w:p>
    <w:p w14:paraId="523B6E05" w14:textId="77777777" w:rsidR="00B95E04" w:rsidRDefault="00B95E04">
      <w:pPr>
        <w:ind w:left="141" w:right="100"/>
        <w:jc w:val="both"/>
        <w:rPr>
          <w:rFonts w:ascii="Calibri" w:eastAsia="Calibri" w:hAnsi="Calibri" w:cs="Calibri"/>
        </w:rPr>
      </w:pPr>
    </w:p>
    <w:p w14:paraId="62734A3B" w14:textId="0020CE2D" w:rsidR="003A64F7" w:rsidRPr="00B95E04" w:rsidRDefault="004F7065" w:rsidP="00B95E04">
      <w:pPr>
        <w:ind w:left="141" w:right="100"/>
        <w:jc w:val="both"/>
        <w:rPr>
          <w:rFonts w:ascii="Calibri" w:eastAsia="Calibri" w:hAnsi="Calibri" w:cs="Calibri"/>
        </w:rPr>
      </w:pPr>
      <w:r>
        <w:rPr>
          <w:rFonts w:ascii="Calibri" w:eastAsia="Calibri" w:hAnsi="Calibri" w:cs="Calibri"/>
        </w:rPr>
        <w:t>Otro ejemplo, en la capital, es el siguiente: “Adquisición de monitor de funciones vitales, monitor de funciones vitales, monitor de funciones vitales y ventilador mecánico; además de otros activos en el(la) EESS Instituto Nacional Materno Perinatal - Lima en la localidad Lima, distrito de Lima, provincia Lima, departamento Lima”, con un monto de inversión total de S/. 988 900 y su avance de ejecución era de 0.0 % [19].</w:t>
      </w:r>
    </w:p>
    <w:p w14:paraId="7BF3B164" w14:textId="77777777" w:rsidR="003A64F7" w:rsidRDefault="004F7065">
      <w:pPr>
        <w:ind w:left="141" w:right="100"/>
        <w:jc w:val="both"/>
      </w:pPr>
      <w:r>
        <w:rPr>
          <w:rFonts w:ascii="Calibri" w:eastAsia="Calibri" w:hAnsi="Calibri" w:cs="Calibri"/>
          <w:b/>
        </w:rPr>
        <w:lastRenderedPageBreak/>
        <w:t>4.2 Ausencia de presupuesto, equipamiento y mantenimiento</w:t>
      </w:r>
    </w:p>
    <w:p w14:paraId="4EE9421D" w14:textId="77777777" w:rsidR="003A64F7" w:rsidRDefault="004F7065">
      <w:pPr>
        <w:ind w:left="141" w:right="100"/>
        <w:jc w:val="both"/>
        <w:rPr>
          <w:rFonts w:ascii="Calibri" w:eastAsia="Calibri" w:hAnsi="Calibri" w:cs="Calibri"/>
        </w:rPr>
      </w:pPr>
      <w:r>
        <w:rPr>
          <w:rFonts w:ascii="Calibri" w:eastAsia="Calibri" w:hAnsi="Calibri" w:cs="Calibri"/>
        </w:rPr>
        <w:t>El equipamiento médico representa a los elementos esenciales de un establecimiento de salud, en conjunto con la gestión de los servicios.</w:t>
      </w:r>
    </w:p>
    <w:p w14:paraId="659A24E1" w14:textId="5450B845" w:rsidR="003A64F7" w:rsidRDefault="004F7065">
      <w:pPr>
        <w:ind w:left="141" w:right="100"/>
        <w:jc w:val="both"/>
        <w:rPr>
          <w:rFonts w:ascii="Calibri" w:eastAsia="Calibri" w:hAnsi="Calibri" w:cs="Calibri"/>
        </w:rPr>
      </w:pPr>
      <w:r>
        <w:rPr>
          <w:rFonts w:ascii="Calibri" w:eastAsia="Calibri" w:hAnsi="Calibri" w:cs="Calibri"/>
        </w:rPr>
        <w:t xml:space="preserve">La carencia y falta de estos elementos en los hospitales a nivel nacional es una brecha que enfrenta el sector de salud. [20]. Además de presentar   una   capacidad   instalada   inadecuada, equipamiento obsoleto, inoperativo o insuficiente. En el 2019, el Hospital María Auxiliadora señaló que </w:t>
      </w:r>
      <w:r w:rsidR="00E103B4">
        <w:rPr>
          <w:rFonts w:ascii="Calibri" w:eastAsia="Calibri" w:hAnsi="Calibri" w:cs="Calibri"/>
        </w:rPr>
        <w:t>400 mil soles solo alcanzan</w:t>
      </w:r>
      <w:r>
        <w:rPr>
          <w:rFonts w:ascii="Calibri" w:eastAsia="Calibri" w:hAnsi="Calibri" w:cs="Calibri"/>
        </w:rPr>
        <w:t xml:space="preserve"> para 5 monitores </w:t>
      </w:r>
      <w:r w:rsidR="00E103B4">
        <w:rPr>
          <w:rFonts w:ascii="Calibri" w:eastAsia="Calibri" w:hAnsi="Calibri" w:cs="Calibri"/>
        </w:rPr>
        <w:t>multiparámetros</w:t>
      </w:r>
      <w:r>
        <w:rPr>
          <w:rFonts w:ascii="Calibri" w:eastAsia="Calibri" w:hAnsi="Calibri" w:cs="Calibri"/>
        </w:rPr>
        <w:t>, debido a sus altos costos [21].</w:t>
      </w:r>
    </w:p>
    <w:p w14:paraId="6585BD7A" w14:textId="77777777" w:rsidR="003A64F7" w:rsidRDefault="003A64F7">
      <w:pPr>
        <w:ind w:left="141" w:right="100"/>
        <w:jc w:val="both"/>
        <w:rPr>
          <w:rFonts w:ascii="Calibri" w:eastAsia="Calibri" w:hAnsi="Calibri" w:cs="Calibri"/>
        </w:rPr>
      </w:pPr>
    </w:p>
    <w:p w14:paraId="56C2E72E" w14:textId="77777777" w:rsidR="003A64F7" w:rsidRDefault="004F7065">
      <w:pPr>
        <w:ind w:left="141" w:right="100"/>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lang w:val="en-US" w:eastAsia="en-US"/>
        </w:rPr>
        <w:drawing>
          <wp:inline distT="114300" distB="114300" distL="114300" distR="114300" wp14:anchorId="1B4CC635" wp14:editId="6B5CB2A6">
            <wp:extent cx="5162180" cy="1750566"/>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l="5647" t="37549" r="8114" b="7949"/>
                    <a:stretch>
                      <a:fillRect/>
                    </a:stretch>
                  </pic:blipFill>
                  <pic:spPr>
                    <a:xfrm>
                      <a:off x="0" y="0"/>
                      <a:ext cx="5162180" cy="1750566"/>
                    </a:xfrm>
                    <a:prstGeom prst="rect">
                      <a:avLst/>
                    </a:prstGeom>
                    <a:ln/>
                  </pic:spPr>
                </pic:pic>
              </a:graphicData>
            </a:graphic>
          </wp:inline>
        </w:drawing>
      </w:r>
    </w:p>
    <w:p w14:paraId="0E2BC534" w14:textId="77777777" w:rsidR="003A64F7" w:rsidRDefault="004F7065">
      <w:pPr>
        <w:ind w:left="141" w:right="10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Figura 3. Establecimientos de salud con capacidad instalada inadecuada, 2020 (en %). </w:t>
      </w:r>
    </w:p>
    <w:p w14:paraId="4039082C" w14:textId="77777777" w:rsidR="003A64F7" w:rsidRDefault="004F7065">
      <w:pPr>
        <w:ind w:left="141" w:right="10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Nota Fuente: </w:t>
      </w:r>
      <w:r>
        <w:rPr>
          <w:rFonts w:ascii="Times New Roman" w:eastAsia="Times New Roman" w:hAnsi="Times New Roman" w:cs="Times New Roman"/>
          <w:sz w:val="20"/>
          <w:szCs w:val="20"/>
        </w:rPr>
        <w:t xml:space="preserve">Sociedad de Comercio Exterior del Perú - </w:t>
      </w:r>
      <w:proofErr w:type="spellStart"/>
      <w:r>
        <w:rPr>
          <w:rFonts w:ascii="Times New Roman" w:eastAsia="Times New Roman" w:hAnsi="Times New Roman" w:cs="Times New Roman"/>
          <w:sz w:val="20"/>
          <w:szCs w:val="20"/>
        </w:rPr>
        <w:t>ComexPerú</w:t>
      </w:r>
      <w:proofErr w:type="spellEnd"/>
      <w:r>
        <w:rPr>
          <w:rFonts w:ascii="Times New Roman" w:eastAsia="Times New Roman" w:hAnsi="Times New Roman" w:cs="Times New Roman"/>
          <w:sz w:val="20"/>
          <w:szCs w:val="20"/>
        </w:rPr>
        <w:t xml:space="preserve">. (2019). Informe de Calidad del Gasto Público en Salud 2019 (p. 13). Lima: </w:t>
      </w:r>
      <w:proofErr w:type="spellStart"/>
      <w:r>
        <w:rPr>
          <w:rFonts w:ascii="Times New Roman" w:eastAsia="Times New Roman" w:hAnsi="Times New Roman" w:cs="Times New Roman"/>
          <w:sz w:val="20"/>
          <w:szCs w:val="20"/>
        </w:rPr>
        <w:t>ComexPerú</w:t>
      </w:r>
      <w:proofErr w:type="spellEnd"/>
      <w:r>
        <w:rPr>
          <w:rFonts w:ascii="Times New Roman" w:eastAsia="Times New Roman" w:hAnsi="Times New Roman" w:cs="Times New Roman"/>
          <w:sz w:val="20"/>
          <w:szCs w:val="20"/>
        </w:rPr>
        <w:t>.</w:t>
      </w:r>
    </w:p>
    <w:p w14:paraId="66FB673C" w14:textId="77777777" w:rsidR="003A64F7" w:rsidRDefault="003A64F7">
      <w:pPr>
        <w:ind w:left="141" w:right="100"/>
        <w:rPr>
          <w:rFonts w:ascii="Times New Roman" w:eastAsia="Times New Roman" w:hAnsi="Times New Roman" w:cs="Times New Roman"/>
          <w:sz w:val="20"/>
          <w:szCs w:val="20"/>
        </w:rPr>
      </w:pPr>
    </w:p>
    <w:p w14:paraId="55B44E2D" w14:textId="3D3ADBD8" w:rsidR="003A64F7" w:rsidRDefault="004F7065">
      <w:pPr>
        <w:ind w:left="141" w:right="100"/>
        <w:jc w:val="both"/>
        <w:rPr>
          <w:rFonts w:ascii="Calibri" w:eastAsia="Calibri" w:hAnsi="Calibri" w:cs="Calibri"/>
        </w:rPr>
      </w:pPr>
      <w:r>
        <w:rPr>
          <w:rFonts w:ascii="Calibri" w:eastAsia="Calibri" w:hAnsi="Calibri" w:cs="Calibri"/>
        </w:rPr>
        <w:t>A inicios de 2020, el PIA destinado a la función Salud fue S/ 18 495 millones, un 10.4% del total del presupuesto público y un 1.5% más que en 2019. Hacia fines de ese año, el presupuesto modificado ascendió a S/ 27 194 millones, un 41.12% superior al PIA.</w:t>
      </w:r>
    </w:p>
    <w:p w14:paraId="1610D0FA" w14:textId="77777777" w:rsidR="00B95E04" w:rsidRDefault="00B95E04">
      <w:pPr>
        <w:ind w:left="141" w:right="100"/>
        <w:jc w:val="both"/>
        <w:rPr>
          <w:rFonts w:ascii="Calibri" w:eastAsia="Calibri" w:hAnsi="Calibri" w:cs="Calibri"/>
        </w:rPr>
      </w:pPr>
    </w:p>
    <w:p w14:paraId="0127E4FA" w14:textId="206B1095" w:rsidR="003A64F7" w:rsidRDefault="004F7065">
      <w:pPr>
        <w:ind w:left="141" w:right="100"/>
        <w:jc w:val="both"/>
        <w:rPr>
          <w:rFonts w:ascii="Calibri" w:eastAsia="Calibri" w:hAnsi="Calibri" w:cs="Calibri"/>
        </w:rPr>
      </w:pPr>
      <w:r>
        <w:rPr>
          <w:rFonts w:ascii="Calibri" w:eastAsia="Calibri" w:hAnsi="Calibri" w:cs="Calibri"/>
        </w:rPr>
        <w:t>En 2020, el Gobierno nacional, representado por el Ministerio de Salud, ha ejecutado S/ 11 096 millones en la función salud, lo que representa un 89.3% del PIM establecido. Por su parte, los Gobiernos regionales y Gobiernos locales han ejecutado S/ 11 519 millones y S/ 695 millones, lo que equivale al 91.8% y 68.1% del presupuesto destinado, respectivamente [22].</w:t>
      </w:r>
    </w:p>
    <w:p w14:paraId="4667E34B" w14:textId="77777777" w:rsidR="00B95E04" w:rsidRDefault="00B95E04">
      <w:pPr>
        <w:ind w:left="141" w:right="100"/>
        <w:jc w:val="both"/>
        <w:rPr>
          <w:rFonts w:ascii="Calibri" w:eastAsia="Calibri" w:hAnsi="Calibri" w:cs="Calibri"/>
        </w:rPr>
      </w:pPr>
    </w:p>
    <w:p w14:paraId="7287E903" w14:textId="77777777" w:rsidR="003A64F7" w:rsidRDefault="004F7065">
      <w:pPr>
        <w:ind w:left="141" w:right="100"/>
        <w:jc w:val="both"/>
      </w:pPr>
      <w:r>
        <w:rPr>
          <w:rFonts w:ascii="Calibri" w:eastAsia="Calibri" w:hAnsi="Calibri" w:cs="Calibri"/>
        </w:rPr>
        <w:t>Por lo expuesto, el presupuesto destinado al sector salud no es suficiente para la obtención de varios monitores multiparámetros debido a sus altos costos, los hospitales padecen de una ausencia de estos.</w:t>
      </w:r>
    </w:p>
    <w:p w14:paraId="63032002" w14:textId="77777777" w:rsidR="003A64F7" w:rsidRDefault="004F7065">
      <w:pPr>
        <w:numPr>
          <w:ilvl w:val="0"/>
          <w:numId w:val="2"/>
        </w:numPr>
        <w:spacing w:before="240" w:after="240"/>
        <w:ind w:right="100"/>
        <w:jc w:val="both"/>
        <w:rPr>
          <w:rFonts w:ascii="Calibri" w:eastAsia="Calibri" w:hAnsi="Calibri" w:cs="Calibri"/>
          <w:b/>
        </w:rPr>
      </w:pPr>
      <w:r>
        <w:rPr>
          <w:rFonts w:ascii="Calibri" w:eastAsia="Calibri" w:hAnsi="Calibri" w:cs="Calibri"/>
          <w:b/>
        </w:rPr>
        <w:t>Alcance de la propuesta preliminar</w:t>
      </w:r>
    </w:p>
    <w:p w14:paraId="09EFE524" w14:textId="77777777" w:rsidR="003A64F7" w:rsidRDefault="004F7065">
      <w:pPr>
        <w:ind w:left="141" w:right="100"/>
        <w:jc w:val="both"/>
        <w:rPr>
          <w:rFonts w:ascii="Calibri" w:eastAsia="Calibri" w:hAnsi="Calibri" w:cs="Calibri"/>
          <w:b/>
        </w:rPr>
      </w:pPr>
      <w:r>
        <w:rPr>
          <w:rFonts w:ascii="Calibri" w:eastAsia="Calibri" w:hAnsi="Calibri" w:cs="Calibri"/>
        </w:rPr>
        <w:t>En el presente trabajo de investigación, se diseñará conceptualmente un monitor multiparámetro ad hoc para niños con un rango de edad entre 0 a 5 años para la medición de sus signos vitales al momento de ser sometidos a una intervención quirúrgica. Este monitor permitirá medir como mínimo temperatura, frecuencia de pulso, presión sanguínea y saturación de oxígeno, será portátil permitiendo usarse en diferentes ambientes según la urgencia que se requiera y de bajo costo para facilitar la adquisición de este dispositivo médico.</w:t>
      </w:r>
    </w:p>
    <w:p w14:paraId="53364595" w14:textId="77777777" w:rsidR="003A64F7" w:rsidRDefault="003A64F7">
      <w:pPr>
        <w:rPr>
          <w:rFonts w:ascii="Calibri" w:eastAsia="Calibri" w:hAnsi="Calibri" w:cs="Calibri"/>
          <w:b/>
        </w:rPr>
      </w:pPr>
    </w:p>
    <w:p w14:paraId="6418451C" w14:textId="77777777" w:rsidR="003A64F7" w:rsidRDefault="003A64F7">
      <w:pPr>
        <w:rPr>
          <w:rFonts w:ascii="Calibri" w:eastAsia="Calibri" w:hAnsi="Calibri" w:cs="Calibri"/>
          <w:b/>
        </w:rPr>
      </w:pPr>
    </w:p>
    <w:p w14:paraId="50B1E712" w14:textId="5EB4714B" w:rsidR="003A64F7" w:rsidRDefault="003A64F7">
      <w:pPr>
        <w:rPr>
          <w:rFonts w:ascii="Calibri" w:eastAsia="Calibri" w:hAnsi="Calibri" w:cs="Calibri"/>
          <w:b/>
          <w:sz w:val="28"/>
          <w:szCs w:val="28"/>
        </w:rPr>
      </w:pPr>
    </w:p>
    <w:p w14:paraId="4B638EAB" w14:textId="710276E5" w:rsidR="003A64F7" w:rsidRPr="00B95E04" w:rsidRDefault="004F7065" w:rsidP="00B95E04">
      <w:pPr>
        <w:jc w:val="center"/>
        <w:rPr>
          <w:rFonts w:ascii="Calibri" w:eastAsia="Calibri" w:hAnsi="Calibri" w:cs="Calibri"/>
          <w:b/>
          <w:sz w:val="28"/>
          <w:szCs w:val="28"/>
        </w:rPr>
      </w:pPr>
      <w:r>
        <w:rPr>
          <w:rFonts w:ascii="Calibri" w:eastAsia="Calibri" w:hAnsi="Calibri" w:cs="Calibri"/>
          <w:b/>
          <w:sz w:val="28"/>
          <w:szCs w:val="28"/>
        </w:rPr>
        <w:lastRenderedPageBreak/>
        <w:t>BIBLIOGRAFÍA</w:t>
      </w:r>
    </w:p>
    <w:p w14:paraId="45650EE9" w14:textId="2A693177" w:rsidR="003A64F7" w:rsidRPr="00B95E04" w:rsidRDefault="004F7065" w:rsidP="00B95E04">
      <w:pPr>
        <w:numPr>
          <w:ilvl w:val="0"/>
          <w:numId w:val="1"/>
        </w:numPr>
        <w:spacing w:before="240"/>
        <w:ind w:right="100"/>
        <w:jc w:val="both"/>
        <w:rPr>
          <w:rFonts w:asciiTheme="majorHAnsi" w:eastAsia="Calibri" w:hAnsiTheme="majorHAnsi" w:cstheme="majorHAnsi"/>
        </w:rPr>
      </w:pPr>
      <w:proofErr w:type="spellStart"/>
      <w:r w:rsidRPr="00B95E04">
        <w:rPr>
          <w:rFonts w:asciiTheme="majorHAnsi" w:eastAsia="Calibri" w:hAnsiTheme="majorHAnsi" w:cstheme="majorHAnsi"/>
        </w:rPr>
        <w:t>Sapra</w:t>
      </w:r>
      <w:proofErr w:type="spellEnd"/>
      <w:r w:rsidRPr="00B95E04">
        <w:rPr>
          <w:rFonts w:asciiTheme="majorHAnsi" w:eastAsia="Calibri" w:hAnsiTheme="majorHAnsi" w:cstheme="majorHAnsi"/>
        </w:rPr>
        <w:t xml:space="preserve">, A. (2021, 12 de mayo). Vital </w:t>
      </w:r>
      <w:proofErr w:type="spellStart"/>
      <w:r w:rsidRPr="00B95E04">
        <w:rPr>
          <w:rFonts w:asciiTheme="majorHAnsi" w:eastAsia="Calibri" w:hAnsiTheme="majorHAnsi" w:cstheme="majorHAnsi"/>
        </w:rPr>
        <w:t>Sign</w:t>
      </w:r>
      <w:proofErr w:type="spellEnd"/>
      <w:r w:rsidRPr="00B95E04">
        <w:rPr>
          <w:rFonts w:asciiTheme="majorHAnsi" w:eastAsia="Calibri" w:hAnsiTheme="majorHAnsi" w:cstheme="majorHAnsi"/>
        </w:rPr>
        <w:t xml:space="preserve"> </w:t>
      </w:r>
      <w:proofErr w:type="spellStart"/>
      <w:r w:rsidRPr="00B95E04">
        <w:rPr>
          <w:rFonts w:asciiTheme="majorHAnsi" w:eastAsia="Calibri" w:hAnsiTheme="majorHAnsi" w:cstheme="majorHAnsi"/>
        </w:rPr>
        <w:t>Assessment</w:t>
      </w:r>
      <w:proofErr w:type="spellEnd"/>
      <w:r w:rsidRPr="00B95E04">
        <w:rPr>
          <w:rFonts w:asciiTheme="majorHAnsi" w:eastAsia="Calibri" w:hAnsiTheme="majorHAnsi" w:cstheme="majorHAnsi"/>
        </w:rPr>
        <w:t xml:space="preserve">. NCBI. </w:t>
      </w:r>
      <w:r w:rsidR="00B95E04" w:rsidRPr="00B95E04">
        <w:rPr>
          <w:rFonts w:asciiTheme="majorHAnsi" w:eastAsia="Calibri" w:hAnsiTheme="majorHAnsi" w:cstheme="majorHAnsi"/>
        </w:rPr>
        <w:t xml:space="preserve">Disponible en: </w:t>
      </w:r>
      <w:hyperlink r:id="rId14">
        <w:r w:rsidRPr="00B95E04">
          <w:rPr>
            <w:rFonts w:asciiTheme="majorHAnsi" w:eastAsia="Calibri" w:hAnsiTheme="majorHAnsi" w:cstheme="majorHAnsi"/>
            <w:color w:val="1155CC"/>
            <w:u w:val="single"/>
          </w:rPr>
          <w:t>https://www.ncbi.nlm.nih.gov/books/NBK553213/</w:t>
        </w:r>
      </w:hyperlink>
      <w:r w:rsidRPr="00B95E04">
        <w:rPr>
          <w:rFonts w:asciiTheme="majorHAnsi" w:eastAsia="Calibri" w:hAnsiTheme="majorHAnsi" w:cstheme="majorHAnsi"/>
        </w:rPr>
        <w:t xml:space="preserve"> </w:t>
      </w:r>
    </w:p>
    <w:p w14:paraId="50F9E3D9" w14:textId="4AF64BC6" w:rsidR="003A64F7" w:rsidRPr="0096694D" w:rsidRDefault="004F7065" w:rsidP="00B95E04">
      <w:pPr>
        <w:numPr>
          <w:ilvl w:val="0"/>
          <w:numId w:val="1"/>
        </w:numPr>
        <w:jc w:val="both"/>
        <w:rPr>
          <w:rFonts w:asciiTheme="majorHAnsi" w:eastAsia="Calibri" w:hAnsiTheme="majorHAnsi" w:cstheme="majorHAnsi"/>
          <w:lang w:val="en-US"/>
        </w:rPr>
      </w:pPr>
      <w:r w:rsidRPr="00B95E04">
        <w:rPr>
          <w:rFonts w:asciiTheme="majorHAnsi" w:eastAsia="Calibri" w:hAnsiTheme="majorHAnsi" w:cstheme="majorHAnsi"/>
          <w:lang w:val="en-US"/>
        </w:rPr>
        <w:t xml:space="preserve">Vital Signs, Cleveland Clinic. </w:t>
      </w:r>
      <w:proofErr w:type="spellStart"/>
      <w:r w:rsidR="00B95E04" w:rsidRPr="0096694D">
        <w:rPr>
          <w:rFonts w:asciiTheme="majorHAnsi" w:eastAsia="Calibri" w:hAnsiTheme="majorHAnsi" w:cstheme="majorHAnsi"/>
          <w:lang w:val="en-US"/>
        </w:rPr>
        <w:t>Disponible</w:t>
      </w:r>
      <w:proofErr w:type="spellEnd"/>
      <w:r w:rsidR="00B95E04" w:rsidRPr="0096694D">
        <w:rPr>
          <w:rFonts w:asciiTheme="majorHAnsi" w:eastAsia="Calibri" w:hAnsiTheme="majorHAnsi" w:cstheme="majorHAnsi"/>
          <w:lang w:val="en-US"/>
        </w:rPr>
        <w:t xml:space="preserve"> en: </w:t>
      </w:r>
      <w:r w:rsidRPr="0096694D">
        <w:rPr>
          <w:rFonts w:asciiTheme="majorHAnsi" w:eastAsia="Calibri" w:hAnsiTheme="majorHAnsi" w:cstheme="majorHAnsi"/>
          <w:color w:val="1155CC"/>
          <w:u w:val="single"/>
          <w:lang w:val="en-US"/>
        </w:rPr>
        <w:t xml:space="preserve">https://my.clevelandclinic.org/health/articles/10881-vital-signs </w:t>
      </w:r>
    </w:p>
    <w:p w14:paraId="1DA6E88E" w14:textId="01174A3C" w:rsidR="003A64F7" w:rsidRPr="00B95E04" w:rsidRDefault="004F7065" w:rsidP="00B95E04">
      <w:pPr>
        <w:numPr>
          <w:ilvl w:val="0"/>
          <w:numId w:val="1"/>
        </w:numPr>
        <w:jc w:val="both"/>
        <w:rPr>
          <w:rFonts w:asciiTheme="majorHAnsi" w:eastAsia="Calibri" w:hAnsiTheme="majorHAnsi" w:cstheme="majorHAnsi"/>
        </w:rPr>
      </w:pPr>
      <w:r w:rsidRPr="00B95E04">
        <w:rPr>
          <w:rFonts w:asciiTheme="majorHAnsi" w:eastAsia="Calibri" w:hAnsiTheme="majorHAnsi" w:cstheme="majorHAnsi"/>
          <w:lang w:val="en-US"/>
        </w:rPr>
        <w:t xml:space="preserve">Complete Guide Vital Signs Monitor. </w:t>
      </w:r>
      <w:r w:rsidR="00B95E04" w:rsidRPr="00B95E04">
        <w:rPr>
          <w:rFonts w:asciiTheme="majorHAnsi" w:eastAsia="Calibri" w:hAnsiTheme="majorHAnsi" w:cstheme="majorHAnsi"/>
        </w:rPr>
        <w:t xml:space="preserve">Disponible en: </w:t>
      </w:r>
      <w:hyperlink r:id="rId15">
        <w:r w:rsidRPr="00B95E04">
          <w:rPr>
            <w:rFonts w:asciiTheme="majorHAnsi" w:eastAsia="Calibri" w:hAnsiTheme="majorHAnsi" w:cstheme="majorHAnsi"/>
            <w:color w:val="1155CC"/>
            <w:u w:val="single"/>
          </w:rPr>
          <w:t>https://www.getmedcheck.com/wp-content/uploads/2018/12/Complete-Guide-Vital-Signs-Monitor.pdf</w:t>
        </w:r>
      </w:hyperlink>
    </w:p>
    <w:p w14:paraId="27345891" w14:textId="6CCDA59D" w:rsidR="003A64F7" w:rsidRPr="00B95E04" w:rsidRDefault="004F7065" w:rsidP="00B95E04">
      <w:pPr>
        <w:numPr>
          <w:ilvl w:val="0"/>
          <w:numId w:val="1"/>
        </w:numPr>
        <w:ind w:right="100"/>
        <w:jc w:val="both"/>
        <w:rPr>
          <w:rFonts w:asciiTheme="majorHAnsi" w:eastAsia="Calibri" w:hAnsiTheme="majorHAnsi" w:cstheme="majorHAnsi"/>
        </w:rPr>
      </w:pPr>
      <w:r w:rsidRPr="00B95E04">
        <w:rPr>
          <w:rFonts w:asciiTheme="majorHAnsi" w:eastAsia="Calibri" w:hAnsiTheme="majorHAnsi" w:cstheme="majorHAnsi"/>
        </w:rPr>
        <w:t xml:space="preserve"> Vital </w:t>
      </w:r>
      <w:proofErr w:type="spellStart"/>
      <w:r w:rsidRPr="00B95E04">
        <w:rPr>
          <w:rFonts w:asciiTheme="majorHAnsi" w:eastAsia="Calibri" w:hAnsiTheme="majorHAnsi" w:cstheme="majorHAnsi"/>
        </w:rPr>
        <w:t>Signs</w:t>
      </w:r>
      <w:proofErr w:type="spellEnd"/>
      <w:r w:rsidRPr="00B95E04">
        <w:rPr>
          <w:rFonts w:asciiTheme="majorHAnsi" w:eastAsia="Calibri" w:hAnsiTheme="majorHAnsi" w:cstheme="majorHAnsi"/>
        </w:rPr>
        <w:t xml:space="preserve"> Monitor | USA Medical </w:t>
      </w:r>
      <w:proofErr w:type="gramStart"/>
      <w:r w:rsidRPr="00B95E04">
        <w:rPr>
          <w:rFonts w:asciiTheme="majorHAnsi" w:eastAsia="Calibri" w:hAnsiTheme="majorHAnsi" w:cstheme="majorHAnsi"/>
        </w:rPr>
        <w:t>Surgical.com .</w:t>
      </w:r>
      <w:proofErr w:type="gramEnd"/>
      <w:r w:rsidRPr="00B95E04">
        <w:rPr>
          <w:rFonts w:asciiTheme="majorHAnsi" w:eastAsia="Calibri" w:hAnsiTheme="majorHAnsi" w:cstheme="majorHAnsi"/>
        </w:rPr>
        <w:t xml:space="preserve">  </w:t>
      </w:r>
      <w:r w:rsidR="00B95E04" w:rsidRPr="00B95E04">
        <w:rPr>
          <w:rFonts w:asciiTheme="majorHAnsi" w:eastAsia="Calibri" w:hAnsiTheme="majorHAnsi" w:cstheme="majorHAnsi"/>
        </w:rPr>
        <w:t xml:space="preserve">Disponible en: </w:t>
      </w:r>
      <w:hyperlink r:id="rId16">
        <w:r w:rsidRPr="00B95E04">
          <w:rPr>
            <w:rFonts w:asciiTheme="majorHAnsi" w:eastAsia="Calibri" w:hAnsiTheme="majorHAnsi" w:cstheme="majorHAnsi"/>
            <w:color w:val="1155CC"/>
            <w:u w:val="single"/>
          </w:rPr>
          <w:t>https://www.usamedicalsurgical.com/vital-signs-monitors/</w:t>
        </w:r>
      </w:hyperlink>
      <w:r w:rsidRPr="00B95E04">
        <w:rPr>
          <w:rFonts w:asciiTheme="majorHAnsi" w:eastAsia="Calibri" w:hAnsiTheme="majorHAnsi" w:cstheme="majorHAnsi"/>
        </w:rPr>
        <w:t xml:space="preserve"> </w:t>
      </w:r>
    </w:p>
    <w:p w14:paraId="1E36895F" w14:textId="24672873" w:rsidR="003A64F7" w:rsidRPr="00B95E04" w:rsidRDefault="004F7065" w:rsidP="00B95E04">
      <w:pPr>
        <w:numPr>
          <w:ilvl w:val="0"/>
          <w:numId w:val="1"/>
        </w:numPr>
        <w:ind w:right="100"/>
        <w:jc w:val="both"/>
        <w:rPr>
          <w:rFonts w:asciiTheme="majorHAnsi" w:eastAsia="Calibri" w:hAnsiTheme="majorHAnsi" w:cstheme="majorHAnsi"/>
        </w:rPr>
      </w:pPr>
      <w:r w:rsidRPr="00B95E04">
        <w:rPr>
          <w:rFonts w:asciiTheme="majorHAnsi" w:eastAsia="Calibri" w:hAnsiTheme="majorHAnsi" w:cstheme="majorHAnsi"/>
          <w:lang w:val="es-ES"/>
        </w:rPr>
        <w:t xml:space="preserve"> </w:t>
      </w:r>
      <w:r w:rsidRPr="00B95E04">
        <w:rPr>
          <w:rFonts w:asciiTheme="majorHAnsi" w:eastAsia="Calibri" w:hAnsiTheme="majorHAnsi" w:cstheme="majorHAnsi"/>
          <w:lang w:val="en-US"/>
        </w:rPr>
        <w:t xml:space="preserve">M. Smith, «How to Read a Vital Signs Monitor», WebMD. </w:t>
      </w:r>
      <w:r w:rsidR="00B95E04" w:rsidRPr="00B95E04">
        <w:rPr>
          <w:rFonts w:asciiTheme="majorHAnsi" w:eastAsia="Calibri" w:hAnsiTheme="majorHAnsi" w:cstheme="majorHAnsi"/>
        </w:rPr>
        <w:t xml:space="preserve">Disponible en: </w:t>
      </w:r>
      <w:hyperlink r:id="rId17">
        <w:r w:rsidRPr="00B95E04">
          <w:rPr>
            <w:rFonts w:asciiTheme="majorHAnsi" w:eastAsia="Calibri" w:hAnsiTheme="majorHAnsi" w:cstheme="majorHAnsi"/>
            <w:color w:val="1155CC"/>
            <w:u w:val="single"/>
          </w:rPr>
          <w:t>https://www.webmd.com/cancer/vital-signs-monitor</w:t>
        </w:r>
      </w:hyperlink>
    </w:p>
    <w:p w14:paraId="2D40BB0F" w14:textId="77777777" w:rsidR="003A64F7" w:rsidRPr="00B95E04" w:rsidRDefault="004F7065" w:rsidP="00B95E04">
      <w:pPr>
        <w:numPr>
          <w:ilvl w:val="0"/>
          <w:numId w:val="1"/>
        </w:numPr>
        <w:jc w:val="both"/>
        <w:rPr>
          <w:rFonts w:asciiTheme="majorHAnsi" w:eastAsia="Calibri" w:hAnsiTheme="majorHAnsi" w:cstheme="majorHAnsi"/>
          <w:lang w:val="en-US"/>
        </w:rPr>
      </w:pPr>
      <w:r w:rsidRPr="00B95E04">
        <w:rPr>
          <w:rFonts w:asciiTheme="majorHAnsi" w:eastAsia="Calibri" w:hAnsiTheme="majorHAnsi" w:cstheme="majorHAnsi"/>
          <w:lang w:val="en-US"/>
        </w:rPr>
        <w:t xml:space="preserve">J. A. </w:t>
      </w:r>
      <w:proofErr w:type="spellStart"/>
      <w:r w:rsidRPr="00B95E04">
        <w:rPr>
          <w:rFonts w:asciiTheme="majorHAnsi" w:eastAsia="Calibri" w:hAnsiTheme="majorHAnsi" w:cstheme="majorHAnsi"/>
          <w:lang w:val="en-US"/>
        </w:rPr>
        <w:t>Rabbitts</w:t>
      </w:r>
      <w:proofErr w:type="spellEnd"/>
      <w:r w:rsidRPr="00B95E04">
        <w:rPr>
          <w:rFonts w:asciiTheme="majorHAnsi" w:eastAsia="Calibri" w:hAnsiTheme="majorHAnsi" w:cstheme="majorHAnsi"/>
          <w:lang w:val="en-US"/>
        </w:rPr>
        <w:t xml:space="preserve"> and C. B. Groenewald, “Epidemiology of Pediatric Surgery in the United States,” </w:t>
      </w:r>
      <w:proofErr w:type="spellStart"/>
      <w:r w:rsidRPr="00B95E04">
        <w:rPr>
          <w:rFonts w:asciiTheme="majorHAnsi" w:eastAsia="Calibri" w:hAnsiTheme="majorHAnsi" w:cstheme="majorHAnsi"/>
          <w:lang w:val="en-US"/>
        </w:rPr>
        <w:t>Paediatric</w:t>
      </w:r>
      <w:proofErr w:type="spellEnd"/>
      <w:r w:rsidRPr="00B95E04">
        <w:rPr>
          <w:rFonts w:asciiTheme="majorHAnsi" w:eastAsia="Calibri" w:hAnsiTheme="majorHAnsi" w:cstheme="majorHAnsi"/>
          <w:lang w:val="en-US"/>
        </w:rPr>
        <w:t xml:space="preserve"> </w:t>
      </w:r>
      <w:proofErr w:type="spellStart"/>
      <w:r w:rsidRPr="00B95E04">
        <w:rPr>
          <w:rFonts w:asciiTheme="majorHAnsi" w:eastAsia="Calibri" w:hAnsiTheme="majorHAnsi" w:cstheme="majorHAnsi"/>
          <w:lang w:val="en-US"/>
        </w:rPr>
        <w:t>Anaesthesia</w:t>
      </w:r>
      <w:proofErr w:type="spellEnd"/>
      <w:r w:rsidRPr="00B95E04">
        <w:rPr>
          <w:rFonts w:asciiTheme="majorHAnsi" w:eastAsia="Calibri" w:hAnsiTheme="majorHAnsi" w:cstheme="majorHAnsi"/>
          <w:lang w:val="en-US"/>
        </w:rPr>
        <w:t xml:space="preserve">, vol. 30, no. 10, pp. 1083–1090, 2020, </w:t>
      </w:r>
      <w:proofErr w:type="spellStart"/>
      <w:r w:rsidRPr="00B95E04">
        <w:rPr>
          <w:rFonts w:asciiTheme="majorHAnsi" w:eastAsia="Calibri" w:hAnsiTheme="majorHAnsi" w:cstheme="majorHAnsi"/>
          <w:lang w:val="en-US"/>
        </w:rPr>
        <w:t>doi</w:t>
      </w:r>
      <w:proofErr w:type="spellEnd"/>
      <w:r w:rsidRPr="00B95E04">
        <w:rPr>
          <w:rFonts w:asciiTheme="majorHAnsi" w:eastAsia="Calibri" w:hAnsiTheme="majorHAnsi" w:cstheme="majorHAnsi"/>
          <w:lang w:val="en-US"/>
        </w:rPr>
        <w:t>: 10.1111/pan.13993.</w:t>
      </w:r>
    </w:p>
    <w:p w14:paraId="2754F51C" w14:textId="4F0C5C19" w:rsidR="003A64F7" w:rsidRPr="00B95E04" w:rsidRDefault="004F7065" w:rsidP="00B95E04">
      <w:pPr>
        <w:numPr>
          <w:ilvl w:val="0"/>
          <w:numId w:val="1"/>
        </w:numPr>
        <w:jc w:val="both"/>
        <w:rPr>
          <w:rFonts w:asciiTheme="majorHAnsi" w:eastAsia="Calibri" w:hAnsiTheme="majorHAnsi" w:cstheme="majorHAnsi"/>
          <w:lang w:val="es-ES"/>
        </w:rPr>
      </w:pPr>
      <w:r w:rsidRPr="00B95E04">
        <w:rPr>
          <w:rFonts w:asciiTheme="majorHAnsi" w:hAnsiTheme="majorHAnsi" w:cstheme="majorHAnsi"/>
          <w:highlight w:val="white"/>
        </w:rPr>
        <w:t xml:space="preserve">Insnsb.gob.pe. 2021. </w:t>
      </w:r>
      <w:r w:rsidRPr="00B95E04">
        <w:rPr>
          <w:rFonts w:asciiTheme="majorHAnsi" w:hAnsiTheme="majorHAnsi" w:cstheme="majorHAnsi"/>
          <w:i/>
          <w:highlight w:val="white"/>
        </w:rPr>
        <w:t>MEMORIA INSTITUCIONAL 2018 INSNSB</w:t>
      </w:r>
      <w:r w:rsidRPr="00B95E04">
        <w:rPr>
          <w:rFonts w:asciiTheme="majorHAnsi" w:hAnsiTheme="majorHAnsi" w:cstheme="majorHAnsi"/>
          <w:highlight w:val="white"/>
        </w:rPr>
        <w:t xml:space="preserve">. </w:t>
      </w:r>
      <w:r w:rsidRPr="00B95E04">
        <w:rPr>
          <w:rFonts w:asciiTheme="majorHAnsi" w:hAnsiTheme="majorHAnsi" w:cstheme="majorHAnsi"/>
          <w:highlight w:val="white"/>
          <w:lang w:val="es-ES"/>
        </w:rPr>
        <w:t xml:space="preserve">[online] </w:t>
      </w:r>
      <w:r w:rsidR="00B95E04" w:rsidRPr="00B95E04">
        <w:rPr>
          <w:rFonts w:asciiTheme="majorHAnsi" w:eastAsia="Calibri" w:hAnsiTheme="majorHAnsi" w:cstheme="majorHAnsi"/>
        </w:rPr>
        <w:t xml:space="preserve">Disponible en: </w:t>
      </w:r>
      <w:hyperlink r:id="rId18">
        <w:r w:rsidRPr="00B95E04">
          <w:rPr>
            <w:rFonts w:asciiTheme="majorHAnsi" w:hAnsiTheme="majorHAnsi" w:cstheme="majorHAnsi"/>
            <w:color w:val="1155CC"/>
            <w:highlight w:val="white"/>
            <w:u w:val="single"/>
            <w:lang w:val="es-ES"/>
          </w:rPr>
          <w:t>http://www.insnsb.gob.pe/docs-trans/upp/MEMORIA%20INSTITUCIONAL%202018%20INSNSB%20(Version%20Modificada%20al%20260919).pdf</w:t>
        </w:r>
      </w:hyperlink>
    </w:p>
    <w:p w14:paraId="014BF1AB" w14:textId="3C9069E9" w:rsidR="003A64F7" w:rsidRPr="00B95E04" w:rsidRDefault="004F7065" w:rsidP="00B95E04">
      <w:pPr>
        <w:numPr>
          <w:ilvl w:val="0"/>
          <w:numId w:val="1"/>
        </w:numPr>
        <w:jc w:val="both"/>
        <w:rPr>
          <w:rFonts w:asciiTheme="majorHAnsi" w:eastAsia="Calibri" w:hAnsiTheme="majorHAnsi" w:cstheme="majorHAnsi"/>
          <w:lang w:val="es-ES"/>
        </w:rPr>
      </w:pPr>
      <w:r w:rsidRPr="00B95E04">
        <w:rPr>
          <w:rFonts w:asciiTheme="majorHAnsi" w:eastAsia="Calibri" w:hAnsiTheme="majorHAnsi" w:cstheme="majorHAnsi"/>
          <w:lang w:val="en-US"/>
        </w:rPr>
        <w:t xml:space="preserve">The Vital Pieces of Medical Equipment for Patient Vitals. </w:t>
      </w:r>
      <w:r w:rsidR="00B95E04" w:rsidRPr="00B95E04">
        <w:rPr>
          <w:rFonts w:asciiTheme="majorHAnsi" w:eastAsia="Calibri" w:hAnsiTheme="majorHAnsi" w:cstheme="majorHAnsi"/>
        </w:rPr>
        <w:t xml:space="preserve">Disponible en: </w:t>
      </w:r>
      <w:r w:rsidRPr="00B95E04">
        <w:rPr>
          <w:rFonts w:asciiTheme="majorHAnsi" w:eastAsia="Calibri" w:hAnsiTheme="majorHAnsi" w:cstheme="majorHAnsi"/>
          <w:color w:val="1155CC"/>
          <w:u w:val="single"/>
          <w:lang w:val="es-ES"/>
        </w:rPr>
        <w:t>https://www.futurehealthconcepts.com/blog/posts/the-vital-pieces-of-medical-equipment-for-patient-vitals.html</w:t>
      </w:r>
    </w:p>
    <w:p w14:paraId="5982CCF7" w14:textId="791F7D38" w:rsidR="003A64F7" w:rsidRPr="00B95E04" w:rsidRDefault="004F7065" w:rsidP="00B95E04">
      <w:pPr>
        <w:numPr>
          <w:ilvl w:val="0"/>
          <w:numId w:val="1"/>
        </w:numPr>
        <w:jc w:val="both"/>
        <w:rPr>
          <w:rFonts w:asciiTheme="majorHAnsi" w:eastAsia="Calibri" w:hAnsiTheme="majorHAnsi" w:cstheme="majorHAnsi"/>
        </w:rPr>
      </w:pPr>
      <w:r w:rsidRPr="00B95E04">
        <w:rPr>
          <w:rFonts w:asciiTheme="majorHAnsi" w:eastAsia="Calibri" w:hAnsiTheme="majorHAnsi" w:cstheme="majorHAnsi"/>
          <w:lang w:val="en-US"/>
        </w:rPr>
        <w:t xml:space="preserve">«Vital Signs Monitors from Welch Allyn, Sun Tech &amp; More - Medical Device Depot, Inc.» </w:t>
      </w:r>
      <w:r w:rsidR="00B95E04" w:rsidRPr="00B95E04">
        <w:rPr>
          <w:rFonts w:asciiTheme="majorHAnsi" w:eastAsia="Calibri" w:hAnsiTheme="majorHAnsi" w:cstheme="majorHAnsi"/>
        </w:rPr>
        <w:t xml:space="preserve">Disponible en: </w:t>
      </w:r>
      <w:hyperlink r:id="rId19">
        <w:r w:rsidRPr="00B95E04">
          <w:rPr>
            <w:rFonts w:asciiTheme="majorHAnsi" w:eastAsia="Calibri" w:hAnsiTheme="majorHAnsi" w:cstheme="majorHAnsi"/>
            <w:color w:val="1155CC"/>
            <w:u w:val="single"/>
          </w:rPr>
          <w:t>https://www.medicaldevicedepot.com/Vital-Signs-Monitors-s/259.htm</w:t>
        </w:r>
      </w:hyperlink>
    </w:p>
    <w:p w14:paraId="09FE0124" w14:textId="649B5C00" w:rsidR="003A64F7" w:rsidRPr="00B95E04" w:rsidRDefault="004F7065" w:rsidP="00B95E04">
      <w:pPr>
        <w:numPr>
          <w:ilvl w:val="0"/>
          <w:numId w:val="1"/>
        </w:numPr>
        <w:ind w:right="100"/>
        <w:jc w:val="both"/>
        <w:rPr>
          <w:rFonts w:asciiTheme="majorHAnsi" w:eastAsia="Calibri" w:hAnsiTheme="majorHAnsi" w:cstheme="majorHAnsi"/>
        </w:rPr>
      </w:pPr>
      <w:r w:rsidRPr="00B95E04">
        <w:rPr>
          <w:rFonts w:asciiTheme="majorHAnsi" w:eastAsia="Calibri" w:hAnsiTheme="majorHAnsi" w:cstheme="majorHAnsi"/>
        </w:rPr>
        <w:t xml:space="preserve">HOSPITAL REGIONAL DOCENTE DE TRUJILLO OFICINA DE ESTADÍSTICA E INFORMÁTICA, «Boletín estadístico trimestral Anual 2019», 2019. </w:t>
      </w:r>
      <w:r w:rsidR="00B95E04" w:rsidRPr="00B95E04">
        <w:rPr>
          <w:rFonts w:asciiTheme="majorHAnsi" w:eastAsia="Calibri" w:hAnsiTheme="majorHAnsi" w:cstheme="majorHAnsi"/>
        </w:rPr>
        <w:t xml:space="preserve">Disponible en: </w:t>
      </w:r>
      <w:hyperlink r:id="rId20">
        <w:r w:rsidRPr="00B95E04">
          <w:rPr>
            <w:rFonts w:asciiTheme="majorHAnsi" w:eastAsia="Calibri" w:hAnsiTheme="majorHAnsi" w:cstheme="majorHAnsi"/>
            <w:color w:val="1155CC"/>
            <w:u w:val="single"/>
          </w:rPr>
          <w:t>http://www.hrdt.gob.pe/intranet/Publicaciones/files/BOLETIN_ESTADISTICA_ANUAL_2019.pdf</w:t>
        </w:r>
      </w:hyperlink>
    </w:p>
    <w:p w14:paraId="707E861C" w14:textId="2484BCCC" w:rsidR="003A64F7" w:rsidRPr="00B95E04" w:rsidRDefault="004F7065" w:rsidP="00B95E04">
      <w:pPr>
        <w:numPr>
          <w:ilvl w:val="0"/>
          <w:numId w:val="1"/>
        </w:numPr>
        <w:ind w:right="100"/>
        <w:jc w:val="both"/>
        <w:rPr>
          <w:rFonts w:asciiTheme="majorHAnsi" w:eastAsia="Calibri" w:hAnsiTheme="majorHAnsi" w:cstheme="majorHAnsi"/>
        </w:rPr>
      </w:pPr>
      <w:r w:rsidRPr="00B95E04">
        <w:rPr>
          <w:rFonts w:asciiTheme="majorHAnsi" w:eastAsia="Calibri" w:hAnsiTheme="majorHAnsi" w:cstheme="majorHAnsi"/>
        </w:rPr>
        <w:t xml:space="preserve">HOSPITAL REGIONAL HONORIO DELGADO AREQUIPA OFICINA DE ESTADÍSTICA E INFORMÁTICA Y REGISTRO DE ATENCIÓN MÉDICA, «Boletín Estadístico Año 2019», 2019. </w:t>
      </w:r>
      <w:r w:rsidR="00B95E04" w:rsidRPr="00B95E04">
        <w:rPr>
          <w:rFonts w:asciiTheme="majorHAnsi" w:eastAsia="Calibri" w:hAnsiTheme="majorHAnsi" w:cstheme="majorHAnsi"/>
        </w:rPr>
        <w:t xml:space="preserve">Disponible en: </w:t>
      </w:r>
      <w:hyperlink r:id="rId21">
        <w:r w:rsidRPr="00B95E04">
          <w:rPr>
            <w:rFonts w:asciiTheme="majorHAnsi" w:eastAsia="Calibri" w:hAnsiTheme="majorHAnsi" w:cstheme="majorHAnsi"/>
            <w:color w:val="1155CC"/>
            <w:u w:val="single"/>
          </w:rPr>
          <w:t>http://www.hrhdaqp.gob.pe/pages/archivo_boletin_esta.php?id=12</w:t>
        </w:r>
      </w:hyperlink>
    </w:p>
    <w:p w14:paraId="40EBDDAD" w14:textId="4D5D3419" w:rsidR="003A64F7" w:rsidRPr="00B95E04" w:rsidRDefault="004F7065" w:rsidP="00B95E04">
      <w:pPr>
        <w:numPr>
          <w:ilvl w:val="0"/>
          <w:numId w:val="1"/>
        </w:numPr>
        <w:ind w:right="100"/>
        <w:jc w:val="both"/>
        <w:rPr>
          <w:rFonts w:asciiTheme="majorHAnsi" w:eastAsia="Calibri" w:hAnsiTheme="majorHAnsi" w:cstheme="majorHAnsi"/>
        </w:rPr>
      </w:pPr>
      <w:r w:rsidRPr="00B95E04">
        <w:rPr>
          <w:rFonts w:asciiTheme="majorHAnsi" w:eastAsia="Calibri" w:hAnsiTheme="majorHAnsi" w:cstheme="majorHAnsi"/>
        </w:rPr>
        <w:t xml:space="preserve">MINSA. (2020, 8 de diciembre). Hoja de envío de trámite general. </w:t>
      </w:r>
      <w:r w:rsidR="00B95E04" w:rsidRPr="00B95E04">
        <w:rPr>
          <w:rFonts w:asciiTheme="majorHAnsi" w:eastAsia="Calibri" w:hAnsiTheme="majorHAnsi" w:cstheme="majorHAnsi"/>
        </w:rPr>
        <w:t xml:space="preserve">Disponible en: </w:t>
      </w:r>
      <w:hyperlink r:id="rId22">
        <w:r w:rsidRPr="00B95E04">
          <w:rPr>
            <w:rFonts w:asciiTheme="majorHAnsi" w:eastAsia="Calibri" w:hAnsiTheme="majorHAnsi" w:cstheme="majorHAnsi"/>
            <w:color w:val="1155CC"/>
            <w:u w:val="single"/>
          </w:rPr>
          <w:t>https://www.minsa.gob.pe/Recursos/OTRANS/03AdquisicionBS/Archivos/paac/2020/Evaluacion_PAAC_112020.pdf?__cf_chl_captcha_tk__=pmd_HdvCi.NPeBbC_yL3NbPojq7KZ9OqBH7JgJY5ikXFhBM-1631107206-0-gqNtZGzNAxCjcnBszQe9</w:t>
        </w:r>
      </w:hyperlink>
    </w:p>
    <w:p w14:paraId="33A41947" w14:textId="21DDCFAA" w:rsidR="003A64F7" w:rsidRPr="00B95E04" w:rsidRDefault="004F7065" w:rsidP="00B95E04">
      <w:pPr>
        <w:numPr>
          <w:ilvl w:val="0"/>
          <w:numId w:val="1"/>
        </w:numPr>
        <w:ind w:right="100"/>
        <w:jc w:val="both"/>
        <w:rPr>
          <w:rFonts w:asciiTheme="majorHAnsi" w:eastAsia="Calibri" w:hAnsiTheme="majorHAnsi" w:cstheme="majorHAnsi"/>
        </w:rPr>
      </w:pPr>
      <w:r w:rsidRPr="00B95E04">
        <w:rPr>
          <w:rFonts w:asciiTheme="majorHAnsi" w:eastAsia="Calibri" w:hAnsiTheme="majorHAnsi" w:cstheme="majorHAnsi"/>
        </w:rPr>
        <w:t xml:space="preserve">Ministerio de Salud. Informe de transferencia de gestión. </w:t>
      </w:r>
      <w:r w:rsidR="00B95E04" w:rsidRPr="00B95E04">
        <w:rPr>
          <w:rFonts w:asciiTheme="majorHAnsi" w:eastAsia="Calibri" w:hAnsiTheme="majorHAnsi" w:cstheme="majorHAnsi"/>
        </w:rPr>
        <w:t xml:space="preserve">Disponible en: </w:t>
      </w:r>
      <w:hyperlink r:id="rId23">
        <w:r w:rsidRPr="00B95E04">
          <w:rPr>
            <w:rFonts w:asciiTheme="majorHAnsi" w:eastAsia="Calibri" w:hAnsiTheme="majorHAnsi" w:cstheme="majorHAnsi"/>
            <w:color w:val="1155CC"/>
            <w:u w:val="single"/>
          </w:rPr>
          <w:t>https://cdn.www.gob.pe/uploads/document/file/1751525/DGOS%20-%20Hospital%20Nacional%20Dos%20de%20Mayo.pdf</w:t>
        </w:r>
      </w:hyperlink>
    </w:p>
    <w:p w14:paraId="48BEC011" w14:textId="58087776" w:rsidR="003A64F7" w:rsidRPr="00B95E04" w:rsidRDefault="004F7065" w:rsidP="00B95E04">
      <w:pPr>
        <w:numPr>
          <w:ilvl w:val="0"/>
          <w:numId w:val="1"/>
        </w:numPr>
        <w:ind w:right="100"/>
        <w:jc w:val="both"/>
        <w:rPr>
          <w:rFonts w:asciiTheme="majorHAnsi" w:eastAsia="Calibri" w:hAnsiTheme="majorHAnsi" w:cstheme="majorHAnsi"/>
        </w:rPr>
      </w:pPr>
      <w:r w:rsidRPr="00B95E04">
        <w:rPr>
          <w:rFonts w:asciiTheme="majorHAnsi" w:eastAsia="Calibri" w:hAnsiTheme="majorHAnsi" w:cstheme="majorHAnsi"/>
        </w:rPr>
        <w:t xml:space="preserve">Ministerio de Salud. Recepción de ventiladores adulto pediátrico y verificación del número de profesionales y técnicos de la salud en el hospital emergencia Ate Vitarte. 2020. [Internet]. </w:t>
      </w:r>
      <w:r w:rsidR="00B95E04" w:rsidRPr="00B95E04">
        <w:rPr>
          <w:rFonts w:asciiTheme="majorHAnsi" w:eastAsia="Calibri" w:hAnsiTheme="majorHAnsi" w:cstheme="majorHAnsi"/>
        </w:rPr>
        <w:t xml:space="preserve">Disponible en: </w:t>
      </w:r>
      <w:hyperlink r:id="rId24">
        <w:r w:rsidRPr="00B95E04">
          <w:rPr>
            <w:rFonts w:asciiTheme="majorHAnsi" w:eastAsia="Calibri" w:hAnsiTheme="majorHAnsi" w:cstheme="majorHAnsi"/>
            <w:color w:val="1155CC"/>
            <w:u w:val="single"/>
          </w:rPr>
          <w:t>https://apps8.contraloria.gob.pe/SPIC/srvDownload/ViewPDF?CRES_CODIGO=2020CSI019100027&amp;TIPOARCHIVO=IS</w:t>
        </w:r>
      </w:hyperlink>
    </w:p>
    <w:p w14:paraId="58DB23FE" w14:textId="5B4085B5" w:rsidR="003A64F7" w:rsidRPr="00B95E04" w:rsidRDefault="004F7065" w:rsidP="00B95E04">
      <w:pPr>
        <w:numPr>
          <w:ilvl w:val="0"/>
          <w:numId w:val="1"/>
        </w:numPr>
        <w:jc w:val="both"/>
        <w:rPr>
          <w:rFonts w:asciiTheme="majorHAnsi" w:eastAsia="Calibri" w:hAnsiTheme="majorHAnsi" w:cstheme="majorHAnsi"/>
        </w:rPr>
      </w:pPr>
      <w:r w:rsidRPr="00B95E04">
        <w:rPr>
          <w:rFonts w:asciiTheme="majorHAnsi" w:eastAsia="Calibri" w:hAnsiTheme="majorHAnsi" w:cstheme="majorHAnsi"/>
        </w:rPr>
        <w:t>Ministerio de Salud. Notificación de resolución administrativa de aplicación de medidas de seguridad. [Internet] Disponible en</w:t>
      </w:r>
      <w:r w:rsidR="00B95E04" w:rsidRPr="00B95E04">
        <w:rPr>
          <w:rFonts w:asciiTheme="majorHAnsi" w:eastAsia="Calibri" w:hAnsiTheme="majorHAnsi" w:cstheme="majorHAnsi"/>
        </w:rPr>
        <w:t xml:space="preserve">: </w:t>
      </w:r>
      <w:hyperlink r:id="rId25">
        <w:r w:rsidRPr="00B95E04">
          <w:rPr>
            <w:rFonts w:asciiTheme="majorHAnsi" w:eastAsia="Calibri" w:hAnsiTheme="majorHAnsi" w:cstheme="majorHAnsi"/>
            <w:color w:val="1155CC"/>
            <w:u w:val="single"/>
          </w:rPr>
          <w:t>https://www.mpsm.gob.pe/public/mesavirtual/oficio_n.°_00013-2021-susalud-isipress_y_anexo.pdf</w:t>
        </w:r>
      </w:hyperlink>
    </w:p>
    <w:p w14:paraId="6A009C9D" w14:textId="2C1ED42D" w:rsidR="003A64F7" w:rsidRPr="00B95E04" w:rsidRDefault="004F7065" w:rsidP="00B95E04">
      <w:pPr>
        <w:numPr>
          <w:ilvl w:val="0"/>
          <w:numId w:val="1"/>
        </w:numPr>
        <w:jc w:val="both"/>
        <w:rPr>
          <w:rFonts w:asciiTheme="majorHAnsi" w:eastAsia="Calibri" w:hAnsiTheme="majorHAnsi" w:cstheme="majorHAnsi"/>
        </w:rPr>
      </w:pPr>
      <w:r w:rsidRPr="00B95E04">
        <w:rPr>
          <w:rFonts w:asciiTheme="majorHAnsi" w:eastAsia="Calibri" w:hAnsiTheme="majorHAnsi" w:cstheme="majorHAnsi"/>
        </w:rPr>
        <w:lastRenderedPageBreak/>
        <w:t>Ministerio de Salud. Plan de acción para la atención integral de pacientes covid-19 en el servicio de cuidados intensivos materno y neonatal del instituto nacional materno perinatal [Internet]. 2020 [citado el 20 de septiembre de 2021]. Disponible en:</w:t>
      </w:r>
      <w:hyperlink r:id="rId26">
        <w:r w:rsidRPr="00B95E04">
          <w:rPr>
            <w:rFonts w:asciiTheme="majorHAnsi" w:eastAsia="Calibri" w:hAnsiTheme="majorHAnsi" w:cstheme="majorHAnsi"/>
          </w:rPr>
          <w:t xml:space="preserve"> </w:t>
        </w:r>
      </w:hyperlink>
      <w:r w:rsidR="00B95E04" w:rsidRPr="00B95E04">
        <w:t xml:space="preserve"> </w:t>
      </w:r>
      <w:hyperlink r:id="rId27" w:history="1">
        <w:r w:rsidR="00B95E04" w:rsidRPr="0096694D">
          <w:rPr>
            <w:rStyle w:val="Hipervnculo"/>
            <w:rFonts w:asciiTheme="majorHAnsi" w:hAnsiTheme="majorHAnsi" w:cstheme="majorHAnsi"/>
            <w:color w:val="1155CC"/>
          </w:rPr>
          <w:t>https://cdn.www.gob.pe/uploads/document/file/1410838/RD%20N%C2%B0%20211.pdf.pdf</w:t>
        </w:r>
      </w:hyperlink>
    </w:p>
    <w:p w14:paraId="34852EF8" w14:textId="06AA63F0" w:rsidR="003A64F7" w:rsidRPr="00B95E04" w:rsidRDefault="004F7065" w:rsidP="00B95E04">
      <w:pPr>
        <w:numPr>
          <w:ilvl w:val="0"/>
          <w:numId w:val="1"/>
        </w:numPr>
        <w:jc w:val="both"/>
        <w:rPr>
          <w:rFonts w:asciiTheme="majorHAnsi" w:eastAsia="Calibri" w:hAnsiTheme="majorHAnsi" w:cstheme="majorHAnsi"/>
        </w:rPr>
      </w:pPr>
      <w:r w:rsidRPr="00B95E04">
        <w:rPr>
          <w:rFonts w:asciiTheme="majorHAnsi" w:eastAsia="Calibri" w:hAnsiTheme="majorHAnsi" w:cstheme="majorHAnsi"/>
        </w:rPr>
        <w:t>INSN. Tarifario de Servicios [Internet]. Cartera de Servicios. Disponible en:</w:t>
      </w:r>
      <w:hyperlink r:id="rId28">
        <w:r w:rsidRPr="00B95E04">
          <w:rPr>
            <w:rFonts w:asciiTheme="majorHAnsi" w:eastAsia="Calibri" w:hAnsiTheme="majorHAnsi" w:cstheme="majorHAnsi"/>
          </w:rPr>
          <w:t xml:space="preserve"> </w:t>
        </w:r>
      </w:hyperlink>
      <w:hyperlink r:id="rId29">
        <w:r w:rsidRPr="00B95E04">
          <w:rPr>
            <w:rFonts w:asciiTheme="majorHAnsi" w:eastAsia="Calibri" w:hAnsiTheme="majorHAnsi" w:cstheme="majorHAnsi"/>
            <w:color w:val="1155CC"/>
            <w:u w:val="single"/>
          </w:rPr>
          <w:t>http://www.insnsb.gob.pe/tarifario-servicios/</w:t>
        </w:r>
      </w:hyperlink>
      <w:bookmarkStart w:id="0" w:name="_GoBack"/>
      <w:bookmarkEnd w:id="0"/>
    </w:p>
    <w:p w14:paraId="7467A433" w14:textId="77777777" w:rsidR="003A64F7" w:rsidRPr="00B95E04" w:rsidRDefault="004F7065" w:rsidP="00B95E04">
      <w:pPr>
        <w:numPr>
          <w:ilvl w:val="0"/>
          <w:numId w:val="1"/>
        </w:numPr>
        <w:jc w:val="both"/>
        <w:rPr>
          <w:rFonts w:asciiTheme="majorHAnsi" w:eastAsia="Calibri" w:hAnsiTheme="majorHAnsi" w:cstheme="majorHAnsi"/>
        </w:rPr>
      </w:pPr>
      <w:r w:rsidRPr="00B95E04">
        <w:rPr>
          <w:rFonts w:asciiTheme="majorHAnsi" w:eastAsia="Calibri" w:hAnsiTheme="majorHAnsi" w:cstheme="majorHAnsi"/>
        </w:rPr>
        <w:t>Oficina de planeamiento estratégico. Tarifario 2019 [Internet].</w:t>
      </w:r>
      <w:hyperlink r:id="rId30">
        <w:r w:rsidRPr="00B95E04">
          <w:rPr>
            <w:rFonts w:asciiTheme="majorHAnsi" w:eastAsia="Calibri" w:hAnsiTheme="majorHAnsi" w:cstheme="majorHAnsi"/>
          </w:rPr>
          <w:t xml:space="preserve"> </w:t>
        </w:r>
      </w:hyperlink>
      <w:hyperlink r:id="rId31">
        <w:r w:rsidRPr="00B95E04">
          <w:rPr>
            <w:rFonts w:asciiTheme="majorHAnsi" w:eastAsia="Calibri" w:hAnsiTheme="majorHAnsi" w:cstheme="majorHAnsi"/>
            <w:color w:val="1155CC"/>
            <w:u w:val="single"/>
          </w:rPr>
          <w:t>gob.pe</w:t>
        </w:r>
      </w:hyperlink>
      <w:r w:rsidRPr="00B95E04">
        <w:rPr>
          <w:rFonts w:asciiTheme="majorHAnsi" w:eastAsia="Calibri" w:hAnsiTheme="majorHAnsi" w:cstheme="majorHAnsi"/>
        </w:rPr>
        <w:t>. Disponible en:</w:t>
      </w:r>
      <w:hyperlink r:id="rId32">
        <w:r w:rsidRPr="00B95E04">
          <w:rPr>
            <w:rFonts w:asciiTheme="majorHAnsi" w:eastAsia="Calibri" w:hAnsiTheme="majorHAnsi" w:cstheme="majorHAnsi"/>
          </w:rPr>
          <w:t xml:space="preserve"> </w:t>
        </w:r>
      </w:hyperlink>
      <w:hyperlink r:id="rId33">
        <w:r w:rsidRPr="00B95E04">
          <w:rPr>
            <w:rFonts w:asciiTheme="majorHAnsi" w:eastAsia="Calibri" w:hAnsiTheme="majorHAnsi" w:cstheme="majorHAnsi"/>
            <w:color w:val="1155CC"/>
            <w:u w:val="single"/>
          </w:rPr>
          <w:t>http://www.hnhu.gob.pe/Inicio/wp-content/uploads/2016/03/Tarifario-2019.pdf</w:t>
        </w:r>
      </w:hyperlink>
    </w:p>
    <w:p w14:paraId="47133D00" w14:textId="65EF61BF" w:rsidR="003A64F7" w:rsidRPr="00B95E04" w:rsidRDefault="004F7065" w:rsidP="00B95E04">
      <w:pPr>
        <w:numPr>
          <w:ilvl w:val="0"/>
          <w:numId w:val="1"/>
        </w:numPr>
        <w:jc w:val="both"/>
        <w:rPr>
          <w:rFonts w:asciiTheme="majorHAnsi" w:eastAsia="Calibri" w:hAnsiTheme="majorHAnsi" w:cstheme="majorHAnsi"/>
        </w:rPr>
      </w:pPr>
      <w:r w:rsidRPr="00B95E04">
        <w:rPr>
          <w:rFonts w:asciiTheme="majorHAnsi" w:eastAsia="Calibri" w:hAnsiTheme="majorHAnsi" w:cstheme="majorHAnsi"/>
        </w:rPr>
        <w:t xml:space="preserve">Ministerio de Salud. (2020). </w:t>
      </w:r>
      <w:r w:rsidRPr="00B95E04">
        <w:rPr>
          <w:rFonts w:asciiTheme="majorHAnsi" w:eastAsia="Calibri" w:hAnsiTheme="majorHAnsi" w:cstheme="majorHAnsi"/>
          <w:i/>
        </w:rPr>
        <w:t>Consolidado general de la ejecución del sector salud al mes de junio de 2020</w:t>
      </w:r>
      <w:r w:rsidRPr="00B95E04">
        <w:rPr>
          <w:rFonts w:asciiTheme="majorHAnsi" w:eastAsia="Calibri" w:hAnsiTheme="majorHAnsi" w:cstheme="majorHAnsi"/>
        </w:rPr>
        <w:t xml:space="preserve">. gob.pe. </w:t>
      </w:r>
      <w:r w:rsidR="00B95E04" w:rsidRPr="00B95E04">
        <w:rPr>
          <w:rFonts w:asciiTheme="majorHAnsi" w:eastAsia="Calibri" w:hAnsiTheme="majorHAnsi" w:cstheme="majorHAnsi"/>
        </w:rPr>
        <w:t xml:space="preserve">Disponible en: </w:t>
      </w:r>
      <w:hyperlink r:id="rId34">
        <w:r w:rsidRPr="00B95E04">
          <w:rPr>
            <w:rFonts w:asciiTheme="majorHAnsi" w:eastAsia="Calibri" w:hAnsiTheme="majorHAnsi" w:cstheme="majorHAnsi"/>
            <w:color w:val="1155CC"/>
            <w:u w:val="single"/>
          </w:rPr>
          <w:t>https://www.minsa.gob.pe/Recursos/OTRANS/08Proyectos/enejecucion/2020/ProyEjec06-2020.pdf</w:t>
        </w:r>
      </w:hyperlink>
    </w:p>
    <w:p w14:paraId="4818083C" w14:textId="7449403F" w:rsidR="003A64F7" w:rsidRPr="00B95E04" w:rsidRDefault="004F7065" w:rsidP="00B95E04">
      <w:pPr>
        <w:numPr>
          <w:ilvl w:val="0"/>
          <w:numId w:val="1"/>
        </w:numPr>
        <w:jc w:val="both"/>
        <w:rPr>
          <w:rFonts w:asciiTheme="majorHAnsi" w:eastAsia="Calibri" w:hAnsiTheme="majorHAnsi" w:cstheme="majorHAnsi"/>
          <w:lang w:val="es-ES"/>
        </w:rPr>
      </w:pPr>
      <w:r w:rsidRPr="0096694D">
        <w:rPr>
          <w:rFonts w:asciiTheme="majorHAnsi" w:eastAsia="Calibri" w:hAnsiTheme="majorHAnsi" w:cstheme="majorHAnsi"/>
          <w:lang w:val="es-ES"/>
        </w:rPr>
        <w:t xml:space="preserve">Defensoria.gob.pe. 2019. </w:t>
      </w:r>
      <w:r w:rsidRPr="00B95E04">
        <w:rPr>
          <w:rFonts w:asciiTheme="majorHAnsi" w:eastAsia="Calibri" w:hAnsiTheme="majorHAnsi" w:cstheme="majorHAnsi"/>
          <w:lang w:val="es-ES"/>
        </w:rPr>
        <w:t xml:space="preserve">[online] </w:t>
      </w:r>
      <w:r w:rsidR="00B95E04" w:rsidRPr="00B95E04">
        <w:rPr>
          <w:rFonts w:asciiTheme="majorHAnsi" w:eastAsia="Calibri" w:hAnsiTheme="majorHAnsi" w:cstheme="majorHAnsi"/>
        </w:rPr>
        <w:t xml:space="preserve">Disponible en: </w:t>
      </w:r>
      <w:hyperlink r:id="rId35">
        <w:r w:rsidRPr="00B95E04">
          <w:rPr>
            <w:rFonts w:asciiTheme="majorHAnsi" w:eastAsia="Calibri" w:hAnsiTheme="majorHAnsi" w:cstheme="majorHAnsi"/>
            <w:color w:val="1155CC"/>
            <w:u w:val="single"/>
            <w:lang w:val="es-ES"/>
          </w:rPr>
          <w:t>https://www.defensoria.gob.pe/wp-content/uploads/2020/02/IA-10-2019-AAE-Supervisi%C3%B3n-Nacional-a-los-Servicios-de-Neonatolog%C3%ADa-y-UCI-neonatal.pdf</w:t>
        </w:r>
      </w:hyperlink>
    </w:p>
    <w:p w14:paraId="5D00BA77" w14:textId="0D13902C" w:rsidR="003A64F7" w:rsidRPr="00B95E04" w:rsidRDefault="004F7065" w:rsidP="00B95E04">
      <w:pPr>
        <w:numPr>
          <w:ilvl w:val="0"/>
          <w:numId w:val="1"/>
        </w:numPr>
        <w:jc w:val="both"/>
        <w:rPr>
          <w:rFonts w:asciiTheme="majorHAnsi" w:eastAsia="Calibri" w:hAnsiTheme="majorHAnsi" w:cstheme="majorHAnsi"/>
        </w:rPr>
      </w:pPr>
      <w:r w:rsidRPr="00B95E04">
        <w:rPr>
          <w:rFonts w:asciiTheme="majorHAnsi" w:eastAsia="Calibri" w:hAnsiTheme="majorHAnsi" w:cstheme="majorHAnsi"/>
        </w:rPr>
        <w:t>Hospital María Auxiliadora fortalece Sala de Recuperación con adquisición de monitores de signos vitales de última generación, 2019)</w:t>
      </w:r>
      <w:r w:rsidR="00B95E04" w:rsidRPr="00B95E04">
        <w:rPr>
          <w:rFonts w:asciiTheme="majorHAnsi" w:eastAsia="Calibri" w:hAnsiTheme="majorHAnsi" w:cstheme="majorHAnsi"/>
        </w:rPr>
        <w:t xml:space="preserve">. Disponible en: </w:t>
      </w:r>
      <w:hyperlink r:id="rId36">
        <w:r w:rsidRPr="00B95E04">
          <w:rPr>
            <w:rFonts w:asciiTheme="majorHAnsi" w:eastAsia="Calibri" w:hAnsiTheme="majorHAnsi" w:cstheme="majorHAnsi"/>
            <w:color w:val="1155CC"/>
            <w:u w:val="single"/>
          </w:rPr>
          <w:t>https://www.gob.pe/institucion/minsa/noticias/52253-hospital-maria-auxiliadora-fortalece-sala-de-recuperacion-con-adquisicion-de-monitores-de-signos-vitales-de-ultima-generacion</w:t>
        </w:r>
      </w:hyperlink>
    </w:p>
    <w:p w14:paraId="7FFE4ACE" w14:textId="48AD4287" w:rsidR="003A64F7" w:rsidRPr="00B95E04" w:rsidRDefault="004F7065" w:rsidP="00B95E04">
      <w:pPr>
        <w:numPr>
          <w:ilvl w:val="0"/>
          <w:numId w:val="1"/>
        </w:numPr>
        <w:jc w:val="both"/>
        <w:rPr>
          <w:rFonts w:asciiTheme="majorHAnsi" w:eastAsia="Calibri" w:hAnsiTheme="majorHAnsi" w:cstheme="majorHAnsi"/>
          <w:lang w:val="es-ES"/>
        </w:rPr>
      </w:pPr>
      <w:r w:rsidRPr="00B95E04">
        <w:rPr>
          <w:rFonts w:asciiTheme="majorHAnsi" w:eastAsia="Calibri" w:hAnsiTheme="majorHAnsi" w:cstheme="majorHAnsi"/>
        </w:rPr>
        <w:t xml:space="preserve">REPORTE EFICACIA DEL GASTO PÚBLICO.  </w:t>
      </w:r>
      <w:r w:rsidRPr="00B95E04">
        <w:rPr>
          <w:rFonts w:asciiTheme="majorHAnsi" w:eastAsia="Calibri" w:hAnsiTheme="majorHAnsi" w:cstheme="majorHAnsi"/>
          <w:lang w:val="es-ES"/>
        </w:rPr>
        <w:t>Resultados 2020 [online]</w:t>
      </w:r>
      <w:r w:rsidR="00B95E04" w:rsidRPr="00B95E04">
        <w:rPr>
          <w:rFonts w:asciiTheme="majorHAnsi" w:eastAsia="Calibri" w:hAnsiTheme="majorHAnsi" w:cstheme="majorHAnsi"/>
          <w:lang w:val="es-ES"/>
        </w:rPr>
        <w:t>.</w:t>
      </w:r>
      <w:r w:rsidR="00B95E04" w:rsidRPr="00B95E04">
        <w:rPr>
          <w:rFonts w:asciiTheme="majorHAnsi" w:eastAsia="Calibri" w:hAnsiTheme="majorHAnsi" w:cstheme="majorHAnsi"/>
        </w:rPr>
        <w:t xml:space="preserve"> Disponible en: </w:t>
      </w:r>
      <w:hyperlink r:id="rId37">
        <w:r w:rsidRPr="00B95E04">
          <w:rPr>
            <w:rFonts w:asciiTheme="majorHAnsi" w:eastAsia="Calibri" w:hAnsiTheme="majorHAnsi" w:cstheme="majorHAnsi"/>
            <w:color w:val="1155CC"/>
            <w:u w:val="single"/>
            <w:lang w:val="es-ES"/>
          </w:rPr>
          <w:t>https://www.comexperu.org.pe/upload/articles/reportes/reporte-eficacia-002.pdf</w:t>
        </w:r>
      </w:hyperlink>
    </w:p>
    <w:p w14:paraId="5988D066" w14:textId="77777777" w:rsidR="003A64F7" w:rsidRPr="00B95E04" w:rsidRDefault="003A64F7" w:rsidP="00B95E04">
      <w:pPr>
        <w:ind w:left="141" w:right="100"/>
        <w:jc w:val="both"/>
        <w:rPr>
          <w:rFonts w:ascii="Calibri" w:eastAsia="Calibri" w:hAnsi="Calibri" w:cs="Calibri"/>
          <w:lang w:val="es-ES"/>
        </w:rPr>
      </w:pPr>
    </w:p>
    <w:p w14:paraId="70AFB3CA" w14:textId="77777777" w:rsidR="003A64F7" w:rsidRPr="00B95E04" w:rsidRDefault="003A64F7">
      <w:pPr>
        <w:ind w:left="141" w:right="100"/>
        <w:rPr>
          <w:rFonts w:ascii="Calibri" w:eastAsia="Calibri" w:hAnsi="Calibri" w:cs="Calibri"/>
          <w:lang w:val="es-ES"/>
        </w:rPr>
      </w:pPr>
    </w:p>
    <w:p w14:paraId="1F914B50" w14:textId="77777777" w:rsidR="003A64F7" w:rsidRPr="00B95E04" w:rsidRDefault="003A64F7">
      <w:pPr>
        <w:rPr>
          <w:rFonts w:ascii="Calibri" w:eastAsia="Calibri" w:hAnsi="Calibri" w:cs="Calibri"/>
          <w:lang w:val="es-ES"/>
        </w:rPr>
      </w:pPr>
    </w:p>
    <w:p w14:paraId="24030A84" w14:textId="77777777" w:rsidR="003A64F7" w:rsidRPr="00B95E04" w:rsidRDefault="003A64F7">
      <w:pPr>
        <w:rPr>
          <w:rFonts w:ascii="Calibri" w:eastAsia="Calibri" w:hAnsi="Calibri" w:cs="Calibri"/>
          <w:lang w:val="es-ES"/>
        </w:rPr>
      </w:pPr>
    </w:p>
    <w:sectPr w:rsidR="003A64F7" w:rsidRPr="00B95E04" w:rsidSect="00E103B4">
      <w:headerReference w:type="default" r:id="rId38"/>
      <w:headerReference w:type="first" r:id="rId39"/>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90692E" w14:textId="77777777" w:rsidR="005F552D" w:rsidRDefault="005F552D">
      <w:pPr>
        <w:spacing w:line="240" w:lineRule="auto"/>
      </w:pPr>
      <w:r>
        <w:separator/>
      </w:r>
    </w:p>
  </w:endnote>
  <w:endnote w:type="continuationSeparator" w:id="0">
    <w:p w14:paraId="5BA2BBCC" w14:textId="77777777" w:rsidR="005F552D" w:rsidRDefault="005F55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94024B" w14:textId="77777777" w:rsidR="005F552D" w:rsidRDefault="005F552D">
      <w:pPr>
        <w:spacing w:line="240" w:lineRule="auto"/>
      </w:pPr>
      <w:r>
        <w:separator/>
      </w:r>
    </w:p>
  </w:footnote>
  <w:footnote w:type="continuationSeparator" w:id="0">
    <w:p w14:paraId="0F78EACD" w14:textId="77777777" w:rsidR="005F552D" w:rsidRDefault="005F55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1AD28" w14:textId="2A95592B" w:rsidR="002A5E0D" w:rsidRDefault="002A5E0D">
    <w:pPr>
      <w:pStyle w:val="Encabezado"/>
      <w:jc w:val="right"/>
    </w:pPr>
  </w:p>
  <w:p w14:paraId="411FFBC0" w14:textId="7E22F601" w:rsidR="003A64F7" w:rsidRDefault="003A64F7">
    <w:pPr>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F1AE5" w14:textId="2E04EBB8" w:rsidR="003A64F7" w:rsidRDefault="003A64F7">
    <w:pPr>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4500359"/>
      <w:docPartObj>
        <w:docPartGallery w:val="Page Numbers (Top of Page)"/>
        <w:docPartUnique/>
      </w:docPartObj>
    </w:sdtPr>
    <w:sdtEndPr/>
    <w:sdtContent>
      <w:p w14:paraId="1682B0FC" w14:textId="53E26BB4" w:rsidR="00E103B4" w:rsidRDefault="00E103B4">
        <w:pPr>
          <w:pStyle w:val="Encabezado"/>
          <w:jc w:val="right"/>
        </w:pPr>
        <w:r>
          <w:fldChar w:fldCharType="begin"/>
        </w:r>
        <w:r>
          <w:instrText>PAGE   \* MERGEFORMAT</w:instrText>
        </w:r>
        <w:r>
          <w:fldChar w:fldCharType="separate"/>
        </w:r>
        <w:r w:rsidR="0096694D" w:rsidRPr="0096694D">
          <w:rPr>
            <w:noProof/>
            <w:lang w:val="es-ES"/>
          </w:rPr>
          <w:t>7</w:t>
        </w:r>
        <w:r>
          <w:fldChar w:fldCharType="end"/>
        </w:r>
      </w:p>
    </w:sdtContent>
  </w:sdt>
  <w:p w14:paraId="1CB4AE49" w14:textId="77777777" w:rsidR="00E103B4" w:rsidRDefault="00E103B4">
    <w:pPr>
      <w:jc w:val="righ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985791"/>
      <w:docPartObj>
        <w:docPartGallery w:val="Page Numbers (Top of Page)"/>
        <w:docPartUnique/>
      </w:docPartObj>
    </w:sdtPr>
    <w:sdtEndPr/>
    <w:sdtContent>
      <w:p w14:paraId="7FEF46BF" w14:textId="77777777" w:rsidR="002A5E0D" w:rsidRDefault="002A5E0D">
        <w:pPr>
          <w:pStyle w:val="Encabezado"/>
          <w:jc w:val="right"/>
        </w:pPr>
        <w:r>
          <w:fldChar w:fldCharType="begin"/>
        </w:r>
        <w:r>
          <w:instrText>PAGE   \* MERGEFORMAT</w:instrText>
        </w:r>
        <w:r>
          <w:fldChar w:fldCharType="separate"/>
        </w:r>
        <w:r>
          <w:rPr>
            <w:lang w:val="es-ES"/>
          </w:rPr>
          <w:t>2</w:t>
        </w:r>
        <w:r>
          <w:fldChar w:fldCharType="end"/>
        </w:r>
      </w:p>
    </w:sdtContent>
  </w:sdt>
  <w:p w14:paraId="197A0677" w14:textId="77777777" w:rsidR="002A5E0D" w:rsidRDefault="002A5E0D">
    <w:pP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62601"/>
    <w:multiLevelType w:val="multilevel"/>
    <w:tmpl w:val="4720ED02"/>
    <w:lvl w:ilvl="0">
      <w:start w:val="1"/>
      <w:numFmt w:val="decimal"/>
      <w:lvlText w:val="%1."/>
      <w:lvlJc w:val="left"/>
      <w:pPr>
        <w:ind w:left="141" w:hanging="276"/>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554B59"/>
    <w:multiLevelType w:val="multilevel"/>
    <w:tmpl w:val="933C0C5C"/>
    <w:lvl w:ilvl="0">
      <w:start w:val="1"/>
      <w:numFmt w:val="decimal"/>
      <w:lvlText w:val="%1."/>
      <w:lvlJc w:val="left"/>
      <w:pPr>
        <w:ind w:left="283"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4F7"/>
    <w:rsid w:val="00154B3A"/>
    <w:rsid w:val="002A5E0D"/>
    <w:rsid w:val="003A64F7"/>
    <w:rsid w:val="004F7065"/>
    <w:rsid w:val="005F552D"/>
    <w:rsid w:val="0096694D"/>
    <w:rsid w:val="00B95E04"/>
    <w:rsid w:val="00BD0E85"/>
    <w:rsid w:val="00E103B4"/>
    <w:rsid w:val="00EA5FD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13FE"/>
  <w15:docId w15:val="{F5447E55-156D-4B8F-940F-23B42AA56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2A5E0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A5E0D"/>
  </w:style>
  <w:style w:type="paragraph" w:styleId="Piedepgina">
    <w:name w:val="footer"/>
    <w:basedOn w:val="Normal"/>
    <w:link w:val="PiedepginaCar"/>
    <w:uiPriority w:val="99"/>
    <w:unhideWhenUsed/>
    <w:rsid w:val="002A5E0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A5E0D"/>
  </w:style>
  <w:style w:type="character" w:styleId="Hipervnculo">
    <w:name w:val="Hyperlink"/>
    <w:basedOn w:val="Fuentedeprrafopredeter"/>
    <w:uiPriority w:val="99"/>
    <w:unhideWhenUsed/>
    <w:rsid w:val="00B95E04"/>
    <w:rPr>
      <w:color w:val="0000FF" w:themeColor="hyperlink"/>
      <w:u w:val="single"/>
    </w:rPr>
  </w:style>
  <w:style w:type="character" w:styleId="Hipervnculovisitado">
    <w:name w:val="FollowedHyperlink"/>
    <w:basedOn w:val="Fuentedeprrafopredeter"/>
    <w:uiPriority w:val="99"/>
    <w:semiHidden/>
    <w:unhideWhenUsed/>
    <w:rsid w:val="00B95E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www.insnsb.gob.pe/docs-trans/upp/MEMORIA%20INSTITUCIONAL%202018%20INSNSB%20(Version%20Modificada%20al%20260919).pdf" TargetMode="External"/><Relationship Id="rId26" Type="http://schemas.openxmlformats.org/officeDocument/2006/relationships/hyperlink" Target="https://cdn.www.gob.pe/uploads/document/file/1410838/RD" TargetMode="External"/><Relationship Id="rId39"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hyperlink" Target="http://www.hrhdaqp.gob.pe/pages/archivo_boletin_esta.php?id=12" TargetMode="External"/><Relationship Id="rId34" Type="http://schemas.openxmlformats.org/officeDocument/2006/relationships/hyperlink" Target="https://www.minsa.gob.pe/Recursos/OTRANS/08Proyectos/enejecucion/2020/ProyEjec06-2020.pdf"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webmd.com/cancer/vital-signs-monitor" TargetMode="External"/><Relationship Id="rId25" Type="http://schemas.openxmlformats.org/officeDocument/2006/relationships/hyperlink" Target="https://www.mpsm.gob.pe/public/mesavirtual/oficio_n.%C2%B0_00013-2021-susalud-isipress_y_anexo.pdf" TargetMode="External"/><Relationship Id="rId33" Type="http://schemas.openxmlformats.org/officeDocument/2006/relationships/hyperlink" Target="http://www.hnhu.gob.pe/Inicio/wp-content/uploads/2016/03/Tarifario-2019.pdf" TargetMode="External"/><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usamedicalsurgical.com/vital-signs-monitors/" TargetMode="External"/><Relationship Id="rId20" Type="http://schemas.openxmlformats.org/officeDocument/2006/relationships/hyperlink" Target="http://www.hrdt.gob.pe/intranet/Publicaciones/files/BOLETIN_ESTADISTICA_ANUAL_2019.pdf" TargetMode="External"/><Relationship Id="rId29" Type="http://schemas.openxmlformats.org/officeDocument/2006/relationships/hyperlink" Target="http://www.insnsb.gob.pe/tarifario-servicio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apps8.contraloria.gob.pe/SPIC/srvDownload/ViewPDF?CRES_CODIGO=2020CSI019100027&amp;TIPOARCHIVO=IS" TargetMode="External"/><Relationship Id="rId32" Type="http://schemas.openxmlformats.org/officeDocument/2006/relationships/hyperlink" Target="http://www.hnhu.gob.pe/Inicio/wp-content/uploads/2016/03/Tarifario-2019.pdf" TargetMode="External"/><Relationship Id="rId37" Type="http://schemas.openxmlformats.org/officeDocument/2006/relationships/hyperlink" Target="https://www.comexperu.org.pe/upload/articles/reportes/reporte-eficacia-002.pdf"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etmedcheck.com/wp-content/uploads/2018/12/Complete-Guide-Vital-Signs-Monitor.pdf" TargetMode="External"/><Relationship Id="rId23" Type="http://schemas.openxmlformats.org/officeDocument/2006/relationships/hyperlink" Target="https://cdn.www.gob.pe/uploads/document/file/1751525/DGOS%20-%20Hospital%20Nacional%20Dos%20de%20Mayo.pdf" TargetMode="External"/><Relationship Id="rId28" Type="http://schemas.openxmlformats.org/officeDocument/2006/relationships/hyperlink" Target="http://www.insnsb.gob.pe/tarifario-servicios/" TargetMode="External"/><Relationship Id="rId36" Type="http://schemas.openxmlformats.org/officeDocument/2006/relationships/hyperlink" Target="https://www.gob.pe/institucion/minsa/noticias/52253-hospital-maria-auxiliadora-fortalece-sala-de-recuperacion-con-adquisicion-de-monitores-de-signos-vitales-de-ultima-generacion" TargetMode="External"/><Relationship Id="rId10" Type="http://schemas.openxmlformats.org/officeDocument/2006/relationships/header" Target="header2.xml"/><Relationship Id="rId19" Type="http://schemas.openxmlformats.org/officeDocument/2006/relationships/hyperlink" Target="https://www.medicaldevicedepot.com/Vital-Signs-Monitors-s/259.htm" TargetMode="External"/><Relationship Id="rId31" Type="http://schemas.openxmlformats.org/officeDocument/2006/relationships/hyperlink" Target="http://gob.pe/"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ww.ncbi.nlm.nih.gov/books/NBK553213/" TargetMode="External"/><Relationship Id="rId22" Type="http://schemas.openxmlformats.org/officeDocument/2006/relationships/hyperlink" Target="https://www.minsa.gob.pe/Recursos/OTRANS/03AdquisicionBS/Archivos/paac/2020/Evaluacion_PAAC_112020.pdf?__cf_chl_captcha_tk__=pmd_HdvCi.NPeBbC_yL3NbPojq7KZ9OqBH7JgJY5ikXFhBM-1631107206-0-gqNtZGzNAxCjcnBszQe9" TargetMode="External"/><Relationship Id="rId27" Type="http://schemas.openxmlformats.org/officeDocument/2006/relationships/hyperlink" Target="https://cdn.www.gob.pe/uploads/document/file/1410838/RD%20N%C2%B0%20211.pdf.pdf" TargetMode="External"/><Relationship Id="rId30" Type="http://schemas.openxmlformats.org/officeDocument/2006/relationships/hyperlink" Target="http://gob.pe/" TargetMode="External"/><Relationship Id="rId35" Type="http://schemas.openxmlformats.org/officeDocument/2006/relationships/hyperlink" Target="https://www.defensoria.gob.pe/wp-content/uploads/2020/02/IA-10-2019-AAE-Supervisi%C3%B3n-Nacional-a-los-Servicios-de-Neonatolog%C3%ADa-y-UCI-neonat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3063</Words>
  <Characters>17464</Characters>
  <Application>Microsoft Office Word</Application>
  <DocSecurity>0</DocSecurity>
  <Lines>145</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2021-09-26T17:36:00Z</dcterms:created>
  <dcterms:modified xsi:type="dcterms:W3CDTF">2021-09-26T17:39:00Z</dcterms:modified>
</cp:coreProperties>
</file>