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10C31" w14:textId="49D6A207" w:rsidR="00563BC5" w:rsidRDefault="008B0CC0">
      <w:r>
        <w:t>ANOVA tables for Ross et al. 2024</w:t>
      </w:r>
    </w:p>
    <w:p w14:paraId="3C53C609" w14:textId="77777777" w:rsidR="008B0CC0" w:rsidRDefault="008B0CC0"/>
    <w:p w14:paraId="785ED33B" w14:textId="77777777" w:rsidR="008B0CC0" w:rsidRDefault="008B0CC0"/>
    <w:p w14:paraId="40F14868" w14:textId="77777777" w:rsidR="008B0CC0" w:rsidRDefault="008B0CC0" w:rsidP="008B0CC0">
      <w:pPr>
        <w:rPr>
          <w:rFonts w:ascii="Tw Cen MT" w:hAnsi="Tw Cen MT" w:cstheme="minorHAnsi"/>
        </w:rPr>
      </w:pPr>
      <w:r>
        <w:rPr>
          <w:rFonts w:ascii="Tw Cen MT" w:hAnsi="Tw Cen MT" w:cstheme="minorHAnsi"/>
        </w:rPr>
        <w:t>Table 2. Type II ANOVA table of GLMMs for abundance of gastropods per habitat (salt marsh) or vegetation (mangrove forest) and transect. Interactions, while not significant, are retained in the model as they did not affect overall results when removed. Refer to Table 1 caption for an explanation of the different tidal elevations and zone classifications used.</w:t>
      </w:r>
    </w:p>
    <w:p w14:paraId="03738677" w14:textId="77777777" w:rsidR="008B0CC0" w:rsidRDefault="008B0CC0" w:rsidP="008B0CC0">
      <w:pPr>
        <w:rPr>
          <w:rFonts w:ascii="Tw Cen MT" w:hAnsi="Tw Cen MT"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509"/>
        <w:gridCol w:w="1303"/>
        <w:gridCol w:w="1240"/>
        <w:gridCol w:w="273"/>
        <w:gridCol w:w="509"/>
        <w:gridCol w:w="1466"/>
        <w:gridCol w:w="1238"/>
      </w:tblGrid>
      <w:tr w:rsidR="008B0CC0" w:rsidRPr="00B75C69" w14:paraId="1FC2B5EE" w14:textId="77777777" w:rsidTr="00F31802">
        <w:trPr>
          <w:trHeight w:val="314"/>
        </w:trPr>
        <w:tc>
          <w:tcPr>
            <w:tcW w:w="1378" w:type="pct"/>
            <w:vAlign w:val="center"/>
          </w:tcPr>
          <w:p w14:paraId="01FA3E0E" w14:textId="77777777" w:rsidR="008B0CC0" w:rsidRPr="00B75C69" w:rsidRDefault="008B0CC0" w:rsidP="00F31802">
            <w:pPr>
              <w:jc w:val="right"/>
              <w:rPr>
                <w:rFonts w:ascii="Tw Cen MT" w:hAnsi="Tw Cen MT"/>
              </w:rPr>
            </w:pPr>
          </w:p>
        </w:tc>
        <w:tc>
          <w:tcPr>
            <w:tcW w:w="1691" w:type="pct"/>
            <w:gridSpan w:val="3"/>
            <w:tcBorders>
              <w:bottom w:val="single" w:sz="4" w:space="0" w:color="auto"/>
            </w:tcBorders>
            <w:vAlign w:val="bottom"/>
          </w:tcPr>
          <w:p w14:paraId="782B42C0" w14:textId="77777777" w:rsidR="008B0CC0" w:rsidRPr="00B75C69" w:rsidRDefault="008B0CC0" w:rsidP="00F31802">
            <w:pPr>
              <w:jc w:val="center"/>
              <w:rPr>
                <w:rFonts w:ascii="Tw Cen MT" w:hAnsi="Tw Cen MT"/>
              </w:rPr>
            </w:pPr>
            <w:r w:rsidRPr="00B75C69">
              <w:rPr>
                <w:rFonts w:ascii="Tw Cen MT" w:hAnsi="Tw Cen MT"/>
              </w:rPr>
              <w:t>Salt marsh</w:t>
            </w:r>
          </w:p>
        </w:tc>
        <w:tc>
          <w:tcPr>
            <w:tcW w:w="151" w:type="pct"/>
          </w:tcPr>
          <w:p w14:paraId="2EACAB47" w14:textId="77777777" w:rsidR="008B0CC0" w:rsidRPr="00B75C69" w:rsidRDefault="008B0CC0" w:rsidP="00F31802">
            <w:pPr>
              <w:jc w:val="center"/>
              <w:rPr>
                <w:rFonts w:ascii="Tw Cen MT" w:hAnsi="Tw Cen MT"/>
              </w:rPr>
            </w:pPr>
          </w:p>
        </w:tc>
        <w:tc>
          <w:tcPr>
            <w:tcW w:w="1780" w:type="pct"/>
            <w:gridSpan w:val="3"/>
            <w:tcBorders>
              <w:bottom w:val="single" w:sz="4" w:space="0" w:color="auto"/>
            </w:tcBorders>
            <w:vAlign w:val="bottom"/>
          </w:tcPr>
          <w:p w14:paraId="31338003" w14:textId="77777777" w:rsidR="008B0CC0" w:rsidRPr="00B75C69" w:rsidRDefault="008B0CC0" w:rsidP="00F31802">
            <w:pPr>
              <w:jc w:val="center"/>
              <w:rPr>
                <w:rFonts w:ascii="Tw Cen MT" w:hAnsi="Tw Cen MT"/>
              </w:rPr>
            </w:pPr>
            <w:r w:rsidRPr="00B75C69">
              <w:rPr>
                <w:rFonts w:ascii="Tw Cen MT" w:hAnsi="Tw Cen MT"/>
              </w:rPr>
              <w:t>Mangrove forests</w:t>
            </w:r>
          </w:p>
        </w:tc>
      </w:tr>
      <w:tr w:rsidR="008B0CC0" w:rsidRPr="00B75C69" w14:paraId="580D7EEF" w14:textId="77777777" w:rsidTr="00F31802">
        <w:trPr>
          <w:trHeight w:val="314"/>
        </w:trPr>
        <w:tc>
          <w:tcPr>
            <w:tcW w:w="1378" w:type="pct"/>
            <w:tcBorders>
              <w:bottom w:val="single" w:sz="4" w:space="0" w:color="auto"/>
            </w:tcBorders>
            <w:vAlign w:val="center"/>
          </w:tcPr>
          <w:p w14:paraId="0BCA1FD7" w14:textId="77777777" w:rsidR="008B0CC0" w:rsidRPr="00B75C69" w:rsidRDefault="008B0CC0" w:rsidP="00F31802">
            <w:pPr>
              <w:jc w:val="right"/>
              <w:rPr>
                <w:rFonts w:ascii="Tw Cen MT" w:hAnsi="Tw Cen MT"/>
                <w:i/>
                <w:iCs/>
              </w:rPr>
            </w:pPr>
            <w:r w:rsidRPr="00B75C69">
              <w:rPr>
                <w:rFonts w:ascii="Tw Cen MT" w:hAnsi="Tw Cen MT"/>
              </w:rPr>
              <w:t>Source of variation</w:t>
            </w:r>
          </w:p>
        </w:tc>
        <w:tc>
          <w:tcPr>
            <w:tcW w:w="282" w:type="pct"/>
            <w:tcBorders>
              <w:top w:val="single" w:sz="4" w:space="0" w:color="auto"/>
              <w:bottom w:val="single" w:sz="4" w:space="0" w:color="auto"/>
            </w:tcBorders>
          </w:tcPr>
          <w:p w14:paraId="64342D4E" w14:textId="77777777" w:rsidR="008B0CC0" w:rsidRPr="00B75C69" w:rsidRDefault="008B0CC0" w:rsidP="00F31802">
            <w:pPr>
              <w:jc w:val="center"/>
              <w:rPr>
                <w:rFonts w:ascii="Tw Cen MT" w:hAnsi="Tw Cen MT"/>
                <w:i/>
                <w:iCs/>
              </w:rPr>
            </w:pPr>
            <w:r w:rsidRPr="00B75C69">
              <w:rPr>
                <w:rFonts w:ascii="Tw Cen MT" w:hAnsi="Tw Cen MT"/>
                <w:i/>
                <w:iCs/>
              </w:rPr>
              <w:t>df</w:t>
            </w:r>
          </w:p>
        </w:tc>
        <w:tc>
          <w:tcPr>
            <w:tcW w:w="722" w:type="pct"/>
            <w:tcBorders>
              <w:top w:val="single" w:sz="4" w:space="0" w:color="auto"/>
              <w:bottom w:val="single" w:sz="4" w:space="0" w:color="auto"/>
            </w:tcBorders>
          </w:tcPr>
          <w:p w14:paraId="40BAFE00" w14:textId="77777777" w:rsidR="008B0CC0" w:rsidRPr="00B75C69" w:rsidRDefault="008B0CC0" w:rsidP="00F31802">
            <w:pPr>
              <w:jc w:val="center"/>
              <w:rPr>
                <w:rFonts w:ascii="Tw Cen MT" w:hAnsi="Tw Cen MT"/>
                <w:i/>
                <w:iCs/>
              </w:rPr>
            </w:pPr>
            <w:r w:rsidRPr="00B75C69">
              <w:rPr>
                <w:rFonts w:ascii="Calibri" w:hAnsi="Calibri" w:cs="Calibri"/>
                <w:i/>
                <w:iCs/>
              </w:rPr>
              <w:t>χ</w:t>
            </w:r>
            <w:r w:rsidRPr="00B75C69">
              <w:rPr>
                <w:rFonts w:ascii="Tw Cen MT" w:hAnsi="Tw Cen MT"/>
                <w:i/>
                <w:iCs/>
                <w:vertAlign w:val="superscript"/>
              </w:rPr>
              <w:t>2</w:t>
            </w:r>
          </w:p>
        </w:tc>
        <w:tc>
          <w:tcPr>
            <w:tcW w:w="687" w:type="pct"/>
            <w:tcBorders>
              <w:top w:val="single" w:sz="4" w:space="0" w:color="auto"/>
              <w:bottom w:val="single" w:sz="4" w:space="0" w:color="auto"/>
            </w:tcBorders>
          </w:tcPr>
          <w:p w14:paraId="60AF18B8" w14:textId="77777777" w:rsidR="008B0CC0" w:rsidRPr="00B75C69" w:rsidRDefault="008B0CC0" w:rsidP="00F31802">
            <w:pPr>
              <w:jc w:val="center"/>
              <w:rPr>
                <w:rFonts w:ascii="Tw Cen MT" w:hAnsi="Tw Cen MT"/>
                <w:i/>
                <w:iCs/>
              </w:rPr>
            </w:pPr>
            <w:r w:rsidRPr="00B75C69">
              <w:rPr>
                <w:rFonts w:ascii="Tw Cen MT" w:hAnsi="Tw Cen MT"/>
                <w:i/>
                <w:iCs/>
              </w:rPr>
              <w:t>p</w:t>
            </w:r>
          </w:p>
        </w:tc>
        <w:tc>
          <w:tcPr>
            <w:tcW w:w="151" w:type="pct"/>
          </w:tcPr>
          <w:p w14:paraId="38543910" w14:textId="77777777" w:rsidR="008B0CC0" w:rsidRPr="00B75C69" w:rsidRDefault="008B0CC0" w:rsidP="00F31802">
            <w:pPr>
              <w:jc w:val="center"/>
              <w:rPr>
                <w:rFonts w:ascii="Tw Cen MT" w:hAnsi="Tw Cen MT"/>
                <w:i/>
                <w:iCs/>
              </w:rPr>
            </w:pPr>
          </w:p>
        </w:tc>
        <w:tc>
          <w:tcPr>
            <w:tcW w:w="282" w:type="pct"/>
            <w:tcBorders>
              <w:top w:val="single" w:sz="4" w:space="0" w:color="auto"/>
              <w:bottom w:val="single" w:sz="4" w:space="0" w:color="auto"/>
            </w:tcBorders>
          </w:tcPr>
          <w:p w14:paraId="121DFC13" w14:textId="77777777" w:rsidR="008B0CC0" w:rsidRPr="00B75C69" w:rsidRDefault="008B0CC0" w:rsidP="00F31802">
            <w:pPr>
              <w:jc w:val="center"/>
              <w:rPr>
                <w:rFonts w:ascii="Tw Cen MT" w:hAnsi="Tw Cen MT"/>
                <w:i/>
                <w:iCs/>
              </w:rPr>
            </w:pPr>
            <w:r w:rsidRPr="00B75C69">
              <w:rPr>
                <w:rFonts w:ascii="Tw Cen MT" w:hAnsi="Tw Cen MT"/>
                <w:i/>
                <w:iCs/>
              </w:rPr>
              <w:t>df</w:t>
            </w:r>
          </w:p>
        </w:tc>
        <w:tc>
          <w:tcPr>
            <w:tcW w:w="812" w:type="pct"/>
            <w:tcBorders>
              <w:top w:val="single" w:sz="4" w:space="0" w:color="auto"/>
              <w:bottom w:val="single" w:sz="4" w:space="0" w:color="auto"/>
            </w:tcBorders>
          </w:tcPr>
          <w:p w14:paraId="235C0F8A" w14:textId="77777777" w:rsidR="008B0CC0" w:rsidRPr="00B75C69" w:rsidRDefault="008B0CC0" w:rsidP="00F31802">
            <w:pPr>
              <w:jc w:val="center"/>
              <w:rPr>
                <w:rFonts w:ascii="Tw Cen MT" w:hAnsi="Tw Cen MT"/>
                <w:i/>
                <w:iCs/>
              </w:rPr>
            </w:pPr>
            <w:r w:rsidRPr="00B75C69">
              <w:rPr>
                <w:rFonts w:ascii="Calibri" w:hAnsi="Calibri" w:cs="Calibri"/>
                <w:i/>
                <w:iCs/>
              </w:rPr>
              <w:t>χ</w:t>
            </w:r>
            <w:r w:rsidRPr="00B75C69">
              <w:rPr>
                <w:rFonts w:ascii="Tw Cen MT" w:hAnsi="Tw Cen MT"/>
                <w:i/>
                <w:iCs/>
                <w:vertAlign w:val="superscript"/>
              </w:rPr>
              <w:t>2</w:t>
            </w:r>
          </w:p>
        </w:tc>
        <w:tc>
          <w:tcPr>
            <w:tcW w:w="687" w:type="pct"/>
            <w:tcBorders>
              <w:top w:val="single" w:sz="4" w:space="0" w:color="auto"/>
              <w:bottom w:val="single" w:sz="4" w:space="0" w:color="auto"/>
            </w:tcBorders>
          </w:tcPr>
          <w:p w14:paraId="1DCCE22C" w14:textId="77777777" w:rsidR="008B0CC0" w:rsidRPr="00B75C69" w:rsidRDefault="008B0CC0" w:rsidP="00F31802">
            <w:pPr>
              <w:jc w:val="center"/>
              <w:rPr>
                <w:rFonts w:ascii="Tw Cen MT" w:hAnsi="Tw Cen MT"/>
                <w:i/>
                <w:iCs/>
              </w:rPr>
            </w:pPr>
            <w:r w:rsidRPr="00B75C69">
              <w:rPr>
                <w:rFonts w:ascii="Tw Cen MT" w:hAnsi="Tw Cen MT"/>
                <w:i/>
                <w:iCs/>
              </w:rPr>
              <w:t>p</w:t>
            </w:r>
          </w:p>
        </w:tc>
      </w:tr>
      <w:tr w:rsidR="008B0CC0" w:rsidRPr="00B75C69" w14:paraId="7B6480EE" w14:textId="77777777" w:rsidTr="00F31802">
        <w:trPr>
          <w:trHeight w:val="330"/>
        </w:trPr>
        <w:tc>
          <w:tcPr>
            <w:tcW w:w="1378" w:type="pct"/>
            <w:tcBorders>
              <w:top w:val="single" w:sz="4" w:space="0" w:color="auto"/>
            </w:tcBorders>
            <w:vAlign w:val="center"/>
          </w:tcPr>
          <w:p w14:paraId="18CB8592" w14:textId="77777777" w:rsidR="008B0CC0" w:rsidRPr="00B75C69" w:rsidRDefault="008B0CC0" w:rsidP="00F31802">
            <w:pPr>
              <w:jc w:val="right"/>
              <w:rPr>
                <w:rFonts w:ascii="Tw Cen MT" w:hAnsi="Tw Cen MT"/>
              </w:rPr>
            </w:pPr>
            <w:r w:rsidRPr="00B75C69">
              <w:rPr>
                <w:rFonts w:ascii="Tw Cen MT" w:hAnsi="Tw Cen MT"/>
              </w:rPr>
              <w:t>Habitat</w:t>
            </w:r>
            <w:r>
              <w:rPr>
                <w:rFonts w:ascii="Tw Cen MT" w:hAnsi="Tw Cen MT"/>
              </w:rPr>
              <w:t xml:space="preserve"> or Vegetation</w:t>
            </w:r>
          </w:p>
        </w:tc>
        <w:tc>
          <w:tcPr>
            <w:tcW w:w="282" w:type="pct"/>
            <w:tcBorders>
              <w:top w:val="single" w:sz="4" w:space="0" w:color="auto"/>
            </w:tcBorders>
          </w:tcPr>
          <w:p w14:paraId="52CFF759" w14:textId="77777777" w:rsidR="008B0CC0" w:rsidRPr="00B75C69" w:rsidRDefault="008B0CC0" w:rsidP="00F31802">
            <w:pPr>
              <w:jc w:val="center"/>
              <w:rPr>
                <w:rFonts w:ascii="Tw Cen MT" w:hAnsi="Tw Cen MT"/>
              </w:rPr>
            </w:pPr>
            <w:r w:rsidRPr="00B75C69">
              <w:rPr>
                <w:rFonts w:ascii="Tw Cen MT" w:hAnsi="Tw Cen MT"/>
              </w:rPr>
              <w:t>4</w:t>
            </w:r>
          </w:p>
        </w:tc>
        <w:tc>
          <w:tcPr>
            <w:tcW w:w="722" w:type="pct"/>
            <w:tcBorders>
              <w:top w:val="single" w:sz="4" w:space="0" w:color="auto"/>
            </w:tcBorders>
          </w:tcPr>
          <w:p w14:paraId="0F50EBD9" w14:textId="77777777" w:rsidR="008B0CC0" w:rsidRPr="00B75C69" w:rsidRDefault="008B0CC0" w:rsidP="00F31802">
            <w:pPr>
              <w:jc w:val="center"/>
              <w:rPr>
                <w:rFonts w:ascii="Tw Cen MT" w:hAnsi="Tw Cen MT"/>
              </w:rPr>
            </w:pPr>
            <w:r w:rsidRPr="00B75C69">
              <w:rPr>
                <w:rFonts w:ascii="Tw Cen MT" w:hAnsi="Tw Cen MT"/>
              </w:rPr>
              <w:t>410.319</w:t>
            </w:r>
          </w:p>
        </w:tc>
        <w:tc>
          <w:tcPr>
            <w:tcW w:w="687" w:type="pct"/>
            <w:tcBorders>
              <w:top w:val="single" w:sz="4" w:space="0" w:color="auto"/>
            </w:tcBorders>
          </w:tcPr>
          <w:p w14:paraId="2E74A77E" w14:textId="77777777" w:rsidR="008B0CC0" w:rsidRPr="00B75C69" w:rsidRDefault="008B0CC0" w:rsidP="00F31802">
            <w:pPr>
              <w:jc w:val="center"/>
              <w:rPr>
                <w:rFonts w:ascii="Tw Cen MT" w:hAnsi="Tw Cen MT"/>
                <w:b/>
                <w:bCs/>
              </w:rPr>
            </w:pPr>
            <w:r w:rsidRPr="00B75C69">
              <w:rPr>
                <w:rFonts w:ascii="Tw Cen MT" w:hAnsi="Tw Cen MT"/>
                <w:b/>
                <w:bCs/>
              </w:rPr>
              <w:t>&lt; 0.001</w:t>
            </w:r>
          </w:p>
        </w:tc>
        <w:tc>
          <w:tcPr>
            <w:tcW w:w="151" w:type="pct"/>
            <w:tcBorders>
              <w:top w:val="single" w:sz="4" w:space="0" w:color="auto"/>
            </w:tcBorders>
          </w:tcPr>
          <w:p w14:paraId="4C4A6770" w14:textId="77777777" w:rsidR="008B0CC0" w:rsidRPr="00B75C69" w:rsidRDefault="008B0CC0" w:rsidP="00F31802">
            <w:pPr>
              <w:jc w:val="center"/>
              <w:rPr>
                <w:rFonts w:ascii="Tw Cen MT" w:hAnsi="Tw Cen MT"/>
              </w:rPr>
            </w:pPr>
          </w:p>
        </w:tc>
        <w:tc>
          <w:tcPr>
            <w:tcW w:w="282" w:type="pct"/>
            <w:tcBorders>
              <w:top w:val="single" w:sz="4" w:space="0" w:color="auto"/>
            </w:tcBorders>
          </w:tcPr>
          <w:p w14:paraId="5D6F0548" w14:textId="77777777" w:rsidR="008B0CC0" w:rsidRPr="00B75C69" w:rsidRDefault="008B0CC0" w:rsidP="00F31802">
            <w:pPr>
              <w:jc w:val="center"/>
              <w:rPr>
                <w:rFonts w:ascii="Tw Cen MT" w:hAnsi="Tw Cen MT"/>
              </w:rPr>
            </w:pPr>
            <w:r w:rsidRPr="00B75C69">
              <w:rPr>
                <w:rFonts w:ascii="Tw Cen MT" w:hAnsi="Tw Cen MT"/>
              </w:rPr>
              <w:t>2</w:t>
            </w:r>
          </w:p>
        </w:tc>
        <w:tc>
          <w:tcPr>
            <w:tcW w:w="812" w:type="pct"/>
            <w:tcBorders>
              <w:top w:val="single" w:sz="4" w:space="0" w:color="auto"/>
            </w:tcBorders>
          </w:tcPr>
          <w:p w14:paraId="072A93F2" w14:textId="77777777" w:rsidR="008B0CC0" w:rsidRPr="00B75C69" w:rsidRDefault="008B0CC0" w:rsidP="00F31802">
            <w:pPr>
              <w:jc w:val="center"/>
              <w:rPr>
                <w:rFonts w:ascii="Tw Cen MT" w:hAnsi="Tw Cen MT"/>
              </w:rPr>
            </w:pPr>
            <w:r w:rsidRPr="00B75C69">
              <w:rPr>
                <w:rFonts w:ascii="Tw Cen MT" w:hAnsi="Tw Cen MT"/>
              </w:rPr>
              <w:t>194.8119</w:t>
            </w:r>
          </w:p>
        </w:tc>
        <w:tc>
          <w:tcPr>
            <w:tcW w:w="687" w:type="pct"/>
            <w:tcBorders>
              <w:top w:val="single" w:sz="4" w:space="0" w:color="auto"/>
            </w:tcBorders>
          </w:tcPr>
          <w:p w14:paraId="077A56E7" w14:textId="77777777" w:rsidR="008B0CC0" w:rsidRPr="00B75C69" w:rsidRDefault="008B0CC0" w:rsidP="00F31802">
            <w:pPr>
              <w:jc w:val="center"/>
              <w:rPr>
                <w:rFonts w:ascii="Tw Cen MT" w:hAnsi="Tw Cen MT"/>
                <w:b/>
                <w:bCs/>
              </w:rPr>
            </w:pPr>
            <w:r w:rsidRPr="00B75C69">
              <w:rPr>
                <w:rFonts w:ascii="Tw Cen MT" w:hAnsi="Tw Cen MT"/>
                <w:b/>
                <w:bCs/>
              </w:rPr>
              <w:t>&lt; 0.001</w:t>
            </w:r>
          </w:p>
        </w:tc>
      </w:tr>
      <w:tr w:rsidR="008B0CC0" w:rsidRPr="00B75C69" w14:paraId="0614400E" w14:textId="77777777" w:rsidTr="00F31802">
        <w:trPr>
          <w:trHeight w:val="314"/>
        </w:trPr>
        <w:tc>
          <w:tcPr>
            <w:tcW w:w="1378" w:type="pct"/>
            <w:vAlign w:val="center"/>
          </w:tcPr>
          <w:p w14:paraId="59B32052" w14:textId="77777777" w:rsidR="008B0CC0" w:rsidRPr="00B75C69" w:rsidRDefault="008B0CC0" w:rsidP="00F31802">
            <w:pPr>
              <w:jc w:val="right"/>
              <w:rPr>
                <w:rFonts w:ascii="Tw Cen MT" w:hAnsi="Tw Cen MT"/>
              </w:rPr>
            </w:pPr>
            <w:r w:rsidRPr="00B75C69">
              <w:rPr>
                <w:rFonts w:ascii="Tw Cen MT" w:hAnsi="Tw Cen MT"/>
              </w:rPr>
              <w:t>Transect</w:t>
            </w:r>
          </w:p>
        </w:tc>
        <w:tc>
          <w:tcPr>
            <w:tcW w:w="282" w:type="pct"/>
          </w:tcPr>
          <w:p w14:paraId="47EBDF5A" w14:textId="77777777" w:rsidR="008B0CC0" w:rsidRPr="00B75C69" w:rsidRDefault="008B0CC0" w:rsidP="00F31802">
            <w:pPr>
              <w:jc w:val="center"/>
              <w:rPr>
                <w:rFonts w:ascii="Tw Cen MT" w:hAnsi="Tw Cen MT"/>
              </w:rPr>
            </w:pPr>
            <w:r w:rsidRPr="00B75C69">
              <w:rPr>
                <w:rFonts w:ascii="Tw Cen MT" w:hAnsi="Tw Cen MT"/>
              </w:rPr>
              <w:t>2</w:t>
            </w:r>
          </w:p>
        </w:tc>
        <w:tc>
          <w:tcPr>
            <w:tcW w:w="722" w:type="pct"/>
          </w:tcPr>
          <w:p w14:paraId="3EE4594F" w14:textId="77777777" w:rsidR="008B0CC0" w:rsidRPr="00B75C69" w:rsidRDefault="008B0CC0" w:rsidP="00F31802">
            <w:pPr>
              <w:jc w:val="center"/>
              <w:rPr>
                <w:rFonts w:ascii="Tw Cen MT" w:hAnsi="Tw Cen MT"/>
              </w:rPr>
            </w:pPr>
            <w:r w:rsidRPr="00B75C69">
              <w:rPr>
                <w:rFonts w:ascii="Tw Cen MT" w:hAnsi="Tw Cen MT"/>
              </w:rPr>
              <w:t>6.026</w:t>
            </w:r>
          </w:p>
        </w:tc>
        <w:tc>
          <w:tcPr>
            <w:tcW w:w="687" w:type="pct"/>
          </w:tcPr>
          <w:p w14:paraId="59430ED4" w14:textId="77777777" w:rsidR="008B0CC0" w:rsidRPr="00B75C69" w:rsidRDefault="008B0CC0" w:rsidP="00F31802">
            <w:pPr>
              <w:jc w:val="center"/>
              <w:rPr>
                <w:rFonts w:ascii="Tw Cen MT" w:hAnsi="Tw Cen MT"/>
                <w:b/>
                <w:bCs/>
              </w:rPr>
            </w:pPr>
            <w:r w:rsidRPr="00B75C69">
              <w:rPr>
                <w:rFonts w:ascii="Tw Cen MT" w:hAnsi="Tw Cen MT"/>
                <w:b/>
                <w:bCs/>
              </w:rPr>
              <w:t>0.049</w:t>
            </w:r>
          </w:p>
        </w:tc>
        <w:tc>
          <w:tcPr>
            <w:tcW w:w="151" w:type="pct"/>
          </w:tcPr>
          <w:p w14:paraId="7C9CC0C4" w14:textId="77777777" w:rsidR="008B0CC0" w:rsidRPr="00B75C69" w:rsidRDefault="008B0CC0" w:rsidP="00F31802">
            <w:pPr>
              <w:jc w:val="center"/>
              <w:rPr>
                <w:rFonts w:ascii="Tw Cen MT" w:hAnsi="Tw Cen MT"/>
              </w:rPr>
            </w:pPr>
          </w:p>
        </w:tc>
        <w:tc>
          <w:tcPr>
            <w:tcW w:w="282" w:type="pct"/>
          </w:tcPr>
          <w:p w14:paraId="249C12AB" w14:textId="77777777" w:rsidR="008B0CC0" w:rsidRPr="00B75C69" w:rsidRDefault="008B0CC0" w:rsidP="00F31802">
            <w:pPr>
              <w:jc w:val="center"/>
              <w:rPr>
                <w:rFonts w:ascii="Tw Cen MT" w:hAnsi="Tw Cen MT"/>
              </w:rPr>
            </w:pPr>
            <w:r w:rsidRPr="00B75C69">
              <w:rPr>
                <w:rFonts w:ascii="Tw Cen MT" w:hAnsi="Tw Cen MT"/>
              </w:rPr>
              <w:t>2</w:t>
            </w:r>
          </w:p>
        </w:tc>
        <w:tc>
          <w:tcPr>
            <w:tcW w:w="812" w:type="pct"/>
          </w:tcPr>
          <w:p w14:paraId="12850084" w14:textId="77777777" w:rsidR="008B0CC0" w:rsidRPr="00B75C69" w:rsidRDefault="008B0CC0" w:rsidP="00F31802">
            <w:pPr>
              <w:jc w:val="center"/>
              <w:rPr>
                <w:rFonts w:ascii="Tw Cen MT" w:hAnsi="Tw Cen MT"/>
              </w:rPr>
            </w:pPr>
            <w:r w:rsidRPr="00B75C69">
              <w:rPr>
                <w:rFonts w:ascii="Tw Cen MT" w:hAnsi="Tw Cen MT"/>
              </w:rPr>
              <w:t>7.4240</w:t>
            </w:r>
          </w:p>
        </w:tc>
        <w:tc>
          <w:tcPr>
            <w:tcW w:w="687" w:type="pct"/>
          </w:tcPr>
          <w:p w14:paraId="13718BFE" w14:textId="77777777" w:rsidR="008B0CC0" w:rsidRPr="00B75C69" w:rsidRDefault="008B0CC0" w:rsidP="00F31802">
            <w:pPr>
              <w:jc w:val="center"/>
              <w:rPr>
                <w:rFonts w:ascii="Tw Cen MT" w:hAnsi="Tw Cen MT"/>
                <w:b/>
                <w:bCs/>
              </w:rPr>
            </w:pPr>
            <w:r w:rsidRPr="00B75C69">
              <w:rPr>
                <w:rFonts w:ascii="Tw Cen MT" w:hAnsi="Tw Cen MT"/>
                <w:b/>
                <w:bCs/>
              </w:rPr>
              <w:t>0.024</w:t>
            </w:r>
          </w:p>
        </w:tc>
      </w:tr>
      <w:tr w:rsidR="008B0CC0" w:rsidRPr="00B75C69" w14:paraId="50FC2B4F" w14:textId="77777777" w:rsidTr="00F31802">
        <w:trPr>
          <w:trHeight w:val="314"/>
        </w:trPr>
        <w:tc>
          <w:tcPr>
            <w:tcW w:w="1378" w:type="pct"/>
            <w:tcBorders>
              <w:bottom w:val="single" w:sz="4" w:space="0" w:color="auto"/>
            </w:tcBorders>
            <w:vAlign w:val="center"/>
          </w:tcPr>
          <w:p w14:paraId="51EA1614" w14:textId="77777777" w:rsidR="008B0CC0" w:rsidRPr="00B75C69" w:rsidRDefault="008B0CC0" w:rsidP="00F31802">
            <w:pPr>
              <w:jc w:val="right"/>
              <w:rPr>
                <w:rFonts w:ascii="Tw Cen MT" w:hAnsi="Tw Cen MT"/>
              </w:rPr>
            </w:pPr>
            <w:r w:rsidRPr="00B75C69">
              <w:rPr>
                <w:rFonts w:ascii="Tw Cen MT" w:hAnsi="Tw Cen MT"/>
              </w:rPr>
              <w:t>Habitat</w:t>
            </w:r>
            <w:r>
              <w:rPr>
                <w:rFonts w:ascii="Tw Cen MT" w:hAnsi="Tw Cen MT"/>
              </w:rPr>
              <w:t xml:space="preserve"> or Vegetation</w:t>
            </w:r>
            <w:r w:rsidRPr="008B27BA">
              <w:rPr>
                <w:rFonts w:ascii="Tw Cen MT" w:hAnsi="Tw Cen MT"/>
              </w:rPr>
              <w:t xml:space="preserve"> ×</w:t>
            </w:r>
            <w:r>
              <w:rPr>
                <w:rFonts w:ascii="Tw Cen MT" w:hAnsi="Tw Cen MT"/>
              </w:rPr>
              <w:t xml:space="preserve"> </w:t>
            </w:r>
            <w:r w:rsidRPr="00B75C69">
              <w:rPr>
                <w:rFonts w:ascii="Tw Cen MT" w:hAnsi="Tw Cen MT"/>
              </w:rPr>
              <w:t>Transect</w:t>
            </w:r>
          </w:p>
        </w:tc>
        <w:tc>
          <w:tcPr>
            <w:tcW w:w="282" w:type="pct"/>
            <w:tcBorders>
              <w:bottom w:val="single" w:sz="4" w:space="0" w:color="auto"/>
            </w:tcBorders>
          </w:tcPr>
          <w:p w14:paraId="1C5DD190" w14:textId="77777777" w:rsidR="008B0CC0" w:rsidRPr="00B75C69" w:rsidRDefault="008B0CC0" w:rsidP="00F31802">
            <w:pPr>
              <w:jc w:val="center"/>
              <w:rPr>
                <w:rFonts w:ascii="Tw Cen MT" w:hAnsi="Tw Cen MT"/>
              </w:rPr>
            </w:pPr>
            <w:r w:rsidRPr="00B75C69">
              <w:rPr>
                <w:rFonts w:ascii="Tw Cen MT" w:hAnsi="Tw Cen MT"/>
              </w:rPr>
              <w:t>8</w:t>
            </w:r>
          </w:p>
        </w:tc>
        <w:tc>
          <w:tcPr>
            <w:tcW w:w="722" w:type="pct"/>
            <w:tcBorders>
              <w:bottom w:val="single" w:sz="4" w:space="0" w:color="auto"/>
            </w:tcBorders>
          </w:tcPr>
          <w:p w14:paraId="563D420D" w14:textId="77777777" w:rsidR="008B0CC0" w:rsidRPr="00B75C69" w:rsidRDefault="008B0CC0" w:rsidP="00F31802">
            <w:pPr>
              <w:jc w:val="center"/>
              <w:rPr>
                <w:rFonts w:ascii="Tw Cen MT" w:hAnsi="Tw Cen MT"/>
              </w:rPr>
            </w:pPr>
            <w:r w:rsidRPr="00B75C69">
              <w:rPr>
                <w:rFonts w:ascii="Tw Cen MT" w:hAnsi="Tw Cen MT"/>
              </w:rPr>
              <w:t>5.358</w:t>
            </w:r>
          </w:p>
        </w:tc>
        <w:tc>
          <w:tcPr>
            <w:tcW w:w="687" w:type="pct"/>
            <w:tcBorders>
              <w:bottom w:val="single" w:sz="4" w:space="0" w:color="auto"/>
            </w:tcBorders>
          </w:tcPr>
          <w:p w14:paraId="071BC42B" w14:textId="77777777" w:rsidR="008B0CC0" w:rsidRPr="00B75C69" w:rsidRDefault="008B0CC0" w:rsidP="00F31802">
            <w:pPr>
              <w:jc w:val="center"/>
              <w:rPr>
                <w:rFonts w:ascii="Tw Cen MT" w:hAnsi="Tw Cen MT"/>
              </w:rPr>
            </w:pPr>
            <w:r w:rsidRPr="00B75C69">
              <w:rPr>
                <w:rFonts w:ascii="Tw Cen MT" w:hAnsi="Tw Cen MT"/>
              </w:rPr>
              <w:t>0.719</w:t>
            </w:r>
          </w:p>
        </w:tc>
        <w:tc>
          <w:tcPr>
            <w:tcW w:w="151" w:type="pct"/>
            <w:tcBorders>
              <w:bottom w:val="single" w:sz="4" w:space="0" w:color="auto"/>
            </w:tcBorders>
          </w:tcPr>
          <w:p w14:paraId="4F41581F" w14:textId="77777777" w:rsidR="008B0CC0" w:rsidRPr="00B75C69" w:rsidRDefault="008B0CC0" w:rsidP="00F31802">
            <w:pPr>
              <w:jc w:val="center"/>
              <w:rPr>
                <w:rFonts w:ascii="Tw Cen MT" w:hAnsi="Tw Cen MT"/>
              </w:rPr>
            </w:pPr>
          </w:p>
        </w:tc>
        <w:tc>
          <w:tcPr>
            <w:tcW w:w="282" w:type="pct"/>
            <w:tcBorders>
              <w:bottom w:val="single" w:sz="4" w:space="0" w:color="auto"/>
            </w:tcBorders>
          </w:tcPr>
          <w:p w14:paraId="18DE8770" w14:textId="77777777" w:rsidR="008B0CC0" w:rsidRPr="00B75C69" w:rsidRDefault="008B0CC0" w:rsidP="00F31802">
            <w:pPr>
              <w:jc w:val="center"/>
              <w:rPr>
                <w:rFonts w:ascii="Tw Cen MT" w:hAnsi="Tw Cen MT"/>
              </w:rPr>
            </w:pPr>
            <w:r w:rsidRPr="00B75C69">
              <w:rPr>
                <w:rFonts w:ascii="Tw Cen MT" w:hAnsi="Tw Cen MT"/>
              </w:rPr>
              <w:t>4</w:t>
            </w:r>
          </w:p>
        </w:tc>
        <w:tc>
          <w:tcPr>
            <w:tcW w:w="812" w:type="pct"/>
            <w:tcBorders>
              <w:bottom w:val="single" w:sz="4" w:space="0" w:color="auto"/>
            </w:tcBorders>
          </w:tcPr>
          <w:p w14:paraId="2BFE95ED" w14:textId="77777777" w:rsidR="008B0CC0" w:rsidRPr="00B75C69" w:rsidRDefault="008B0CC0" w:rsidP="00F31802">
            <w:pPr>
              <w:jc w:val="center"/>
              <w:rPr>
                <w:rFonts w:ascii="Tw Cen MT" w:hAnsi="Tw Cen MT"/>
              </w:rPr>
            </w:pPr>
            <w:r w:rsidRPr="00B75C69">
              <w:rPr>
                <w:rFonts w:ascii="Tw Cen MT" w:hAnsi="Tw Cen MT"/>
              </w:rPr>
              <w:t>5.5144</w:t>
            </w:r>
          </w:p>
        </w:tc>
        <w:tc>
          <w:tcPr>
            <w:tcW w:w="687" w:type="pct"/>
            <w:tcBorders>
              <w:bottom w:val="single" w:sz="4" w:space="0" w:color="auto"/>
            </w:tcBorders>
          </w:tcPr>
          <w:p w14:paraId="60CA6E73" w14:textId="77777777" w:rsidR="008B0CC0" w:rsidRPr="00B75C69" w:rsidRDefault="008B0CC0" w:rsidP="00F31802">
            <w:pPr>
              <w:jc w:val="center"/>
              <w:rPr>
                <w:rFonts w:ascii="Tw Cen MT" w:hAnsi="Tw Cen MT"/>
              </w:rPr>
            </w:pPr>
            <w:r w:rsidRPr="00B75C69">
              <w:rPr>
                <w:rFonts w:ascii="Tw Cen MT" w:hAnsi="Tw Cen MT"/>
              </w:rPr>
              <w:t>0.238</w:t>
            </w:r>
          </w:p>
        </w:tc>
      </w:tr>
      <w:tr w:rsidR="008B0CC0" w:rsidRPr="00B75C69" w14:paraId="427F6B75" w14:textId="77777777" w:rsidTr="00F31802">
        <w:trPr>
          <w:trHeight w:val="314"/>
        </w:trPr>
        <w:tc>
          <w:tcPr>
            <w:tcW w:w="5000" w:type="pct"/>
            <w:gridSpan w:val="8"/>
            <w:tcBorders>
              <w:top w:val="single" w:sz="4" w:space="0" w:color="auto"/>
            </w:tcBorders>
            <w:vAlign w:val="center"/>
          </w:tcPr>
          <w:p w14:paraId="7516675D" w14:textId="77777777" w:rsidR="008B0CC0" w:rsidRPr="00B35064" w:rsidRDefault="008B0CC0" w:rsidP="00F31802">
            <w:pPr>
              <w:rPr>
                <w:rFonts w:ascii="Tw Cen MT" w:hAnsi="Tw Cen MT"/>
                <w:i/>
                <w:iCs/>
                <w:sz w:val="18"/>
                <w:szCs w:val="18"/>
              </w:rPr>
            </w:pPr>
            <w:r w:rsidRPr="00B35064">
              <w:rPr>
                <w:rFonts w:ascii="Tw Cen MT" w:hAnsi="Tw Cen MT"/>
                <w:i/>
                <w:iCs/>
                <w:sz w:val="18"/>
                <w:szCs w:val="18"/>
              </w:rPr>
              <w:t>Dispersion parameter for negative binomial family: 1.44 (salt marsh), 0.306 (mangrove forests)</w:t>
            </w:r>
            <w:r>
              <w:rPr>
                <w:rFonts w:ascii="Tw Cen MT" w:hAnsi="Tw Cen MT"/>
                <w:i/>
                <w:iCs/>
                <w:sz w:val="18"/>
                <w:szCs w:val="18"/>
              </w:rPr>
              <w:t xml:space="preserve">. </w:t>
            </w:r>
            <w:r w:rsidRPr="00B35064">
              <w:rPr>
                <w:rFonts w:ascii="Tw Cen MT" w:hAnsi="Tw Cen MT"/>
                <w:i/>
                <w:iCs/>
                <w:sz w:val="18"/>
                <w:szCs w:val="18"/>
              </w:rPr>
              <w:t xml:space="preserve">P-values less than 0.05 are in </w:t>
            </w:r>
            <w:r w:rsidRPr="00B35064">
              <w:rPr>
                <w:rFonts w:ascii="Tw Cen MT" w:hAnsi="Tw Cen MT"/>
                <w:b/>
                <w:bCs/>
                <w:i/>
                <w:iCs/>
                <w:sz w:val="18"/>
                <w:szCs w:val="18"/>
              </w:rPr>
              <w:t>bold</w:t>
            </w:r>
            <w:r w:rsidRPr="00B35064">
              <w:rPr>
                <w:rFonts w:ascii="Tw Cen MT" w:hAnsi="Tw Cen MT"/>
                <w:i/>
                <w:iCs/>
                <w:sz w:val="18"/>
                <w:szCs w:val="18"/>
              </w:rPr>
              <w:t>.</w:t>
            </w:r>
          </w:p>
          <w:p w14:paraId="778849AD" w14:textId="77777777" w:rsidR="008B0CC0" w:rsidRPr="00B75C69" w:rsidRDefault="008B0CC0" w:rsidP="00F31802">
            <w:pPr>
              <w:rPr>
                <w:rFonts w:ascii="Tw Cen MT" w:hAnsi="Tw Cen MT"/>
                <w:sz w:val="20"/>
                <w:szCs w:val="20"/>
              </w:rPr>
            </w:pPr>
          </w:p>
        </w:tc>
      </w:tr>
    </w:tbl>
    <w:p w14:paraId="4E14AE22" w14:textId="77777777" w:rsidR="008B0CC0" w:rsidRDefault="008B0CC0"/>
    <w:p w14:paraId="6BCABA56" w14:textId="77777777" w:rsidR="008B0CC0" w:rsidRDefault="008B0CC0"/>
    <w:p w14:paraId="6A46ED5A" w14:textId="77777777" w:rsidR="008B0CC0" w:rsidRDefault="008B0CC0" w:rsidP="008B0CC0">
      <w:pPr>
        <w:rPr>
          <w:rFonts w:ascii="Tw Cen MT" w:hAnsi="Tw Cen MT" w:cstheme="minorHAnsi"/>
        </w:rPr>
      </w:pPr>
      <w:r>
        <w:rPr>
          <w:rFonts w:ascii="Tw Cen MT" w:hAnsi="Tw Cen MT" w:cstheme="minorHAnsi"/>
        </w:rPr>
        <w:t>Table 3. Type II ANOVA table of GLMMs for biomass of vegetation (in salt marsh) or algae (in mangrove forest) and transect. Interactions, while not significant, are retained in the model as they did not affect overall results when removed. Refer to Table 1 caption for an explanation of the different tidal elevations and zone classifications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509"/>
        <w:gridCol w:w="1303"/>
        <w:gridCol w:w="1240"/>
        <w:gridCol w:w="273"/>
        <w:gridCol w:w="509"/>
        <w:gridCol w:w="1466"/>
        <w:gridCol w:w="1238"/>
      </w:tblGrid>
      <w:tr w:rsidR="008B0CC0" w:rsidRPr="00B75C69" w14:paraId="36DCEA85" w14:textId="77777777" w:rsidTr="00F31802">
        <w:trPr>
          <w:trHeight w:val="314"/>
        </w:trPr>
        <w:tc>
          <w:tcPr>
            <w:tcW w:w="1378" w:type="pct"/>
            <w:vAlign w:val="center"/>
          </w:tcPr>
          <w:p w14:paraId="3E0C8F01" w14:textId="77777777" w:rsidR="008B0CC0" w:rsidRPr="00B75C69" w:rsidRDefault="008B0CC0" w:rsidP="00F31802">
            <w:pPr>
              <w:jc w:val="right"/>
              <w:rPr>
                <w:rFonts w:ascii="Tw Cen MT" w:hAnsi="Tw Cen MT"/>
              </w:rPr>
            </w:pPr>
          </w:p>
        </w:tc>
        <w:tc>
          <w:tcPr>
            <w:tcW w:w="1691" w:type="pct"/>
            <w:gridSpan w:val="3"/>
            <w:tcBorders>
              <w:bottom w:val="single" w:sz="4" w:space="0" w:color="auto"/>
            </w:tcBorders>
            <w:vAlign w:val="bottom"/>
          </w:tcPr>
          <w:p w14:paraId="02D6F621" w14:textId="77777777" w:rsidR="008B0CC0" w:rsidRPr="00B75C69" w:rsidRDefault="008B0CC0" w:rsidP="00F31802">
            <w:pPr>
              <w:jc w:val="center"/>
              <w:rPr>
                <w:rFonts w:ascii="Tw Cen MT" w:hAnsi="Tw Cen MT"/>
              </w:rPr>
            </w:pPr>
            <w:r w:rsidRPr="00B75C69">
              <w:rPr>
                <w:rFonts w:ascii="Tw Cen MT" w:hAnsi="Tw Cen MT"/>
              </w:rPr>
              <w:t>Salt marsh</w:t>
            </w:r>
          </w:p>
        </w:tc>
        <w:tc>
          <w:tcPr>
            <w:tcW w:w="151" w:type="pct"/>
          </w:tcPr>
          <w:p w14:paraId="0BACFE86" w14:textId="77777777" w:rsidR="008B0CC0" w:rsidRPr="00B75C69" w:rsidRDefault="008B0CC0" w:rsidP="00F31802">
            <w:pPr>
              <w:jc w:val="center"/>
              <w:rPr>
                <w:rFonts w:ascii="Tw Cen MT" w:hAnsi="Tw Cen MT"/>
              </w:rPr>
            </w:pPr>
          </w:p>
        </w:tc>
        <w:tc>
          <w:tcPr>
            <w:tcW w:w="1780" w:type="pct"/>
            <w:gridSpan w:val="3"/>
            <w:tcBorders>
              <w:bottom w:val="single" w:sz="4" w:space="0" w:color="auto"/>
            </w:tcBorders>
            <w:vAlign w:val="bottom"/>
          </w:tcPr>
          <w:p w14:paraId="06AD0672" w14:textId="77777777" w:rsidR="008B0CC0" w:rsidRPr="00B75C69" w:rsidRDefault="008B0CC0" w:rsidP="00F31802">
            <w:pPr>
              <w:jc w:val="center"/>
              <w:rPr>
                <w:rFonts w:ascii="Tw Cen MT" w:hAnsi="Tw Cen MT"/>
              </w:rPr>
            </w:pPr>
            <w:r w:rsidRPr="00B75C69">
              <w:rPr>
                <w:rFonts w:ascii="Tw Cen MT" w:hAnsi="Tw Cen MT"/>
              </w:rPr>
              <w:t>Mangrove forests</w:t>
            </w:r>
          </w:p>
        </w:tc>
      </w:tr>
      <w:tr w:rsidR="008B0CC0" w:rsidRPr="00B75C69" w14:paraId="1DA1F39F" w14:textId="77777777" w:rsidTr="00F31802">
        <w:trPr>
          <w:trHeight w:val="314"/>
        </w:trPr>
        <w:tc>
          <w:tcPr>
            <w:tcW w:w="1378" w:type="pct"/>
            <w:tcBorders>
              <w:bottom w:val="single" w:sz="4" w:space="0" w:color="auto"/>
            </w:tcBorders>
            <w:vAlign w:val="center"/>
          </w:tcPr>
          <w:p w14:paraId="541DB3DB" w14:textId="77777777" w:rsidR="008B0CC0" w:rsidRPr="00B75C69" w:rsidRDefault="008B0CC0" w:rsidP="00F31802">
            <w:pPr>
              <w:jc w:val="right"/>
              <w:rPr>
                <w:rFonts w:ascii="Tw Cen MT" w:hAnsi="Tw Cen MT"/>
                <w:i/>
                <w:iCs/>
              </w:rPr>
            </w:pPr>
            <w:r w:rsidRPr="00B75C69">
              <w:rPr>
                <w:rFonts w:ascii="Tw Cen MT" w:hAnsi="Tw Cen MT"/>
              </w:rPr>
              <w:t>Source of variation</w:t>
            </w:r>
          </w:p>
        </w:tc>
        <w:tc>
          <w:tcPr>
            <w:tcW w:w="282" w:type="pct"/>
            <w:tcBorders>
              <w:top w:val="single" w:sz="4" w:space="0" w:color="auto"/>
              <w:bottom w:val="single" w:sz="4" w:space="0" w:color="auto"/>
            </w:tcBorders>
          </w:tcPr>
          <w:p w14:paraId="1289ACB5" w14:textId="77777777" w:rsidR="008B0CC0" w:rsidRPr="00B75C69" w:rsidRDefault="008B0CC0" w:rsidP="00F31802">
            <w:pPr>
              <w:jc w:val="center"/>
              <w:rPr>
                <w:rFonts w:ascii="Tw Cen MT" w:hAnsi="Tw Cen MT"/>
                <w:i/>
                <w:iCs/>
              </w:rPr>
            </w:pPr>
            <w:r w:rsidRPr="00B75C69">
              <w:rPr>
                <w:rFonts w:ascii="Tw Cen MT" w:hAnsi="Tw Cen MT"/>
                <w:i/>
                <w:iCs/>
              </w:rPr>
              <w:t>df</w:t>
            </w:r>
          </w:p>
        </w:tc>
        <w:tc>
          <w:tcPr>
            <w:tcW w:w="722" w:type="pct"/>
            <w:tcBorders>
              <w:top w:val="single" w:sz="4" w:space="0" w:color="auto"/>
              <w:bottom w:val="single" w:sz="4" w:space="0" w:color="auto"/>
            </w:tcBorders>
          </w:tcPr>
          <w:p w14:paraId="46B34E8E" w14:textId="77777777" w:rsidR="008B0CC0" w:rsidRPr="00B75C69" w:rsidRDefault="008B0CC0" w:rsidP="00F31802">
            <w:pPr>
              <w:jc w:val="center"/>
              <w:rPr>
                <w:rFonts w:ascii="Tw Cen MT" w:hAnsi="Tw Cen MT"/>
                <w:i/>
                <w:iCs/>
              </w:rPr>
            </w:pPr>
            <w:r w:rsidRPr="00B75C69">
              <w:rPr>
                <w:rFonts w:ascii="Calibri" w:hAnsi="Calibri" w:cs="Calibri"/>
                <w:i/>
                <w:iCs/>
              </w:rPr>
              <w:t>χ</w:t>
            </w:r>
            <w:r w:rsidRPr="00B75C69">
              <w:rPr>
                <w:rFonts w:ascii="Tw Cen MT" w:hAnsi="Tw Cen MT"/>
                <w:i/>
                <w:iCs/>
                <w:vertAlign w:val="superscript"/>
              </w:rPr>
              <w:t>2</w:t>
            </w:r>
          </w:p>
        </w:tc>
        <w:tc>
          <w:tcPr>
            <w:tcW w:w="687" w:type="pct"/>
            <w:tcBorders>
              <w:top w:val="single" w:sz="4" w:space="0" w:color="auto"/>
              <w:bottom w:val="single" w:sz="4" w:space="0" w:color="auto"/>
            </w:tcBorders>
          </w:tcPr>
          <w:p w14:paraId="67D97D44" w14:textId="77777777" w:rsidR="008B0CC0" w:rsidRPr="00B75C69" w:rsidRDefault="008B0CC0" w:rsidP="00F31802">
            <w:pPr>
              <w:jc w:val="center"/>
              <w:rPr>
                <w:rFonts w:ascii="Tw Cen MT" w:hAnsi="Tw Cen MT"/>
                <w:i/>
                <w:iCs/>
              </w:rPr>
            </w:pPr>
            <w:r w:rsidRPr="00B75C69">
              <w:rPr>
                <w:rFonts w:ascii="Tw Cen MT" w:hAnsi="Tw Cen MT"/>
                <w:i/>
                <w:iCs/>
              </w:rPr>
              <w:t>p</w:t>
            </w:r>
          </w:p>
        </w:tc>
        <w:tc>
          <w:tcPr>
            <w:tcW w:w="151" w:type="pct"/>
          </w:tcPr>
          <w:p w14:paraId="1DA7982F" w14:textId="77777777" w:rsidR="008B0CC0" w:rsidRPr="00B75C69" w:rsidRDefault="008B0CC0" w:rsidP="00F31802">
            <w:pPr>
              <w:jc w:val="center"/>
              <w:rPr>
                <w:rFonts w:ascii="Tw Cen MT" w:hAnsi="Tw Cen MT"/>
                <w:i/>
                <w:iCs/>
              </w:rPr>
            </w:pPr>
          </w:p>
        </w:tc>
        <w:tc>
          <w:tcPr>
            <w:tcW w:w="282" w:type="pct"/>
            <w:tcBorders>
              <w:top w:val="single" w:sz="4" w:space="0" w:color="auto"/>
              <w:bottom w:val="single" w:sz="4" w:space="0" w:color="auto"/>
            </w:tcBorders>
          </w:tcPr>
          <w:p w14:paraId="41860DEE" w14:textId="77777777" w:rsidR="008B0CC0" w:rsidRPr="00B75C69" w:rsidRDefault="008B0CC0" w:rsidP="00F31802">
            <w:pPr>
              <w:jc w:val="center"/>
              <w:rPr>
                <w:rFonts w:ascii="Tw Cen MT" w:hAnsi="Tw Cen MT"/>
                <w:i/>
                <w:iCs/>
              </w:rPr>
            </w:pPr>
            <w:r w:rsidRPr="00B75C69">
              <w:rPr>
                <w:rFonts w:ascii="Tw Cen MT" w:hAnsi="Tw Cen MT"/>
                <w:i/>
                <w:iCs/>
              </w:rPr>
              <w:t>df</w:t>
            </w:r>
          </w:p>
        </w:tc>
        <w:tc>
          <w:tcPr>
            <w:tcW w:w="812" w:type="pct"/>
            <w:tcBorders>
              <w:top w:val="single" w:sz="4" w:space="0" w:color="auto"/>
              <w:bottom w:val="single" w:sz="4" w:space="0" w:color="auto"/>
            </w:tcBorders>
          </w:tcPr>
          <w:p w14:paraId="4ED1288B" w14:textId="77777777" w:rsidR="008B0CC0" w:rsidRPr="00B75C69" w:rsidRDefault="008B0CC0" w:rsidP="00F31802">
            <w:pPr>
              <w:jc w:val="center"/>
              <w:rPr>
                <w:rFonts w:ascii="Tw Cen MT" w:hAnsi="Tw Cen MT"/>
                <w:i/>
                <w:iCs/>
              </w:rPr>
            </w:pPr>
            <w:r w:rsidRPr="00B75C69">
              <w:rPr>
                <w:rFonts w:ascii="Calibri" w:hAnsi="Calibri" w:cs="Calibri"/>
                <w:i/>
                <w:iCs/>
              </w:rPr>
              <w:t>χ</w:t>
            </w:r>
            <w:r w:rsidRPr="00B75C69">
              <w:rPr>
                <w:rFonts w:ascii="Tw Cen MT" w:hAnsi="Tw Cen MT"/>
                <w:i/>
                <w:iCs/>
                <w:vertAlign w:val="superscript"/>
              </w:rPr>
              <w:t>2</w:t>
            </w:r>
          </w:p>
        </w:tc>
        <w:tc>
          <w:tcPr>
            <w:tcW w:w="687" w:type="pct"/>
            <w:tcBorders>
              <w:top w:val="single" w:sz="4" w:space="0" w:color="auto"/>
              <w:bottom w:val="single" w:sz="4" w:space="0" w:color="auto"/>
            </w:tcBorders>
          </w:tcPr>
          <w:p w14:paraId="490D4878" w14:textId="77777777" w:rsidR="008B0CC0" w:rsidRPr="00B75C69" w:rsidRDefault="008B0CC0" w:rsidP="00F31802">
            <w:pPr>
              <w:jc w:val="center"/>
              <w:rPr>
                <w:rFonts w:ascii="Tw Cen MT" w:hAnsi="Tw Cen MT"/>
                <w:i/>
                <w:iCs/>
              </w:rPr>
            </w:pPr>
            <w:r w:rsidRPr="00B75C69">
              <w:rPr>
                <w:rFonts w:ascii="Tw Cen MT" w:hAnsi="Tw Cen MT"/>
                <w:i/>
                <w:iCs/>
              </w:rPr>
              <w:t>p</w:t>
            </w:r>
          </w:p>
        </w:tc>
      </w:tr>
      <w:tr w:rsidR="008B0CC0" w:rsidRPr="00B75C69" w14:paraId="293C5999" w14:textId="77777777" w:rsidTr="00F31802">
        <w:trPr>
          <w:trHeight w:val="330"/>
        </w:trPr>
        <w:tc>
          <w:tcPr>
            <w:tcW w:w="1378" w:type="pct"/>
            <w:tcBorders>
              <w:top w:val="single" w:sz="4" w:space="0" w:color="auto"/>
            </w:tcBorders>
            <w:vAlign w:val="center"/>
          </w:tcPr>
          <w:p w14:paraId="690BCDF0" w14:textId="77777777" w:rsidR="008B0CC0" w:rsidRPr="00B75C69" w:rsidRDefault="008B0CC0" w:rsidP="00F31802">
            <w:pPr>
              <w:jc w:val="right"/>
              <w:rPr>
                <w:rFonts w:ascii="Tw Cen MT" w:hAnsi="Tw Cen MT"/>
              </w:rPr>
            </w:pPr>
            <w:r w:rsidRPr="00B75C69">
              <w:rPr>
                <w:rFonts w:ascii="Tw Cen MT" w:hAnsi="Tw Cen MT"/>
              </w:rPr>
              <w:t>Habitat</w:t>
            </w:r>
            <w:r>
              <w:rPr>
                <w:rFonts w:ascii="Tw Cen MT" w:hAnsi="Tw Cen MT"/>
              </w:rPr>
              <w:t xml:space="preserve"> or Vegetation</w:t>
            </w:r>
          </w:p>
        </w:tc>
        <w:tc>
          <w:tcPr>
            <w:tcW w:w="282" w:type="pct"/>
            <w:tcBorders>
              <w:top w:val="single" w:sz="4" w:space="0" w:color="auto"/>
            </w:tcBorders>
          </w:tcPr>
          <w:p w14:paraId="04E84C5A" w14:textId="77777777" w:rsidR="008B0CC0" w:rsidRPr="00B75C69" w:rsidRDefault="008B0CC0" w:rsidP="00F31802">
            <w:pPr>
              <w:jc w:val="center"/>
              <w:rPr>
                <w:rFonts w:ascii="Tw Cen MT" w:hAnsi="Tw Cen MT"/>
              </w:rPr>
            </w:pPr>
            <w:r w:rsidRPr="00B75C69">
              <w:rPr>
                <w:rFonts w:ascii="Tw Cen MT" w:hAnsi="Tw Cen MT"/>
              </w:rPr>
              <w:t>4</w:t>
            </w:r>
          </w:p>
        </w:tc>
        <w:tc>
          <w:tcPr>
            <w:tcW w:w="722" w:type="pct"/>
            <w:tcBorders>
              <w:top w:val="single" w:sz="4" w:space="0" w:color="auto"/>
            </w:tcBorders>
          </w:tcPr>
          <w:p w14:paraId="5EC5DC34" w14:textId="77777777" w:rsidR="008B0CC0" w:rsidRPr="00B75C69" w:rsidRDefault="008B0CC0" w:rsidP="00F31802">
            <w:pPr>
              <w:jc w:val="center"/>
              <w:rPr>
                <w:rFonts w:ascii="Tw Cen MT" w:hAnsi="Tw Cen MT"/>
              </w:rPr>
            </w:pPr>
            <w:r>
              <w:rPr>
                <w:rFonts w:ascii="Tw Cen MT" w:hAnsi="Tw Cen MT"/>
              </w:rPr>
              <w:t>2848.97</w:t>
            </w:r>
          </w:p>
        </w:tc>
        <w:tc>
          <w:tcPr>
            <w:tcW w:w="687" w:type="pct"/>
            <w:tcBorders>
              <w:top w:val="single" w:sz="4" w:space="0" w:color="auto"/>
            </w:tcBorders>
          </w:tcPr>
          <w:p w14:paraId="679DA9FA" w14:textId="77777777" w:rsidR="008B0CC0" w:rsidRPr="00B75C69" w:rsidRDefault="008B0CC0" w:rsidP="00F31802">
            <w:pPr>
              <w:jc w:val="center"/>
              <w:rPr>
                <w:rFonts w:ascii="Tw Cen MT" w:hAnsi="Tw Cen MT"/>
                <w:b/>
                <w:bCs/>
              </w:rPr>
            </w:pPr>
            <w:r w:rsidRPr="00B75C69">
              <w:rPr>
                <w:rFonts w:ascii="Tw Cen MT" w:hAnsi="Tw Cen MT"/>
                <w:b/>
                <w:bCs/>
              </w:rPr>
              <w:t>&lt; 0.001</w:t>
            </w:r>
          </w:p>
        </w:tc>
        <w:tc>
          <w:tcPr>
            <w:tcW w:w="151" w:type="pct"/>
            <w:tcBorders>
              <w:top w:val="single" w:sz="4" w:space="0" w:color="auto"/>
            </w:tcBorders>
          </w:tcPr>
          <w:p w14:paraId="268EDC06" w14:textId="77777777" w:rsidR="008B0CC0" w:rsidRPr="00B75C69" w:rsidRDefault="008B0CC0" w:rsidP="00F31802">
            <w:pPr>
              <w:jc w:val="center"/>
              <w:rPr>
                <w:rFonts w:ascii="Tw Cen MT" w:hAnsi="Tw Cen MT"/>
              </w:rPr>
            </w:pPr>
          </w:p>
        </w:tc>
        <w:tc>
          <w:tcPr>
            <w:tcW w:w="282" w:type="pct"/>
            <w:tcBorders>
              <w:top w:val="single" w:sz="4" w:space="0" w:color="auto"/>
            </w:tcBorders>
          </w:tcPr>
          <w:p w14:paraId="519BA3DA" w14:textId="77777777" w:rsidR="008B0CC0" w:rsidRPr="00B75C69" w:rsidRDefault="008B0CC0" w:rsidP="00F31802">
            <w:pPr>
              <w:jc w:val="center"/>
              <w:rPr>
                <w:rFonts w:ascii="Tw Cen MT" w:hAnsi="Tw Cen MT"/>
              </w:rPr>
            </w:pPr>
            <w:r w:rsidRPr="00B75C69">
              <w:rPr>
                <w:rFonts w:ascii="Tw Cen MT" w:hAnsi="Tw Cen MT"/>
              </w:rPr>
              <w:t>2</w:t>
            </w:r>
          </w:p>
        </w:tc>
        <w:tc>
          <w:tcPr>
            <w:tcW w:w="812" w:type="pct"/>
            <w:tcBorders>
              <w:top w:val="single" w:sz="4" w:space="0" w:color="auto"/>
            </w:tcBorders>
          </w:tcPr>
          <w:p w14:paraId="5AE9BB95" w14:textId="77777777" w:rsidR="008B0CC0" w:rsidRPr="00B75C69" w:rsidRDefault="008B0CC0" w:rsidP="00F31802">
            <w:pPr>
              <w:jc w:val="center"/>
              <w:rPr>
                <w:rFonts w:ascii="Tw Cen MT" w:hAnsi="Tw Cen MT"/>
              </w:rPr>
            </w:pPr>
            <w:r>
              <w:rPr>
                <w:rFonts w:ascii="Tw Cen MT" w:hAnsi="Tw Cen MT"/>
              </w:rPr>
              <w:t>66.652</w:t>
            </w:r>
          </w:p>
        </w:tc>
        <w:tc>
          <w:tcPr>
            <w:tcW w:w="687" w:type="pct"/>
            <w:tcBorders>
              <w:top w:val="single" w:sz="4" w:space="0" w:color="auto"/>
            </w:tcBorders>
          </w:tcPr>
          <w:p w14:paraId="53CE37B7" w14:textId="77777777" w:rsidR="008B0CC0" w:rsidRPr="00B75C69" w:rsidRDefault="008B0CC0" w:rsidP="00F31802">
            <w:pPr>
              <w:jc w:val="center"/>
              <w:rPr>
                <w:rFonts w:ascii="Tw Cen MT" w:hAnsi="Tw Cen MT"/>
                <w:b/>
                <w:bCs/>
              </w:rPr>
            </w:pPr>
            <w:r w:rsidRPr="00B75C69">
              <w:rPr>
                <w:rFonts w:ascii="Tw Cen MT" w:hAnsi="Tw Cen MT"/>
                <w:b/>
                <w:bCs/>
              </w:rPr>
              <w:t>&lt; 0.001</w:t>
            </w:r>
          </w:p>
        </w:tc>
      </w:tr>
      <w:tr w:rsidR="008B0CC0" w:rsidRPr="00B75C69" w14:paraId="0787B3C0" w14:textId="77777777" w:rsidTr="00F31802">
        <w:trPr>
          <w:trHeight w:val="314"/>
        </w:trPr>
        <w:tc>
          <w:tcPr>
            <w:tcW w:w="1378" w:type="pct"/>
            <w:vAlign w:val="center"/>
          </w:tcPr>
          <w:p w14:paraId="0B460E90" w14:textId="77777777" w:rsidR="008B0CC0" w:rsidRPr="00B75C69" w:rsidRDefault="008B0CC0" w:rsidP="00F31802">
            <w:pPr>
              <w:jc w:val="right"/>
              <w:rPr>
                <w:rFonts w:ascii="Tw Cen MT" w:hAnsi="Tw Cen MT"/>
              </w:rPr>
            </w:pPr>
            <w:r w:rsidRPr="00B75C69">
              <w:rPr>
                <w:rFonts w:ascii="Tw Cen MT" w:hAnsi="Tw Cen MT"/>
              </w:rPr>
              <w:t>Transect</w:t>
            </w:r>
          </w:p>
        </w:tc>
        <w:tc>
          <w:tcPr>
            <w:tcW w:w="282" w:type="pct"/>
          </w:tcPr>
          <w:p w14:paraId="19A964D6" w14:textId="77777777" w:rsidR="008B0CC0" w:rsidRPr="00B75C69" w:rsidRDefault="008B0CC0" w:rsidP="00F31802">
            <w:pPr>
              <w:jc w:val="center"/>
              <w:rPr>
                <w:rFonts w:ascii="Tw Cen MT" w:hAnsi="Tw Cen MT"/>
              </w:rPr>
            </w:pPr>
            <w:r w:rsidRPr="00B75C69">
              <w:rPr>
                <w:rFonts w:ascii="Tw Cen MT" w:hAnsi="Tw Cen MT"/>
              </w:rPr>
              <w:t>2</w:t>
            </w:r>
          </w:p>
        </w:tc>
        <w:tc>
          <w:tcPr>
            <w:tcW w:w="722" w:type="pct"/>
          </w:tcPr>
          <w:p w14:paraId="128E13E7" w14:textId="77777777" w:rsidR="008B0CC0" w:rsidRPr="00B75C69" w:rsidRDefault="008B0CC0" w:rsidP="00F31802">
            <w:pPr>
              <w:jc w:val="center"/>
              <w:rPr>
                <w:rFonts w:ascii="Tw Cen MT" w:hAnsi="Tw Cen MT"/>
              </w:rPr>
            </w:pPr>
            <w:r>
              <w:rPr>
                <w:rFonts w:ascii="Tw Cen MT" w:hAnsi="Tw Cen MT"/>
              </w:rPr>
              <w:t>3.694</w:t>
            </w:r>
          </w:p>
        </w:tc>
        <w:tc>
          <w:tcPr>
            <w:tcW w:w="687" w:type="pct"/>
          </w:tcPr>
          <w:p w14:paraId="6F9E3432" w14:textId="77777777" w:rsidR="008B0CC0" w:rsidRPr="00F7786A" w:rsidRDefault="008B0CC0" w:rsidP="00F31802">
            <w:pPr>
              <w:jc w:val="center"/>
              <w:rPr>
                <w:rFonts w:ascii="Tw Cen MT" w:hAnsi="Tw Cen MT"/>
              </w:rPr>
            </w:pPr>
            <w:r>
              <w:rPr>
                <w:rFonts w:ascii="Tw Cen MT" w:hAnsi="Tw Cen MT"/>
              </w:rPr>
              <w:t>0.157</w:t>
            </w:r>
          </w:p>
        </w:tc>
        <w:tc>
          <w:tcPr>
            <w:tcW w:w="151" w:type="pct"/>
          </w:tcPr>
          <w:p w14:paraId="2345539C" w14:textId="77777777" w:rsidR="008B0CC0" w:rsidRPr="00B75C69" w:rsidRDefault="008B0CC0" w:rsidP="00F31802">
            <w:pPr>
              <w:jc w:val="center"/>
              <w:rPr>
                <w:rFonts w:ascii="Tw Cen MT" w:hAnsi="Tw Cen MT"/>
              </w:rPr>
            </w:pPr>
          </w:p>
        </w:tc>
        <w:tc>
          <w:tcPr>
            <w:tcW w:w="282" w:type="pct"/>
          </w:tcPr>
          <w:p w14:paraId="35A53B4C" w14:textId="77777777" w:rsidR="008B0CC0" w:rsidRPr="00B75C69" w:rsidRDefault="008B0CC0" w:rsidP="00F31802">
            <w:pPr>
              <w:jc w:val="center"/>
              <w:rPr>
                <w:rFonts w:ascii="Tw Cen MT" w:hAnsi="Tw Cen MT"/>
              </w:rPr>
            </w:pPr>
            <w:r w:rsidRPr="00B75C69">
              <w:rPr>
                <w:rFonts w:ascii="Tw Cen MT" w:hAnsi="Tw Cen MT"/>
              </w:rPr>
              <w:t>2</w:t>
            </w:r>
          </w:p>
        </w:tc>
        <w:tc>
          <w:tcPr>
            <w:tcW w:w="812" w:type="pct"/>
          </w:tcPr>
          <w:p w14:paraId="1EE0B238" w14:textId="77777777" w:rsidR="008B0CC0" w:rsidRPr="00B75C69" w:rsidRDefault="008B0CC0" w:rsidP="00F31802">
            <w:pPr>
              <w:jc w:val="center"/>
              <w:rPr>
                <w:rFonts w:ascii="Tw Cen MT" w:hAnsi="Tw Cen MT"/>
              </w:rPr>
            </w:pPr>
            <w:r>
              <w:rPr>
                <w:rFonts w:ascii="Tw Cen MT" w:hAnsi="Tw Cen MT"/>
              </w:rPr>
              <w:t>0.215</w:t>
            </w:r>
          </w:p>
        </w:tc>
        <w:tc>
          <w:tcPr>
            <w:tcW w:w="687" w:type="pct"/>
          </w:tcPr>
          <w:p w14:paraId="2D21DF7E" w14:textId="77777777" w:rsidR="008B0CC0" w:rsidRPr="00726608" w:rsidRDefault="008B0CC0" w:rsidP="00F31802">
            <w:pPr>
              <w:jc w:val="center"/>
              <w:rPr>
                <w:rFonts w:ascii="Tw Cen MT" w:hAnsi="Tw Cen MT"/>
              </w:rPr>
            </w:pPr>
            <w:r w:rsidRPr="00726608">
              <w:rPr>
                <w:rFonts w:ascii="Tw Cen MT" w:hAnsi="Tw Cen MT"/>
              </w:rPr>
              <w:t>0.898</w:t>
            </w:r>
          </w:p>
        </w:tc>
      </w:tr>
      <w:tr w:rsidR="008B0CC0" w:rsidRPr="00B75C69" w14:paraId="3226887F" w14:textId="77777777" w:rsidTr="00F31802">
        <w:trPr>
          <w:trHeight w:val="314"/>
        </w:trPr>
        <w:tc>
          <w:tcPr>
            <w:tcW w:w="1378" w:type="pct"/>
            <w:tcBorders>
              <w:bottom w:val="single" w:sz="4" w:space="0" w:color="auto"/>
            </w:tcBorders>
            <w:vAlign w:val="center"/>
          </w:tcPr>
          <w:p w14:paraId="7C079175" w14:textId="77777777" w:rsidR="008B0CC0" w:rsidRPr="00B75C69" w:rsidRDefault="008B0CC0" w:rsidP="00F31802">
            <w:pPr>
              <w:jc w:val="right"/>
              <w:rPr>
                <w:rFonts w:ascii="Tw Cen MT" w:hAnsi="Tw Cen MT"/>
              </w:rPr>
            </w:pPr>
            <w:r w:rsidRPr="00B75C69">
              <w:rPr>
                <w:rFonts w:ascii="Tw Cen MT" w:hAnsi="Tw Cen MT"/>
              </w:rPr>
              <w:t>Habitat</w:t>
            </w:r>
            <w:r>
              <w:rPr>
                <w:rFonts w:ascii="Tw Cen MT" w:hAnsi="Tw Cen MT"/>
              </w:rPr>
              <w:t xml:space="preserve"> or Vegetation</w:t>
            </w:r>
            <w:r w:rsidRPr="00B75C69">
              <w:rPr>
                <w:rFonts w:ascii="Tw Cen MT" w:hAnsi="Tw Cen MT"/>
              </w:rPr>
              <w:t xml:space="preserve"> </w:t>
            </w:r>
            <w:r w:rsidRPr="008B27BA">
              <w:rPr>
                <w:rFonts w:ascii="Tw Cen MT" w:hAnsi="Tw Cen MT"/>
              </w:rPr>
              <w:t>×</w:t>
            </w:r>
            <w:r>
              <w:rPr>
                <w:rFonts w:ascii="Tw Cen MT" w:hAnsi="Tw Cen MT"/>
              </w:rPr>
              <w:t xml:space="preserve"> </w:t>
            </w:r>
            <w:r w:rsidRPr="00B75C69">
              <w:rPr>
                <w:rFonts w:ascii="Tw Cen MT" w:hAnsi="Tw Cen MT"/>
              </w:rPr>
              <w:t>Transect</w:t>
            </w:r>
          </w:p>
        </w:tc>
        <w:tc>
          <w:tcPr>
            <w:tcW w:w="282" w:type="pct"/>
            <w:tcBorders>
              <w:bottom w:val="single" w:sz="4" w:space="0" w:color="auto"/>
            </w:tcBorders>
          </w:tcPr>
          <w:p w14:paraId="496424FF" w14:textId="77777777" w:rsidR="008B0CC0" w:rsidRPr="00B75C69" w:rsidRDefault="008B0CC0" w:rsidP="00F31802">
            <w:pPr>
              <w:jc w:val="center"/>
              <w:rPr>
                <w:rFonts w:ascii="Tw Cen MT" w:hAnsi="Tw Cen MT"/>
              </w:rPr>
            </w:pPr>
            <w:r w:rsidRPr="00B75C69">
              <w:rPr>
                <w:rFonts w:ascii="Tw Cen MT" w:hAnsi="Tw Cen MT"/>
              </w:rPr>
              <w:t>8</w:t>
            </w:r>
          </w:p>
        </w:tc>
        <w:tc>
          <w:tcPr>
            <w:tcW w:w="722" w:type="pct"/>
            <w:tcBorders>
              <w:bottom w:val="single" w:sz="4" w:space="0" w:color="auto"/>
            </w:tcBorders>
          </w:tcPr>
          <w:p w14:paraId="21EC2F44" w14:textId="77777777" w:rsidR="008B0CC0" w:rsidRPr="00B75C69" w:rsidRDefault="008B0CC0" w:rsidP="00F31802">
            <w:pPr>
              <w:jc w:val="center"/>
              <w:rPr>
                <w:rFonts w:ascii="Tw Cen MT" w:hAnsi="Tw Cen MT"/>
              </w:rPr>
            </w:pPr>
            <w:r>
              <w:rPr>
                <w:rFonts w:ascii="Tw Cen MT" w:hAnsi="Tw Cen MT"/>
              </w:rPr>
              <w:t>3.062</w:t>
            </w:r>
          </w:p>
        </w:tc>
        <w:tc>
          <w:tcPr>
            <w:tcW w:w="687" w:type="pct"/>
            <w:tcBorders>
              <w:bottom w:val="single" w:sz="4" w:space="0" w:color="auto"/>
            </w:tcBorders>
          </w:tcPr>
          <w:p w14:paraId="7CDE1B5E" w14:textId="77777777" w:rsidR="008B0CC0" w:rsidRPr="00B75C69" w:rsidRDefault="008B0CC0" w:rsidP="00F31802">
            <w:pPr>
              <w:jc w:val="center"/>
              <w:rPr>
                <w:rFonts w:ascii="Tw Cen MT" w:hAnsi="Tw Cen MT"/>
              </w:rPr>
            </w:pPr>
            <w:r>
              <w:rPr>
                <w:rFonts w:ascii="Tw Cen MT" w:hAnsi="Tw Cen MT"/>
              </w:rPr>
              <w:t>0.930</w:t>
            </w:r>
          </w:p>
        </w:tc>
        <w:tc>
          <w:tcPr>
            <w:tcW w:w="151" w:type="pct"/>
            <w:tcBorders>
              <w:bottom w:val="single" w:sz="4" w:space="0" w:color="auto"/>
            </w:tcBorders>
          </w:tcPr>
          <w:p w14:paraId="6FCCD2EA" w14:textId="77777777" w:rsidR="008B0CC0" w:rsidRPr="00B75C69" w:rsidRDefault="008B0CC0" w:rsidP="00F31802">
            <w:pPr>
              <w:jc w:val="center"/>
              <w:rPr>
                <w:rFonts w:ascii="Tw Cen MT" w:hAnsi="Tw Cen MT"/>
              </w:rPr>
            </w:pPr>
          </w:p>
        </w:tc>
        <w:tc>
          <w:tcPr>
            <w:tcW w:w="282" w:type="pct"/>
            <w:tcBorders>
              <w:bottom w:val="single" w:sz="4" w:space="0" w:color="auto"/>
            </w:tcBorders>
          </w:tcPr>
          <w:p w14:paraId="1FC45F42" w14:textId="77777777" w:rsidR="008B0CC0" w:rsidRPr="00B75C69" w:rsidRDefault="008B0CC0" w:rsidP="00F31802">
            <w:pPr>
              <w:jc w:val="center"/>
              <w:rPr>
                <w:rFonts w:ascii="Tw Cen MT" w:hAnsi="Tw Cen MT"/>
              </w:rPr>
            </w:pPr>
            <w:r w:rsidRPr="00B75C69">
              <w:rPr>
                <w:rFonts w:ascii="Tw Cen MT" w:hAnsi="Tw Cen MT"/>
              </w:rPr>
              <w:t>4</w:t>
            </w:r>
          </w:p>
        </w:tc>
        <w:tc>
          <w:tcPr>
            <w:tcW w:w="812" w:type="pct"/>
            <w:tcBorders>
              <w:bottom w:val="single" w:sz="4" w:space="0" w:color="auto"/>
            </w:tcBorders>
          </w:tcPr>
          <w:p w14:paraId="4B873161" w14:textId="77777777" w:rsidR="008B0CC0" w:rsidRPr="00B75C69" w:rsidRDefault="008B0CC0" w:rsidP="00F31802">
            <w:pPr>
              <w:jc w:val="center"/>
              <w:rPr>
                <w:rFonts w:ascii="Tw Cen MT" w:hAnsi="Tw Cen MT"/>
              </w:rPr>
            </w:pPr>
            <w:r>
              <w:rPr>
                <w:rFonts w:ascii="Tw Cen MT" w:hAnsi="Tw Cen MT"/>
              </w:rPr>
              <w:t>3.316</w:t>
            </w:r>
          </w:p>
        </w:tc>
        <w:tc>
          <w:tcPr>
            <w:tcW w:w="687" w:type="pct"/>
            <w:tcBorders>
              <w:bottom w:val="single" w:sz="4" w:space="0" w:color="auto"/>
            </w:tcBorders>
          </w:tcPr>
          <w:p w14:paraId="1C7E3E3E" w14:textId="77777777" w:rsidR="008B0CC0" w:rsidRPr="00B75C69" w:rsidRDefault="008B0CC0" w:rsidP="00F31802">
            <w:pPr>
              <w:jc w:val="center"/>
              <w:rPr>
                <w:rFonts w:ascii="Tw Cen MT" w:hAnsi="Tw Cen MT"/>
              </w:rPr>
            </w:pPr>
            <w:r w:rsidRPr="00B75C69">
              <w:rPr>
                <w:rFonts w:ascii="Tw Cen MT" w:hAnsi="Tw Cen MT"/>
              </w:rPr>
              <w:t>0.</w:t>
            </w:r>
            <w:r>
              <w:rPr>
                <w:rFonts w:ascii="Tw Cen MT" w:hAnsi="Tw Cen MT"/>
              </w:rPr>
              <w:t>507</w:t>
            </w:r>
          </w:p>
        </w:tc>
      </w:tr>
      <w:tr w:rsidR="008B0CC0" w:rsidRPr="00B75C69" w14:paraId="79F09BC3" w14:textId="77777777" w:rsidTr="00F31802">
        <w:trPr>
          <w:trHeight w:val="314"/>
        </w:trPr>
        <w:tc>
          <w:tcPr>
            <w:tcW w:w="5000" w:type="pct"/>
            <w:gridSpan w:val="8"/>
            <w:tcBorders>
              <w:top w:val="single" w:sz="4" w:space="0" w:color="auto"/>
            </w:tcBorders>
            <w:vAlign w:val="center"/>
          </w:tcPr>
          <w:p w14:paraId="0B4F3DEA" w14:textId="77777777" w:rsidR="008B0CC0" w:rsidRPr="00B35064" w:rsidRDefault="008B0CC0" w:rsidP="00F31802">
            <w:pPr>
              <w:rPr>
                <w:rFonts w:ascii="Tw Cen MT" w:hAnsi="Tw Cen MT"/>
                <w:i/>
                <w:iCs/>
                <w:sz w:val="18"/>
                <w:szCs w:val="18"/>
              </w:rPr>
            </w:pPr>
            <w:r w:rsidRPr="00B35064">
              <w:rPr>
                <w:rFonts w:ascii="Tw Cen MT" w:hAnsi="Tw Cen MT"/>
                <w:i/>
                <w:iCs/>
                <w:sz w:val="18"/>
                <w:szCs w:val="18"/>
              </w:rPr>
              <w:t xml:space="preserve">Dispersion parameter for negative binomial family: </w:t>
            </w:r>
            <w:r w:rsidRPr="00F7786A">
              <w:rPr>
                <w:rFonts w:ascii="Tw Cen MT" w:hAnsi="Tw Cen MT"/>
                <w:i/>
                <w:iCs/>
                <w:sz w:val="18"/>
                <w:szCs w:val="18"/>
              </w:rPr>
              <w:t xml:space="preserve">5.78 </w:t>
            </w:r>
            <w:r w:rsidRPr="00B35064">
              <w:rPr>
                <w:rFonts w:ascii="Tw Cen MT" w:hAnsi="Tw Cen MT"/>
                <w:i/>
                <w:iCs/>
                <w:sz w:val="18"/>
                <w:szCs w:val="18"/>
              </w:rPr>
              <w:t xml:space="preserve">(salt marsh), </w:t>
            </w:r>
            <w:r w:rsidRPr="00F7786A">
              <w:rPr>
                <w:rFonts w:ascii="Tw Cen MT" w:hAnsi="Tw Cen MT"/>
                <w:i/>
                <w:iCs/>
                <w:sz w:val="18"/>
                <w:szCs w:val="18"/>
              </w:rPr>
              <w:t xml:space="preserve">0.528 </w:t>
            </w:r>
            <w:r w:rsidRPr="00B35064">
              <w:rPr>
                <w:rFonts w:ascii="Tw Cen MT" w:hAnsi="Tw Cen MT"/>
                <w:i/>
                <w:iCs/>
                <w:sz w:val="18"/>
                <w:szCs w:val="18"/>
              </w:rPr>
              <w:t>(mangrove forests)</w:t>
            </w:r>
            <w:r>
              <w:rPr>
                <w:rFonts w:ascii="Tw Cen MT" w:hAnsi="Tw Cen MT"/>
                <w:i/>
                <w:iCs/>
                <w:sz w:val="18"/>
                <w:szCs w:val="18"/>
              </w:rPr>
              <w:t xml:space="preserve">. </w:t>
            </w:r>
            <w:r w:rsidRPr="00B35064">
              <w:rPr>
                <w:rFonts w:ascii="Tw Cen MT" w:hAnsi="Tw Cen MT"/>
                <w:i/>
                <w:iCs/>
                <w:sz w:val="18"/>
                <w:szCs w:val="18"/>
              </w:rPr>
              <w:t xml:space="preserve">P-values less than 0.05 are in </w:t>
            </w:r>
            <w:r w:rsidRPr="00B35064">
              <w:rPr>
                <w:rFonts w:ascii="Tw Cen MT" w:hAnsi="Tw Cen MT"/>
                <w:b/>
                <w:bCs/>
                <w:i/>
                <w:iCs/>
                <w:sz w:val="18"/>
                <w:szCs w:val="18"/>
              </w:rPr>
              <w:t>bold</w:t>
            </w:r>
            <w:r w:rsidRPr="00B35064">
              <w:rPr>
                <w:rFonts w:ascii="Tw Cen MT" w:hAnsi="Tw Cen MT"/>
                <w:i/>
                <w:iCs/>
                <w:sz w:val="18"/>
                <w:szCs w:val="18"/>
              </w:rPr>
              <w:t>.</w:t>
            </w:r>
          </w:p>
          <w:p w14:paraId="7A07024F" w14:textId="77777777" w:rsidR="008B0CC0" w:rsidRPr="00B75C69" w:rsidRDefault="008B0CC0" w:rsidP="00F31802">
            <w:pPr>
              <w:rPr>
                <w:rFonts w:ascii="Tw Cen MT" w:hAnsi="Tw Cen MT"/>
                <w:sz w:val="20"/>
                <w:szCs w:val="20"/>
              </w:rPr>
            </w:pPr>
          </w:p>
        </w:tc>
      </w:tr>
    </w:tbl>
    <w:p w14:paraId="5DC11314" w14:textId="77777777" w:rsidR="008B0CC0" w:rsidRDefault="008B0CC0"/>
    <w:p w14:paraId="7F59BB53" w14:textId="77777777" w:rsidR="00715629" w:rsidRDefault="00715629"/>
    <w:p w14:paraId="78EB954A" w14:textId="3FEC9DFF" w:rsidR="00715629" w:rsidRDefault="00715629">
      <w:r>
        <w:t>Methods text:</w:t>
      </w:r>
    </w:p>
    <w:p w14:paraId="12DF0FED" w14:textId="77777777" w:rsidR="00715629" w:rsidRDefault="00715629"/>
    <w:p w14:paraId="578D3277" w14:textId="6813682E" w:rsidR="00715629" w:rsidRDefault="00715629">
      <w:r w:rsidRPr="00715629">
        <w:t>We used the lme4 package (Lenth, 2018) to fit generalised linear mixed models (GLMMs) using negative binomial distributions to examine the effects of habitat type</w:t>
      </w:r>
      <w:r>
        <w:t>/vegetation</w:t>
      </w:r>
      <w:r w:rsidRPr="00715629">
        <w:t>, transect location, and their interaction on gastropod abundance and total biomass of vegetation. Location was included as a random effect to account for spatial variation. All models were summarised as ANOVA tables using the </w:t>
      </w:r>
      <w:r>
        <w:t>`</w:t>
      </w:r>
      <w:r w:rsidRPr="00715629">
        <w:t>car</w:t>
      </w:r>
      <w:r>
        <w:t>`</w:t>
      </w:r>
      <w:r w:rsidRPr="00715629">
        <w:t xml:space="preserve"> package (Fox, 2019). Initially, Type III tests were conducted to evaluate the significance of interactions. Since no significant interactions were found, </w:t>
      </w:r>
      <w:r>
        <w:t>t</w:t>
      </w:r>
      <w:r w:rsidRPr="00715629">
        <w:t>he models were re-analysed using Type II tests to evaluate the main effects without violating marginality (Fox, 2019). Post-hoc pairwise comparisons were performed using the </w:t>
      </w:r>
      <w:r>
        <w:t>`</w:t>
      </w:r>
      <w:proofErr w:type="spellStart"/>
      <w:r w:rsidRPr="00715629">
        <w:t>emmeans</w:t>
      </w:r>
      <w:proofErr w:type="spellEnd"/>
      <w:r>
        <w:t>`</w:t>
      </w:r>
      <w:r w:rsidRPr="00715629">
        <w:t xml:space="preserve"> package using Tukey-adjusted comparisons of estimated marginal means (least square means) to identify significant differences between habitat-transect combinations. The results were presented with 95% asymptotic confidence limits (ACLs) and </w:t>
      </w:r>
      <w:proofErr w:type="gramStart"/>
      <w:r w:rsidRPr="00715629">
        <w:t>back-transformed</w:t>
      </w:r>
      <w:proofErr w:type="gramEnd"/>
      <w:r w:rsidRPr="00715629">
        <w:t xml:space="preserve"> to the response scale for easier interpretation.</w:t>
      </w:r>
    </w:p>
    <w:sectPr w:rsidR="00715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w Cen MT">
    <w:panose1 w:val="020B0602020104020603"/>
    <w:charset w:val="00"/>
    <w:family w:val="swiss"/>
    <w:pitch w:val="variable"/>
    <w:sig w:usb0="00000003" w:usb1="00000000" w:usb2="00000000" w:usb3="00000000" w:csb0="00000003"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F7"/>
    <w:rsid w:val="00157BBD"/>
    <w:rsid w:val="002453F7"/>
    <w:rsid w:val="00375816"/>
    <w:rsid w:val="00412D68"/>
    <w:rsid w:val="00563BC5"/>
    <w:rsid w:val="0066594C"/>
    <w:rsid w:val="00705E76"/>
    <w:rsid w:val="00715629"/>
    <w:rsid w:val="008B0CC0"/>
    <w:rsid w:val="008F71F2"/>
    <w:rsid w:val="00A3709D"/>
    <w:rsid w:val="00B34B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227859"/>
  <w15:chartTrackingRefBased/>
  <w15:docId w15:val="{F45C16B5-7893-E54B-8BB6-671A137A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5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5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5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5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53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3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3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3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5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5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5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5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5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3F7"/>
    <w:rPr>
      <w:rFonts w:eastAsiaTheme="majorEastAsia" w:cstheme="majorBidi"/>
      <w:color w:val="272727" w:themeColor="text1" w:themeTint="D8"/>
    </w:rPr>
  </w:style>
  <w:style w:type="paragraph" w:styleId="Title">
    <w:name w:val="Title"/>
    <w:basedOn w:val="Normal"/>
    <w:next w:val="Normal"/>
    <w:link w:val="TitleChar"/>
    <w:uiPriority w:val="10"/>
    <w:qFormat/>
    <w:rsid w:val="002453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3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3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53F7"/>
    <w:rPr>
      <w:i/>
      <w:iCs/>
      <w:color w:val="404040" w:themeColor="text1" w:themeTint="BF"/>
    </w:rPr>
  </w:style>
  <w:style w:type="paragraph" w:styleId="ListParagraph">
    <w:name w:val="List Paragraph"/>
    <w:basedOn w:val="Normal"/>
    <w:uiPriority w:val="34"/>
    <w:qFormat/>
    <w:rsid w:val="002453F7"/>
    <w:pPr>
      <w:ind w:left="720"/>
      <w:contextualSpacing/>
    </w:pPr>
  </w:style>
  <w:style w:type="character" w:styleId="IntenseEmphasis">
    <w:name w:val="Intense Emphasis"/>
    <w:basedOn w:val="DefaultParagraphFont"/>
    <w:uiPriority w:val="21"/>
    <w:qFormat/>
    <w:rsid w:val="002453F7"/>
    <w:rPr>
      <w:i/>
      <w:iCs/>
      <w:color w:val="2F5496" w:themeColor="accent1" w:themeShade="BF"/>
    </w:rPr>
  </w:style>
  <w:style w:type="paragraph" w:styleId="IntenseQuote">
    <w:name w:val="Intense Quote"/>
    <w:basedOn w:val="Normal"/>
    <w:next w:val="Normal"/>
    <w:link w:val="IntenseQuoteChar"/>
    <w:uiPriority w:val="30"/>
    <w:qFormat/>
    <w:rsid w:val="00245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53F7"/>
    <w:rPr>
      <w:i/>
      <w:iCs/>
      <w:color w:val="2F5496" w:themeColor="accent1" w:themeShade="BF"/>
    </w:rPr>
  </w:style>
  <w:style w:type="character" w:styleId="IntenseReference">
    <w:name w:val="Intense Reference"/>
    <w:basedOn w:val="DefaultParagraphFont"/>
    <w:uiPriority w:val="32"/>
    <w:qFormat/>
    <w:rsid w:val="002453F7"/>
    <w:rPr>
      <w:b/>
      <w:bCs/>
      <w:smallCaps/>
      <w:color w:val="2F5496" w:themeColor="accent1" w:themeShade="BF"/>
      <w:spacing w:val="5"/>
    </w:rPr>
  </w:style>
  <w:style w:type="table" w:styleId="TableGrid">
    <w:name w:val="Table Grid"/>
    <w:basedOn w:val="TableNormal"/>
    <w:uiPriority w:val="39"/>
    <w:rsid w:val="008B0CC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 Harianto</dc:creator>
  <cp:keywords/>
  <dc:description/>
  <cp:lastModifiedBy>Januar Harianto</cp:lastModifiedBy>
  <cp:revision>3</cp:revision>
  <dcterms:created xsi:type="dcterms:W3CDTF">2024-08-23T07:25:00Z</dcterms:created>
  <dcterms:modified xsi:type="dcterms:W3CDTF">2024-08-23T07:30:00Z</dcterms:modified>
</cp:coreProperties>
</file>