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91B3A" w14:textId="77777777" w:rsidR="003D244F" w:rsidRDefault="00F72FE3" w:rsidP="009C4058">
      <w:pPr>
        <w:pStyle w:val="Title"/>
      </w:pPr>
      <w:r>
        <w:t>Atmospheric oxygen level does not alter size-specific femoral cross-sectional geometry in the American alligator (</w:t>
      </w:r>
      <w:r>
        <w:rPr>
          <w:i/>
        </w:rPr>
        <w:t>Alligator mississippiensis</w:t>
      </w:r>
      <w:r>
        <w:t>)</w:t>
      </w:r>
    </w:p>
    <w:p w14:paraId="29863486" w14:textId="77777777" w:rsidR="003D244F" w:rsidRPr="009C4058" w:rsidRDefault="00F72FE3" w:rsidP="009C4058">
      <w:pPr>
        <w:pStyle w:val="Author"/>
      </w:pPr>
      <w:r w:rsidRPr="009C4058">
        <w:t>Susan L. Lujan, Tomasz Owerkowicz, James W. Hicks, Kevin M. Middleton</w:t>
      </w:r>
    </w:p>
    <w:p w14:paraId="1C99B1DA" w14:textId="77777777" w:rsidR="003D244F" w:rsidRPr="009C4058" w:rsidRDefault="00F72FE3" w:rsidP="009C4058">
      <w:pPr>
        <w:pStyle w:val="Date"/>
      </w:pPr>
      <w:r w:rsidRPr="009C4058">
        <w:t>Last updated: 2015-07-23</w:t>
      </w:r>
    </w:p>
    <w:p w14:paraId="4F48C260" w14:textId="77777777" w:rsidR="003D244F" w:rsidRPr="009C4058" w:rsidRDefault="00F72FE3" w:rsidP="009C4058">
      <w:pPr>
        <w:pStyle w:val="Heading1"/>
      </w:pPr>
      <w:bookmarkStart w:id="0" w:name="author-info-figures"/>
      <w:bookmarkEnd w:id="0"/>
      <w:r w:rsidRPr="009C4058">
        <w:t>Author Info &amp; Figures</w:t>
      </w:r>
    </w:p>
    <w:p w14:paraId="3555AFF9" w14:textId="77777777" w:rsidR="003D244F" w:rsidRPr="009C4058" w:rsidRDefault="00F72FE3" w:rsidP="009C4058">
      <w:pPr>
        <w:pStyle w:val="Heading2"/>
      </w:pPr>
      <w:bookmarkStart w:id="1" w:name="author-information"/>
      <w:bookmarkEnd w:id="1"/>
      <w:r w:rsidRPr="009C4058">
        <w:t>Author information</w:t>
      </w:r>
    </w:p>
    <w:p w14:paraId="334CA7CB" w14:textId="77777777" w:rsidR="003D244F" w:rsidRDefault="00000000" w:rsidP="009C4058">
      <w:hyperlink r:id="rId5">
        <w:r w:rsidR="00F72FE3">
          <w:rPr>
            <w:rStyle w:val="Link"/>
          </w:rPr>
          <w:t>http://onlinelibrary.wiley.com/journal/10.1002/(ISSN)1932-8494/homepage/ForAuthors.html</w:t>
        </w:r>
      </w:hyperlink>
    </w:p>
    <w:p w14:paraId="1ECDE366" w14:textId="77777777" w:rsidR="003D244F" w:rsidRDefault="00F72FE3" w:rsidP="009C4058">
      <w:pPr>
        <w:pStyle w:val="Heading2"/>
      </w:pPr>
      <w:bookmarkStart w:id="2" w:name="figures"/>
      <w:bookmarkEnd w:id="2"/>
      <w:r>
        <w:t>Figures</w:t>
      </w:r>
    </w:p>
    <w:p w14:paraId="5B9992ED" w14:textId="77777777" w:rsidR="003D244F" w:rsidRDefault="00F72FE3" w:rsidP="009C4058">
      <w:pPr>
        <w:pStyle w:val="Compact"/>
        <w:numPr>
          <w:ilvl w:val="0"/>
          <w:numId w:val="3"/>
        </w:numPr>
      </w:pPr>
      <w:r>
        <w:t>O</w:t>
      </w:r>
      <w:r>
        <w:rPr>
          <w:vertAlign w:val="subscript"/>
        </w:rPr>
        <w:t>2</w:t>
      </w:r>
      <w:r>
        <w:t xml:space="preserve"> curve based on Berner</w:t>
      </w:r>
    </w:p>
    <w:p w14:paraId="2DA663E4" w14:textId="77777777" w:rsidR="003D244F" w:rsidRDefault="00F72FE3" w:rsidP="009C4058">
      <w:pPr>
        <w:pStyle w:val="Compact"/>
        <w:numPr>
          <w:ilvl w:val="0"/>
          <w:numId w:val="3"/>
        </w:numPr>
      </w:pPr>
      <w:r>
        <w:t>Femoral length growth</w:t>
      </w:r>
    </w:p>
    <w:p w14:paraId="6352FAD7" w14:textId="77777777" w:rsidR="003D244F" w:rsidRDefault="00F72FE3" w:rsidP="009C4058">
      <w:pPr>
        <w:pStyle w:val="Compact"/>
        <w:numPr>
          <w:ilvl w:val="0"/>
          <w:numId w:val="3"/>
        </w:numPr>
      </w:pPr>
      <w:r>
        <w:t>Example cross sectional image</w:t>
      </w:r>
    </w:p>
    <w:p w14:paraId="016E0238" w14:textId="77777777" w:rsidR="003D244F" w:rsidRDefault="00F72FE3" w:rsidP="009C4058">
      <w:pPr>
        <w:pStyle w:val="Compact"/>
        <w:numPr>
          <w:ilvl w:val="0"/>
          <w:numId w:val="3"/>
        </w:numPr>
      </w:pPr>
      <w:r>
        <w:t>CSA</w:t>
      </w:r>
    </w:p>
    <w:p w14:paraId="7457D856" w14:textId="77777777" w:rsidR="003D244F" w:rsidRDefault="00F72FE3" w:rsidP="009C4058">
      <w:pPr>
        <w:pStyle w:val="Compact"/>
        <w:numPr>
          <w:ilvl w:val="0"/>
          <w:numId w:val="3"/>
        </w:numPr>
      </w:pPr>
      <w:r>
        <w:t>I_DV</w:t>
      </w:r>
    </w:p>
    <w:p w14:paraId="69134BB5" w14:textId="77777777" w:rsidR="003D244F" w:rsidRDefault="00F72FE3" w:rsidP="009C4058">
      <w:pPr>
        <w:pStyle w:val="Compact"/>
        <w:numPr>
          <w:ilvl w:val="0"/>
          <w:numId w:val="3"/>
        </w:numPr>
      </w:pPr>
      <w:r>
        <w:t>Jstd</w:t>
      </w:r>
    </w:p>
    <w:p w14:paraId="244C5CDC" w14:textId="77777777" w:rsidR="003D244F" w:rsidRDefault="00F72FE3" w:rsidP="009C4058">
      <w:pPr>
        <w:pStyle w:val="Compact"/>
        <w:numPr>
          <w:ilvl w:val="0"/>
          <w:numId w:val="3"/>
        </w:numPr>
      </w:pPr>
      <w:r>
        <w:t>Z_DV</w:t>
      </w:r>
    </w:p>
    <w:p w14:paraId="2093324D" w14:textId="77777777" w:rsidR="003D244F" w:rsidRDefault="00F72FE3" w:rsidP="009C4058">
      <w:pPr>
        <w:pStyle w:val="Heading2"/>
      </w:pPr>
      <w:bookmarkStart w:id="3" w:name="tables"/>
      <w:bookmarkEnd w:id="3"/>
      <w:r>
        <w:t>Tables</w:t>
      </w:r>
    </w:p>
    <w:p w14:paraId="49FD674C" w14:textId="77777777" w:rsidR="003D244F" w:rsidRDefault="00F72FE3" w:rsidP="009C4058">
      <w:pPr>
        <w:pStyle w:val="Compact"/>
        <w:numPr>
          <w:ilvl w:val="0"/>
          <w:numId w:val="4"/>
        </w:numPr>
      </w:pPr>
      <w:r>
        <w:t>Clutch to treatment groups</w:t>
      </w:r>
    </w:p>
    <w:p w14:paraId="1970B8B6" w14:textId="77777777" w:rsidR="003D244F" w:rsidRDefault="00F72FE3" w:rsidP="009C4058">
      <w:pPr>
        <w:pStyle w:val="Compact"/>
        <w:numPr>
          <w:ilvl w:val="0"/>
          <w:numId w:val="4"/>
        </w:numPr>
      </w:pPr>
      <w:r>
        <w:t>ANCOVA results summary</w:t>
      </w:r>
    </w:p>
    <w:p w14:paraId="146AD963" w14:textId="77777777" w:rsidR="003D244F" w:rsidRDefault="00F72FE3" w:rsidP="009C4058">
      <w:pPr>
        <w:pStyle w:val="Heading2"/>
      </w:pPr>
      <w:bookmarkStart w:id="4" w:name="issues-and-questions"/>
      <w:bookmarkEnd w:id="4"/>
      <w:r>
        <w:t>Issues and Questions</w:t>
      </w:r>
    </w:p>
    <w:p w14:paraId="62227870" w14:textId="77777777" w:rsidR="003D244F" w:rsidRDefault="00F72FE3" w:rsidP="009C4058">
      <w:pPr>
        <w:pStyle w:val="Compact"/>
        <w:numPr>
          <w:ilvl w:val="0"/>
          <w:numId w:val="5"/>
        </w:numPr>
      </w:pPr>
      <w:r>
        <w:t>Cartilage cap problem</w:t>
      </w:r>
    </w:p>
    <w:p w14:paraId="5F7359D8" w14:textId="77777777" w:rsidR="003D244F" w:rsidRDefault="00F72FE3" w:rsidP="009C4058">
      <w:pPr>
        <w:pStyle w:val="Compact"/>
        <w:numPr>
          <w:ilvl w:val="0"/>
          <w:numId w:val="5"/>
        </w:numPr>
      </w:pPr>
      <w:r>
        <w:t>Mass data</w:t>
      </w:r>
    </w:p>
    <w:p w14:paraId="674AA8A8" w14:textId="77777777" w:rsidR="003D244F" w:rsidRDefault="00F72FE3" w:rsidP="009C4058">
      <w:pPr>
        <w:pStyle w:val="Compact"/>
        <w:numPr>
          <w:ilvl w:val="0"/>
          <w:numId w:val="5"/>
        </w:numPr>
      </w:pPr>
      <w:r>
        <w:t>Export library as "Better BibTeX", no abbreviations</w:t>
      </w:r>
    </w:p>
    <w:p w14:paraId="3635122B" w14:textId="77777777" w:rsidR="003D244F" w:rsidRDefault="003D244F" w:rsidP="009C4058"/>
    <w:p w14:paraId="2D06CCFF" w14:textId="77777777" w:rsidR="003D244F" w:rsidRDefault="00F72FE3" w:rsidP="009C4058">
      <w:pPr>
        <w:pStyle w:val="Heading1"/>
      </w:pPr>
      <w:bookmarkStart w:id="5" w:name="abstract"/>
      <w:bookmarkEnd w:id="5"/>
      <w:r>
        <w:t>Abstract</w:t>
      </w:r>
    </w:p>
    <w:p w14:paraId="78F31026" w14:textId="77777777" w:rsidR="003D244F" w:rsidRDefault="003D244F" w:rsidP="009C4058"/>
    <w:p w14:paraId="1FBF86E1" w14:textId="77777777" w:rsidR="003D244F" w:rsidRDefault="00F72FE3" w:rsidP="009C4058">
      <w:pPr>
        <w:pStyle w:val="Heading1"/>
      </w:pPr>
      <w:bookmarkStart w:id="6" w:name="intro-outline"/>
      <w:bookmarkEnd w:id="6"/>
      <w:r>
        <w:lastRenderedPageBreak/>
        <w:t>Intro Outline</w:t>
      </w:r>
    </w:p>
    <w:p w14:paraId="11A62FFF" w14:textId="77777777" w:rsidR="003D244F" w:rsidRDefault="00F72FE3" w:rsidP="009C4058">
      <w:pPr>
        <w:pStyle w:val="Compact"/>
        <w:numPr>
          <w:ilvl w:val="0"/>
          <w:numId w:val="6"/>
        </w:numPr>
      </w:pPr>
      <w:r>
        <w:t>Oxygen is important for physiology.</w:t>
      </w:r>
    </w:p>
    <w:p w14:paraId="2F8BFD57" w14:textId="77777777" w:rsidR="003D244F" w:rsidRDefault="00F72FE3" w:rsidP="009C4058">
      <w:pPr>
        <w:pStyle w:val="Compact"/>
        <w:numPr>
          <w:ilvl w:val="0"/>
          <w:numId w:val="6"/>
        </w:numPr>
      </w:pPr>
      <w:r>
        <w:t>Oxygen levels have varied over geologic time.</w:t>
      </w:r>
    </w:p>
    <w:p w14:paraId="2882B2D2" w14:textId="77777777" w:rsidR="003D244F" w:rsidRDefault="00F72FE3" w:rsidP="009C4058">
      <w:pPr>
        <w:pStyle w:val="Compact"/>
        <w:numPr>
          <w:ilvl w:val="0"/>
          <w:numId w:val="6"/>
        </w:numPr>
      </w:pPr>
      <w:r>
        <w:t>Estimates of pO</w:t>
      </w:r>
      <w:r>
        <w:rPr>
          <w:vertAlign w:val="subscript"/>
        </w:rPr>
        <w:t>2</w:t>
      </w:r>
      <w:r>
        <w:t xml:space="preserve"> have also varied. So we are not sure of the exact levels.</w:t>
      </w:r>
    </w:p>
    <w:p w14:paraId="3912EF51" w14:textId="77777777" w:rsidR="003D244F" w:rsidRDefault="00F72FE3" w:rsidP="009C4058">
      <w:pPr>
        <w:pStyle w:val="Compact"/>
        <w:numPr>
          <w:ilvl w:val="0"/>
          <w:numId w:val="6"/>
        </w:numPr>
      </w:pPr>
      <w:r>
        <w:t xml:space="preserve">The ancestors of alligators arose during substantial hyperoxia (Archosauria), slight hyperoxia (Crocodyliformes, </w:t>
      </w:r>
      <w:r>
        <w:rPr>
          <w:i/>
        </w:rPr>
        <w:t>sensu</w:t>
      </w:r>
      <w:r>
        <w:t xml:space="preserve"> Berner 2009), and essentially normoxia (</w:t>
      </w:r>
      <w:r>
        <w:rPr>
          <w:i/>
        </w:rPr>
        <w:t>Alligator</w:t>
      </w:r>
      <w:r>
        <w:t>).</w:t>
      </w:r>
    </w:p>
    <w:p w14:paraId="2673C5C7" w14:textId="77777777" w:rsidR="003D244F" w:rsidRDefault="00F72FE3" w:rsidP="009C4058">
      <w:pPr>
        <w:pStyle w:val="Compact"/>
        <w:numPr>
          <w:ilvl w:val="0"/>
          <w:numId w:val="6"/>
        </w:numPr>
      </w:pPr>
      <w:r>
        <w:t>Atmospheric oxygen has the potential to alter tissue-level oxygen availability, which may affect bone morphology (among other things: cardiopulmonary physiology, digestion, muscle physiology).</w:t>
      </w:r>
    </w:p>
    <w:p w14:paraId="4277247B" w14:textId="77777777" w:rsidR="003D244F" w:rsidRDefault="00F72FE3" w:rsidP="009C4058">
      <w:pPr>
        <w:pStyle w:val="Compact"/>
        <w:numPr>
          <w:ilvl w:val="0"/>
          <w:numId w:val="6"/>
        </w:numPr>
      </w:pPr>
      <w:r>
        <w:t>Bone morphology influences locomotor performance.</w:t>
      </w:r>
    </w:p>
    <w:p w14:paraId="6FBF5D92" w14:textId="77777777" w:rsidR="003D244F" w:rsidRDefault="00F72FE3" w:rsidP="009C4058">
      <w:pPr>
        <w:pStyle w:val="Compact"/>
        <w:numPr>
          <w:ilvl w:val="0"/>
          <w:numId w:val="6"/>
        </w:numPr>
      </w:pPr>
      <w:r>
        <w:t>If we are to successfully infer cross-sectional biomechanics from fossils, we need to know whether bone is plastic in response to the atmosphere.</w:t>
      </w:r>
    </w:p>
    <w:p w14:paraId="1B75908B" w14:textId="77777777" w:rsidR="003D244F" w:rsidRDefault="00F72FE3" w:rsidP="009C4058">
      <w:pPr>
        <w:pStyle w:val="Compact"/>
        <w:numPr>
          <w:ilvl w:val="0"/>
          <w:numId w:val="6"/>
        </w:numPr>
      </w:pPr>
      <w:r>
        <w:t>Alligators are a good model organism.</w:t>
      </w:r>
    </w:p>
    <w:p w14:paraId="0836EA8F" w14:textId="77777777" w:rsidR="003D244F" w:rsidRDefault="00F72FE3" w:rsidP="009C4058">
      <w:pPr>
        <w:pStyle w:val="Heading1"/>
      </w:pPr>
      <w:bookmarkStart w:id="7" w:name="introduction"/>
      <w:bookmarkEnd w:id="7"/>
      <w:r>
        <w:t>Introduction</w:t>
      </w:r>
    </w:p>
    <w:p w14:paraId="3DD11D0E" w14:textId="77777777" w:rsidR="003D244F" w:rsidRDefault="00F72FE3" w:rsidP="009C4058">
      <w:r>
        <w:t xml:space="preserve">Both acute and chronic changes of atmospheric oxygen concentration potentially have profound effect on basic physiological processes and the evolutionary histories of extant organisms (Dudley 1998; Berner et al. 2007; Flück et al. 2007). For example, insects in the Paleozoic are thought to have reached very large body sizes in part due hypothesized high levels of atmospheric oxygen (Dudley 1998). </w:t>
      </w:r>
      <w:r>
        <w:rPr>
          <w:b/>
        </w:rPr>
        <w:t>xxTomasz other good examples? Mammals?</w:t>
      </w:r>
    </w:p>
    <w:p w14:paraId="1A548944" w14:textId="77777777" w:rsidR="003D244F" w:rsidRPr="009C4058" w:rsidRDefault="00F72FE3" w:rsidP="009C4058">
      <w:r w:rsidRPr="009C4058">
        <w:t xml:space="preserve">In part because of the role that organisms played in altering the environment (McAlester 1970; Graham et al. 1995; Berner et al. 2003), the initial populating of Earth's atmosphere with oxygen and its profound effects on organismal evolution have received considerable attention (McAlester 1970; Canfield 2005; Canfield et al. 2013; Crowe et al. 2013). The physiological and evolutionary implications of the comparatively more recent establishment of atmospheric oxygen to present-day atmospheric levels (Berner and Canfield 1989; Berner 1994, 1999, 2001, 2006, 2009; Berner et al. 2003, 2007) during the Phanerozoic are being explored (Graham et al. 1995, 1997; </w:t>
      </w:r>
      <w:proofErr w:type="spellStart"/>
      <w:r w:rsidRPr="009C4058">
        <w:t>Falkowski</w:t>
      </w:r>
      <w:proofErr w:type="spellEnd"/>
      <w:r w:rsidRPr="009C4058">
        <w:t xml:space="preserve"> et al. 2005; Ward et al. 2006; Whitman 2008; Harrison et al. 2010; </w:t>
      </w:r>
      <w:proofErr w:type="spellStart"/>
      <w:r w:rsidRPr="009C4058">
        <w:t>VandenBrooks</w:t>
      </w:r>
      <w:proofErr w:type="spellEnd"/>
      <w:r w:rsidRPr="009C4058">
        <w:t xml:space="preserve"> et al. 2011). Too many refs? Cite a review instead?</w:t>
      </w:r>
    </w:p>
    <w:p w14:paraId="3822ADC0" w14:textId="77777777" w:rsidR="003D244F" w:rsidRDefault="00F72FE3" w:rsidP="009C4058">
      <w:r>
        <w:t xml:space="preserve">Although present atmospheric oxygen level (PAL) is approximately 21%, it is thought to have varied considerably across the Phanerozoic (ca. 540 Ma to the Present). The evolutionary history of terrestrial vertebrates has spanned the </w:t>
      </w:r>
      <w:r>
        <w:lastRenderedPageBreak/>
        <w:t>maximum and minimum estimates for atmospheric O</w:t>
      </w:r>
      <w:r>
        <w:rPr>
          <w:vertAlign w:val="subscript"/>
        </w:rPr>
        <w:t>2</w:t>
      </w:r>
      <w:r>
        <w:t xml:space="preserve"> during this time span (Figure ). According to some atmospheric models, oxygen level is thought to have reached a peak in the Permo-Carboniferous (~300-275 Ma) at 30-35% and a low in the earliest Jurassic (~15%; Berner 2006, 2009; Glasspool and Scott 2010). Although some estimates placed the lower bound of atmospheric oxygen at ~12-13% (Berner 2006), the long-term feasibility of oxygen levels less than 15-16% has been questioned (Belcher and McElwain 2008; Belcher et al. 2010). Revised estimates have places the minimum at ~15% (Berner 2009), although alternative atmospheric models suggest hyperoxia relative to PAL since the Triassic (Glasspool and Scott 2010). Although these models lack consensus and are subject to revision, variability in atmospheric oxygen across time is without question.</w:t>
      </w:r>
    </w:p>
    <w:p w14:paraId="2570737F" w14:textId="77777777" w:rsidR="003D244F" w:rsidRDefault="00F72FE3" w:rsidP="009C4058">
      <w:r>
        <w:t>Experimental studies with extant mammals (Hunter and Clegg 1973a,b; Matsumoto et al. 2011) and reptiles (Metcalfe et al. 1981; Williams and Swift 1988; Kam 1993; Warburton et al. 1995; Dzialowski et al. 2002; Chan and Burggren 2005) have shown that acute and chronic alterations of atmospheric oxygen have significant effects both somatic growth and bone morphology. For example, moderate hypoxia in chicken results in decreased growth (Chan and Burggren 2005).</w:t>
      </w:r>
    </w:p>
    <w:p w14:paraId="660B9352" w14:textId="77777777" w:rsidR="003D244F" w:rsidRDefault="00F72FE3" w:rsidP="009C4058">
      <w:r>
        <w:t>Because soft tissues are infrequently preserved for vertebrates, inferences about limb biomechanics and locomotion are usually made based only on skeletal anatomy, shapes, and proportions. With the exception of direct evidence, e.g. such as trackways for locomotion (e.g., Gatesy et al. 1999; Gatesy 2003; Kubo and Benton 2009; McCrea et al. 2014) or nesting or feeding behavior (Horner 1982; Erickson et al. 1996; Clark et al. 1999), skeletal anatomy usually represent the only data than can be applied to such questions. An often acknowledged assumption of functional inferences is that physical and biological processes observed in extinct vertebrates function as they do in extant vertebrates (</w:t>
      </w:r>
      <w:r>
        <w:rPr>
          <w:b/>
        </w:rPr>
        <w:t>REF to Alexander? Vogel?</w:t>
      </w:r>
      <w:r>
        <w:t xml:space="preserve">). An often unstated assumption is that the environment in </w:t>
      </w:r>
      <w:r>
        <w:lastRenderedPageBreak/>
        <w:t>which extinct vertebrate were living in was similar to present day (</w:t>
      </w:r>
      <w:r>
        <w:rPr>
          <w:b/>
        </w:rPr>
        <w:t>REF to exceptions? Maybe some of the dinosaur respiratory papers? Claessens?</w:t>
      </w:r>
      <w:r>
        <w:t>).</w:t>
      </w:r>
    </w:p>
    <w:p w14:paraId="651F95DE" w14:textId="77777777" w:rsidR="003D244F" w:rsidRDefault="00F72FE3" w:rsidP="009C4058">
      <w:r>
        <w:t>Studies of long bone cross-sectional geometry have a long history both in extant (e.g., Demes et al. 1991; Demes and Jungers 1993; Cubo and Casinos 1998; Blob and Biewener 1999, 2001; Demes 2000; Blob 2000; Polk et al. 2000; Ruff 2002, 2003, 2008; Meers 2002; Habib and Ruff 2008; Middleton et al. 2008a,b, 2010; Wallace et al. 2010, 2015; Simons et al. 2011) and extinct vertebrates (Trinkaus 1997; Trinkaus and Ruff 1999; Laurin et al. 2006; Cowgill and Hager 2007; Cowgill 2007; Ruff 2008; Daegling et al. 2014; Dumont et al. 2014). Different aspects of cross-sectional shape and derived properties (area and polar moments of inertia) have been used as a proxy for limb function or locomotor ability.</w:t>
      </w:r>
    </w:p>
    <w:p w14:paraId="07C540C4" w14:textId="77777777" w:rsidR="003D244F" w:rsidRDefault="00F72FE3" w:rsidP="009C4058">
      <w:r>
        <w:t>Thus understanding skeletal plasticity in response to atmospheric oxygen levels is important because limb morphology of fossil taxa are the sole basis for many functional hypotheses and determining the magnitude of response to alterations in oxygen environment is important in understanding limits to locomotion of fossil taxa. Herein we explore the plastic response of femoral cross-sectional biomechanics in American alligators raised for up to two years in atmospheric enviroments that mimic those experienced across the evolutionary history of this clade.</w:t>
      </w:r>
    </w:p>
    <w:p w14:paraId="35524DE2" w14:textId="77777777" w:rsidR="003D244F" w:rsidRDefault="00F72FE3" w:rsidP="009C4058">
      <w:r>
        <w:t>Why alligators??? Specific question: how much do we need to consider what was going on in the ancient oxygen environment when we are doing histology.</w:t>
      </w:r>
    </w:p>
    <w:p w14:paraId="3182B729" w14:textId="77777777" w:rsidR="003D244F" w:rsidRDefault="00F72FE3" w:rsidP="009C4058">
      <w:r>
        <w:rPr>
          <w:noProof/>
        </w:rPr>
        <w:lastRenderedPageBreak/>
        <w:drawing>
          <wp:inline distT="0" distB="0" distL="0" distR="0" wp14:anchorId="1CEA5A9D" wp14:editId="65A2FE58">
            <wp:extent cx="5440680" cy="435254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Oxic_Gator_Bone_Morphology_files/figure-docx/Oxygen-1.png"/>
                    <pic:cNvPicPr>
                      <a:picLocks noChangeAspect="1" noChangeArrowheads="1"/>
                    </pic:cNvPicPr>
                  </pic:nvPicPr>
                  <pic:blipFill>
                    <a:blip r:embed="rId6"/>
                    <a:stretch>
                      <a:fillRect/>
                    </a:stretch>
                  </pic:blipFill>
                  <pic:spPr bwMode="auto">
                    <a:xfrm>
                      <a:off x="0" y="0"/>
                      <a:ext cx="5440680" cy="4352544"/>
                    </a:xfrm>
                    <a:prstGeom prst="rect">
                      <a:avLst/>
                    </a:prstGeom>
                    <a:noFill/>
                    <a:ln w="9525">
                      <a:noFill/>
                      <a:headEnd/>
                      <a:tailEnd/>
                    </a:ln>
                  </pic:spPr>
                </pic:pic>
              </a:graphicData>
            </a:graphic>
          </wp:inline>
        </w:drawing>
      </w:r>
    </w:p>
    <w:p w14:paraId="7EB9747C" w14:textId="77777777" w:rsidR="003D244F" w:rsidRDefault="00F72FE3" w:rsidP="009C4058">
      <w:pPr>
        <w:pStyle w:val="ImageCaption"/>
      </w:pPr>
      <w:r>
        <w:t>Three models for estimated oxygen levels during the past 350 Ma and major events in Alligator evolutionary history. The two gray lines show the results of Berner's 2006 and 2009 and GEOCARBSULF models, which hypothesize that hypoxia relative to PAL predominated through the Mesozoic. The black line shows estimates based on Glasspool and Scott (2010), which hypothesizes hyperoxia throughout most of the Phanerozoic, with a brief exception during the Triassic. Terrestrialization in vertebrates coincided with increased oxygen in the Permo-Carboniferous (375-280 Ma). Most of early the evolutionary history of Crocodyliformes spanned the hypoxic region during beginning ca. 200 Ma. Depending on the model, Alligator evolution has occurred primarily in hypoxia (Berner 2006, 2009) or hyeroxia (Glasspool and Scott 2010) relative to PAL (horizontal dashed line). Oxygen levels from Berner (2006, 2009) and Glasspool and Scott (2010). Divergence dates for Archosauria and Crocodyliformes follow Nesbitt (2011).</w:t>
      </w:r>
    </w:p>
    <w:p w14:paraId="2BB6BC06" w14:textId="77777777" w:rsidR="003D244F" w:rsidRDefault="00F72FE3" w:rsidP="009C4058">
      <w:pPr>
        <w:pStyle w:val="Heading1"/>
      </w:pPr>
      <w:bookmarkStart w:id="8" w:name="methods"/>
      <w:bookmarkEnd w:id="8"/>
      <w:r>
        <w:t>Methods</w:t>
      </w:r>
    </w:p>
    <w:p w14:paraId="1C57F924" w14:textId="77777777" w:rsidR="003D244F" w:rsidRDefault="00F72FE3" w:rsidP="009C4058">
      <w:pPr>
        <w:pStyle w:val="Heading2"/>
      </w:pPr>
      <w:bookmarkStart w:id="9" w:name="materials"/>
      <w:bookmarkEnd w:id="9"/>
      <w:r>
        <w:t>Materials</w:t>
      </w:r>
    </w:p>
    <w:p w14:paraId="75FD8E13" w14:textId="77777777" w:rsidR="003D244F" w:rsidRDefault="00F72FE3" w:rsidP="009C4058">
      <w:r>
        <w:t>American alligator (</w:t>
      </w:r>
      <w:r>
        <w:rPr>
          <w:i/>
        </w:rPr>
        <w:t>Alligator mississippiensis</w:t>
      </w:r>
      <w:r>
        <w:t>) eggs from eight clutches (</w:t>
      </w:r>
      <w:r>
        <w:rPr>
          <w:i/>
        </w:rPr>
        <w:t>n</w:t>
      </w:r>
      <w:r>
        <w:t xml:space="preserve"> = 179 total) were collected from the Rockefeller Wildlife Refuge (Grand Chenier, LA). </w:t>
      </w:r>
      <w:r>
        <w:lastRenderedPageBreak/>
        <w:t>Incubating, hatchling, and juvenile alligators were raised under chronic conditions of hypoxia (16% O</w:t>
      </w:r>
      <w:r>
        <w:rPr>
          <w:vertAlign w:val="subscript"/>
        </w:rPr>
        <w:t>2</w:t>
      </w:r>
      <w:r>
        <w:t>), hyperoxia (26%, 31%, and 36% O</w:t>
      </w:r>
      <w:r>
        <w:rPr>
          <w:vertAlign w:val="subscript"/>
        </w:rPr>
        <w:t>2</w:t>
      </w:r>
      <w:r>
        <w:t>), or normoxia (21% O</w:t>
      </w:r>
      <w:r>
        <w:rPr>
          <w:vertAlign w:val="subscript"/>
        </w:rPr>
        <w:t>2</w:t>
      </w:r>
      <w:r>
        <w:t>) simulating the range of Phanerozoic atmospheric oxygen levels. Alligators were maintained in their respective treatment groups from the time of collection until they were sacrificed at specified ages (2, 4, 16, 24, 52, and 104 weeks; Table 1). All procedures were approved by the University of California, Irvine Animal Care and Use Committee.</w:t>
      </w:r>
    </w:p>
    <w:p w14:paraId="1B40715B" w14:textId="77777777" w:rsidR="003D244F" w:rsidRDefault="00F72FE3" w:rsidP="009C4058">
      <w:r>
        <w:t>xxTomasz: Other husbandry information? Feeding, tank size, gators/tank, etc. What is the UCI ACUC called officially?</w:t>
      </w:r>
    </w:p>
    <w:p w14:paraId="12496CAE" w14:textId="77777777" w:rsidR="003D244F" w:rsidRDefault="00F72FE3" w:rsidP="009C4058">
      <w:pPr>
        <w:pStyle w:val="Heading2"/>
      </w:pPr>
      <w:bookmarkStart w:id="10" w:name="histological-preparation"/>
      <w:bookmarkEnd w:id="10"/>
      <w:r>
        <w:t>Histological Preparation</w:t>
      </w:r>
    </w:p>
    <w:p w14:paraId="25DB00AA" w14:textId="77777777" w:rsidR="003D244F" w:rsidRDefault="00F72FE3" w:rsidP="009C4058">
      <w:r>
        <w:t>The right femur of each specimen was dissected and prepared for histological analysis by blunt removal of soft tissue, formalin fixation (1 h), passage through a graded ethanol dehydration (1 h each 30%, 50%, 70%, 80%, 90%, 95%, 100% ethanol), and air drying (24 h). Prior to embedding, measurements were taken for each bone using digital calipers (precision = 0.01 mm), including femoral length, width and length of the proximal and distal articular surfaces, and dorsoventral and anteroposterior diameters. Measurements followed Farlow (2005).</w:t>
      </w:r>
    </w:p>
    <w:p w14:paraId="5DB54F1A" w14:textId="77777777" w:rsidR="003D244F" w:rsidRDefault="00F72FE3" w:rsidP="009C4058">
      <w:r>
        <w:t xml:space="preserve">Undecalcified ground sections were embedded in epoxy resin (EpoThin; Buehler Ltd.; Lake Bluff, IL) following methods outlined in An and Martin (2003) and Padian and Lamm (2013). Briefly, small femora (&lt;~45 mm length), were placed in a labeled plastic tray lined with a base of cured epoxy resin. All bones were positioned in the same anatomical orientation and glued in place with a small amount of epoxy. After the epoxy had cured, bones were completely covered with epoxy resin and allowed to cure for 48 hours. For large femora (more than 45 mm in length), the epiphyses were removed with a band saw, leaving ~15 mm of the diaphysis to be embedded. Before cutting, the dorsal surface, mid-diaphysis and proximal end of the bone was marked in pencil to ensure correct anatomical orientation, and then labeled and embedded. During the polymerization process, the femora were simultaneously impregnated with resin </w:t>
      </w:r>
      <w:r>
        <w:lastRenderedPageBreak/>
        <w:t>and embedded in a hardened block which supported the bone and allowed for sections to be evenly cut. The anatomical orientation of each bone (indicating dorsal and medial surfaces) was marked by labeling the corresponding sides of the block with different colors of permanent ink, and three serial transverse thick sections (about 1 mm each) were removed from the mid-diaphysis of each specimen with a low-speed saw (IsoMet; Buehler, Ltd.; Lake Bluff, IL).</w:t>
      </w:r>
    </w:p>
    <w:p w14:paraId="0FA86E04" w14:textId="77777777" w:rsidR="003D244F" w:rsidRDefault="00F72FE3" w:rsidP="009C4058">
      <w:r>
        <w:t xml:space="preserve">The proximal surface of each section was marked to maintain orientation. This mark, together with the colored labels from the block now visible along the dorsal and medial edges of the section, allowed the original anatomical orientation to be preserved as the sections were mounted onto a labeled slide with additional epoxy resin. After a second round of curing, sections were ground to a thickness of approximately 100-125 </w:t>
      </w:r>
      <m:oMath>
        <m:r>
          <m:rPr>
            <m:sty m:val="p"/>
          </m:rPr>
          <w:rPr>
            <w:rFonts w:ascii="Cambria Math" w:hAnsi="Cambria Math"/>
          </w:rPr>
          <m:t>μm</m:t>
        </m:r>
      </m:oMath>
      <w:r>
        <w:t xml:space="preserve"> using a graded series (280 to 600 grit) of abrasive paper on a grinder-polisher (MetaServ; Buehler, Ltd.; Lake Bluff, IL). Slides were then cover-slipped using Permount (Fisher Scientific) mounting medium thinned with xylene.</w:t>
      </w:r>
    </w:p>
    <w:p w14:paraId="4B915390" w14:textId="77777777" w:rsidR="003D244F" w:rsidRDefault="00F72FE3" w:rsidP="009C4058">
      <w:pPr>
        <w:pStyle w:val="Heading2"/>
      </w:pPr>
      <w:bookmarkStart w:id="11" w:name="biomechanical-parameters"/>
      <w:bookmarkEnd w:id="11"/>
      <w:r>
        <w:t>Biomechanical Parameters</w:t>
      </w:r>
    </w:p>
    <w:p w14:paraId="213F996D" w14:textId="77777777" w:rsidR="003D244F" w:rsidRDefault="00F72FE3" w:rsidP="009C4058">
      <w:r>
        <w:t xml:space="preserve">Each section was viewed and photographed using a polarizing microscope (Nikon Eclipse V100 or Zeiss Discovery) fitted with a digital camera and image capture software (Diagnostic Instruments, Inc.; Sterling Heights, MI). Most images were taken of the entire cross section at 40X magnification, and larger femoral cross-sections were imaged at 15X. Images were then analyzed using NIH ImageJ (version 1.49o; </w:t>
      </w:r>
      <w:hyperlink r:id="rId7">
        <w:r>
          <w:rPr>
            <w:rStyle w:val="Link"/>
          </w:rPr>
          <w:t>http://rsbweb.nih.gov/ij/</w:t>
        </w:r>
      </w:hyperlink>
      <w:r>
        <w:t>). The internal (medullary) and external dorsoventral and anteroposterior diameters as well as cortical thickness in each orthogonal quadrant were measured from images of the entire cross-section using the measure tool in ImageJ.</w:t>
      </w:r>
    </w:p>
    <w:p w14:paraId="1FEDA378" w14:textId="77777777" w:rsidR="003D244F" w:rsidRDefault="00F72FE3" w:rsidP="009C4058">
      <w:r>
        <w:t>The images were converted to binary silhouettes of the cortex (Figure ), following Matsuda et al. (1986), and analyzed using the ImageJ plug-in MomentMacro (</w:t>
      </w:r>
      <w:hyperlink r:id="rId8">
        <w:r>
          <w:rPr>
            <w:rStyle w:val="Link"/>
          </w:rPr>
          <w:t>http://www.hopkinsmedicine.org/fae/mmacro.htm</w:t>
        </w:r>
      </w:hyperlink>
      <w:r>
        <w:t xml:space="preserve">). Conversion of cortices to binary silhouettes necessarily results in the loss of information about bone </w:t>
      </w:r>
      <w:r>
        <w:lastRenderedPageBreak/>
        <w:t>microstructure, including osteocyte density and porosity. We defined orthogonal anteroposterior and dorsoventral axes of the femur based on a plane passing through the femur lying parallel to the midline plane of the animal's body, with the long axis of the femur directly perpendicular. Although femoral oriantation is more anteromedial and movements during the stride cycle are more complex (Gatesy 1991), we use this standard position to allow future comparisons with other archosaurs.</w:t>
      </w:r>
    </w:p>
    <w:p w14:paraId="7AA50742" w14:textId="77777777" w:rsidR="003D244F" w:rsidRDefault="00F72FE3" w:rsidP="009C4058">
      <w:r>
        <w:t xml:space="preserve">To estimate the biomechanical strength of the bone in resistance to stresses due to compression, tension, bending and shear forces that might be encountered during locomotion, we measured several cross-sectional geometric properties on each specimen (see Lieberman et al. 2004 for a review). Cross-sectional area of the cortical bone (CSA) estimates resistance of the bone to axial compression. Orthogonally measured area moments of inertia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AP</m:t>
            </m:r>
          </m:sub>
        </m:sSub>
      </m:oMath>
      <w:r>
        <w:t xml:space="preserve"> and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DV</m:t>
            </m:r>
          </m:sub>
        </m:sSub>
      </m:oMath>
      <w:r>
        <w:t xml:space="preserve"> estimate bending resistance about the dorsoventral and anteroposterior axes, respectively. Similarly orthogonal section moduli (</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AP</m:t>
            </m:r>
          </m:sub>
        </m:sSub>
      </m:oMath>
      <w:r>
        <w:t xml:space="preserve"> and </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DV</m:t>
            </m:r>
          </m:sub>
        </m:sSub>
      </m:oMath>
      <w:r>
        <w:t xml:space="preserve">), calculated as </w:t>
      </w:r>
      <m:oMath>
        <m:r>
          <m:rPr>
            <m:sty m:val="p"/>
          </m:rPr>
          <w:rPr>
            <w:rFonts w:ascii="Cambria Math" w:hAnsi="Cambria Math"/>
          </w:rPr>
          <m:t>I/r</m:t>
        </m:r>
      </m:oMath>
      <w:r>
        <w:t xml:space="preserve">, perhaps better approximate how a given cross-sectional geometry resists bending in about an axis. </w:t>
      </w:r>
      <m:oMath>
        <m:r>
          <m:rPr>
            <m:sty m:val="p"/>
          </m:rPr>
          <w:rPr>
            <w:rFonts w:ascii="Cambria Math" w:hAnsi="Cambria Math"/>
          </w:rPr>
          <m:t>J</m:t>
        </m:r>
      </m:oMath>
      <w:r>
        <w:t xml:space="preserve">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max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min</m:t>
            </m:r>
          </m:sub>
        </m:sSub>
      </m:oMath>
      <w:r>
        <w:t xml:space="preserve">) approximates resistance to multidirectional bending (Schaffler et al. 1985). Because longer beams (bones) are more easily loaded in torsion than short beams, we standardized </w:t>
      </w:r>
      <m:oMath>
        <m:r>
          <m:rPr>
            <m:sty m:val="p"/>
          </m:rPr>
          <w:rPr>
            <w:rFonts w:ascii="Cambria Math" w:hAnsi="Cambria Math"/>
          </w:rPr>
          <m:t>J</m:t>
        </m:r>
      </m:oMath>
      <w:r>
        <w:t xml:space="preserve"> by dividing by femoral length to allow comparisons between bones of different lengths (</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std</m:t>
            </m:r>
          </m:sub>
        </m:sSub>
      </m:oMath>
      <w:r>
        <w:t>).</w:t>
      </w:r>
    </w:p>
    <w:p w14:paraId="281478EC" w14:textId="77777777" w:rsidR="003D244F" w:rsidRDefault="00F72FE3" w:rsidP="009C4058">
      <w:r>
        <w:rPr>
          <w:noProof/>
        </w:rPr>
        <w:lastRenderedPageBreak/>
        <w:drawing>
          <wp:inline distT="0" distB="0" distL="0" distR="0" wp14:anchorId="3904507C" wp14:editId="759068B4">
            <wp:extent cx="5440680" cy="326440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Oxic_Gator_Bone_Morphology_files/figure-docx/XS-1.png"/>
                    <pic:cNvPicPr>
                      <a:picLocks noChangeAspect="1" noChangeArrowheads="1"/>
                    </pic:cNvPicPr>
                  </pic:nvPicPr>
                  <pic:blipFill>
                    <a:blip r:embed="rId9"/>
                    <a:stretch>
                      <a:fillRect/>
                    </a:stretch>
                  </pic:blipFill>
                  <pic:spPr bwMode="auto">
                    <a:xfrm>
                      <a:off x="0" y="0"/>
                      <a:ext cx="5440680" cy="3264408"/>
                    </a:xfrm>
                    <a:prstGeom prst="rect">
                      <a:avLst/>
                    </a:prstGeom>
                    <a:noFill/>
                    <a:ln w="9525">
                      <a:noFill/>
                      <a:headEnd/>
                      <a:tailEnd/>
                    </a:ln>
                  </pic:spPr>
                </pic:pic>
              </a:graphicData>
            </a:graphic>
          </wp:inline>
        </w:drawing>
      </w:r>
    </w:p>
    <w:p w14:paraId="346FB8A5" w14:textId="77777777" w:rsidR="003D244F" w:rsidRDefault="00F72FE3" w:rsidP="009C4058">
      <w:pPr>
        <w:pStyle w:val="ImageCaption"/>
      </w:pPr>
      <w:r>
        <w:t>Example cross sectional image</w:t>
      </w:r>
    </w:p>
    <w:p w14:paraId="3D0B73A6" w14:textId="77777777" w:rsidR="003D244F" w:rsidRDefault="00F72FE3" w:rsidP="009C4058">
      <w:pPr>
        <w:pStyle w:val="Heading2"/>
      </w:pPr>
      <w:bookmarkStart w:id="12" w:name="statistical-analysis"/>
      <w:bookmarkEnd w:id="12"/>
      <w:r>
        <w:t>Statistical Analysis</w:t>
      </w:r>
    </w:p>
    <w:p w14:paraId="7B607BBF" w14:textId="77777777" w:rsidR="003D244F" w:rsidRDefault="00F72FE3" w:rsidP="009C4058">
      <w:r>
        <w:t>All statistical analyses were carried out using the statistical computing language R (version 3.2.1; R Core Team 2014). Preliminary statistical analyses showed no differences among the three hyperoxic treatment groups (26%, 31%, and 36% O</w:t>
      </w:r>
      <w:r>
        <w:rPr>
          <w:vertAlign w:val="subscript"/>
        </w:rPr>
        <w:t>2</w:t>
      </w:r>
      <w:r>
        <w:t>), so we pooled these treatments into one "hyperoxic" group, resulting in three treatments to be compared: normoxia (16%), hypoxia (21%), and hyperoxia (combined 26%, 31%, and 36% O</w:t>
      </w:r>
      <w:r>
        <w:rPr>
          <w:vertAlign w:val="subscript"/>
        </w:rPr>
        <w:t>2</w:t>
      </w:r>
      <w:r>
        <w:t xml:space="preserve"> treatment groups).</w:t>
      </w:r>
    </w:p>
    <w:p w14:paraId="3F78436D" w14:textId="77777777" w:rsidR="003D244F" w:rsidRDefault="00F72FE3" w:rsidP="009C4058">
      <w:pPr>
        <w:pStyle w:val="Heading3"/>
      </w:pPr>
      <w:bookmarkStart w:id="13" w:name="growth-rate-equality-among-treatments"/>
      <w:bookmarkEnd w:id="13"/>
      <w:r>
        <w:t>Growth Rate Equality Among Treatments</w:t>
      </w:r>
    </w:p>
    <w:p w14:paraId="03BF7BF3" w14:textId="77777777" w:rsidR="003D244F" w:rsidRDefault="00F72FE3" w:rsidP="009C4058">
      <w:r>
        <w:t>In all analyses, femur length was to be used as a covariate to account for differences in size between different age classes. However, we first needed to determine whether femur length varied across age classes with respect to treatment group. To this end, we compared growth trajectories among the three treatment groups (normoxia, hypoxia, and hyperoxia, the latter group combining the different levels of hyperoxia treatments).</w:t>
      </w:r>
    </w:p>
    <w:p w14:paraId="6402DA77" w14:textId="77777777" w:rsidR="003D244F" w:rsidRDefault="00F72FE3" w:rsidP="009C4058">
      <w:r>
        <w:lastRenderedPageBreak/>
        <w:t>Growth was not linear in the sample of alligators studied here (Fig. 2), so traditional linear regression methods were not appropriate for this sample (linear models had extremely poor support relative to other models and were not explored further). The appropriate model for reptilian growth has been long debated, with some studies using a determinate model, e.g., von Bertalanffy or logistic growth (Erickson and Tumanova 2000; Erickson et al. 2001, 2004; Lee and Werning 2008; Saalfeld et al. 2008; Lee and O’Connor 2013) and others favoring an indeterminate growth model, e.g., linear, polynomial, or power law (Jacobsen and Kushlan 1989; Myhrvold 2013). So-called "determinate" and "indeterminate" growth do not encompass a single pair of growth patterns but rather a range of strategies (Sebens 1987; also reviewed in Myhrvold 2013).</w:t>
      </w:r>
    </w:p>
    <w:p w14:paraId="5C83E21E" w14:textId="77777777" w:rsidR="003D244F" w:rsidRDefault="00F72FE3" w:rsidP="009C4058">
      <w:r>
        <w:t xml:space="preserve">The goal of this portion of the analysis was not to evaluate the appropriate growth model within </w:t>
      </w:r>
      <w:r>
        <w:rPr>
          <w:i/>
        </w:rPr>
        <w:t>Alligator</w:t>
      </w:r>
      <w:r>
        <w:t xml:space="preserve"> or more broadly across Archosauria (for thorough comparison of models and discussion see Myhrvold 2013) but rather to determine whether the rate of increase in femoral length differed among treatment groups. We tested two different growth models in two different parameterizations: (1) with separate curves fit for each of three treatment groups: normoxic, hypoxic, and hyperoxic and (2) with all samples pooled. Comparisons between these different parameterizations determine if growth rates differed between treatment groups, which, if true, would complicate use of femoral length as a covariate in later analyses.</w:t>
      </w:r>
    </w:p>
    <w:p w14:paraId="4A867F66" w14:textId="77777777" w:rsidR="003D244F" w:rsidRDefault="00F72FE3" w:rsidP="009C4058">
      <w:r>
        <w:t>For a determinate growth model, we used a three parameter von Bertalanffy growth curve (Bertalanffy 1960; Chen et al. 1992; Pardo et al. 2013). The von Bertalanffy growth curve (VGBC) is defined as</w:t>
      </w:r>
    </w:p>
    <w:p w14:paraId="24D2587A" w14:textId="77777777" w:rsidR="003D244F" w:rsidRDefault="00F72FE3" w:rsidP="009C4058">
      <m:oMathPara>
        <m:oMathParaPr>
          <m:jc m:val="center"/>
        </m:oMathParaPr>
        <m:oMath>
          <m:r>
            <m:rPr>
              <m:sty m:val="p"/>
            </m:rPr>
            <w:rPr>
              <w:rFonts w:ascii="Cambria Math" w:hAnsi="Cambria Math"/>
            </w:rPr>
            <m:t>Lengt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Age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Age-</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3</m:t>
                          </m:r>
                        </m:sub>
                      </m:sSub>
                    </m:e>
                  </m:d>
                </m:sup>
              </m:sSup>
            </m:e>
          </m:d>
        </m:oMath>
      </m:oMathPara>
    </w:p>
    <w:p w14:paraId="349913CB" w14:textId="77777777" w:rsidR="003D244F" w:rsidRDefault="00F72FE3" w:rsidP="009C4058">
      <w:r>
        <w:t xml:space="preserve">where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oMath>
      <w:r>
        <w:t xml:space="preserve"> is interpreted as the asymptotic femoral length at infinite age. To model indeterminate growth, we used the second-order polynomial model</w:t>
      </w:r>
    </w:p>
    <w:p w14:paraId="6F99138E" w14:textId="77777777" w:rsidR="003D244F" w:rsidRDefault="00F72FE3" w:rsidP="009C4058">
      <m:oMathPara>
        <m:oMathParaPr>
          <m:jc m:val="center"/>
        </m:oMathParaPr>
        <m:oMath>
          <m:r>
            <m:rPr>
              <m:sty m:val="p"/>
            </m:rPr>
            <w:rPr>
              <w:rFonts w:ascii="Cambria Math" w:hAnsi="Cambria Math"/>
            </w:rPr>
            <m:t>Lengt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Age</m:t>
              </m:r>
            </m:sub>
          </m:sSub>
          <m:r>
            <m:rPr>
              <m:sty m:val="p"/>
            </m:rPr>
            <w:rPr>
              <w:rFonts w:ascii="Cambria Math" w:hAnsi="Cambria Math"/>
            </w:rPr>
            <m:t>=a+b⋅Age+c⋅Ag</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oMath>
      </m:oMathPara>
    </w:p>
    <w:p w14:paraId="5E90335B" w14:textId="77777777" w:rsidR="003D244F" w:rsidRDefault="00F72FE3" w:rsidP="009C4058">
      <w:r>
        <w:lastRenderedPageBreak/>
        <w:t>which has been suggested as a preferred alternative to a von Bertalanffy growth model (Roff 1980; Chen et al. 1992).</w:t>
      </w:r>
    </w:p>
    <w:p w14:paraId="5D0F252A" w14:textId="77777777" w:rsidR="003D244F" w:rsidRDefault="00F72FE3" w:rsidP="009C4058">
      <w:r>
        <w:t xml:space="preserve">These models can be used to fit one or more growth curves simultaneously using ordinary least squares with a polynomial term for the polynomial function and non-linear least squares for the VBGC. These growth curves can then be compared statistically via </w:t>
      </w:r>
      <m:oMath>
        <m:r>
          <m:rPr>
            <m:sty m:val="p"/>
          </m:rPr>
          <w:rPr>
            <w:rFonts w:ascii="Cambria Math" w:hAnsi="Cambria Math"/>
          </w:rPr>
          <m:t>F</m:t>
        </m:r>
      </m:oMath>
      <w:r>
        <w:t xml:space="preserve">-tests and by comparison of information criteria (Chen et al. 1992; Roff 2006). We used Akaike Information Criterion (AIC; Akaike 1974) to assess model fit and considered models with </w:t>
      </w:r>
      <m:oMath>
        <m:r>
          <m:rPr>
            <m:sty m:val="p"/>
          </m:rPr>
          <w:rPr>
            <w:rFonts w:ascii="Cambria Math" w:hAnsi="Cambria Math"/>
          </w:rPr>
          <m:t>Δ</m:t>
        </m:r>
      </m:oMath>
      <w:r>
        <w:t xml:space="preserve">AIC values of </w:t>
      </w:r>
      <m:oMath>
        <m:r>
          <m:rPr>
            <m:sty m:val="p"/>
          </m:rPr>
          <w:rPr>
            <w:rFonts w:ascii="Cambria Math" w:hAnsi="Cambria Math"/>
          </w:rPr>
          <m:t>&lt;4</m:t>
        </m:r>
      </m:oMath>
      <w:r>
        <w:t xml:space="preserve"> units as equally well supported given the data (Burnham and Anderson 2002).</w:t>
      </w:r>
    </w:p>
    <w:p w14:paraId="2911A6CF" w14:textId="77777777" w:rsidR="003D244F" w:rsidRDefault="00F72FE3" w:rsidP="009C4058">
      <m:oMath>
        <m:r>
          <m:rPr>
            <m:sty m:val="p"/>
          </m:rPr>
          <w:rPr>
            <w:rFonts w:ascii="Cambria Math" w:hAnsi="Cambria Math"/>
          </w:rPr>
          <m:t>F</m:t>
        </m:r>
      </m:oMath>
      <w:r>
        <w:t>-test comparisons of polynomial models with and without O</w:t>
      </w:r>
      <w:r>
        <w:rPr>
          <w:vertAlign w:val="subscript"/>
        </w:rPr>
        <w:t>2</w:t>
      </w:r>
      <w:r>
        <w:t xml:space="preserve"> treatment levels is straightforward using built-in functions in </w:t>
      </w:r>
      <w:r>
        <w:rPr>
          <w:rStyle w:val="VerbatimChar"/>
        </w:rPr>
        <w:t>R</w:t>
      </w:r>
      <w:r>
        <w:t xml:space="preserve"> (the </w:t>
      </w:r>
      <w:r>
        <w:rPr>
          <w:rStyle w:val="VerbatimChar"/>
        </w:rPr>
        <w:t>test = 'F'</w:t>
      </w:r>
      <w:r>
        <w:t xml:space="preserve"> option in the </w:t>
      </w:r>
      <w:r>
        <w:rPr>
          <w:rStyle w:val="VerbatimChar"/>
        </w:rPr>
        <w:t>anova()</w:t>
      </w:r>
      <w:r>
        <w:t xml:space="preserve"> function). Comparisons between VBGC models was more challenging. To compare these models, we generalized the three parameter VBGC model above into a nine parameter model, which allowed for fitting separate curves to each of the three treatment groups using a pair of </w:t>
      </w:r>
      <m:oMath>
        <m:r>
          <m:rPr>
            <m:sty m:val="p"/>
          </m:rPr>
          <w:rPr>
            <w:rFonts w:ascii="Cambria Math" w:hAnsi="Cambria Math"/>
          </w:rPr>
          <m:t>{0,1}</m:t>
        </m:r>
      </m:oMath>
      <w:r>
        <w:t xml:space="preserve"> dummy variables to code for two additional treatment groups. Residual sums of squares were used to construct an </w:t>
      </w:r>
      <m:oMath>
        <m:r>
          <m:rPr>
            <m:sty m:val="p"/>
          </m:rPr>
          <w:rPr>
            <w:rFonts w:ascii="Cambria Math" w:hAnsi="Cambria Math"/>
          </w:rPr>
          <m:t>F</m:t>
        </m:r>
      </m:oMath>
      <w:r>
        <w:t>-test to compare between the two different model parameterizations following Roff's (2006) model with degrees of freedom adjustments for additional parameter estimates (also see Chen et al. 1992 for further discussion):</w:t>
      </w:r>
    </w:p>
    <w:p w14:paraId="253911EB" w14:textId="77777777" w:rsidR="003D244F" w:rsidRDefault="00F72FE3" w:rsidP="009C4058">
      <m:oMathPara>
        <m:oMathParaPr>
          <m:jc m:val="center"/>
        </m:oMathParaPr>
        <m:oMath>
          <m:r>
            <m:rPr>
              <m:sty m:val="p"/>
            </m:rPr>
            <w:rPr>
              <w:rFonts w:ascii="Cambria Math" w:hAnsi="Cambria Math"/>
            </w:rPr>
            <m:t>F=</m:t>
          </m:r>
          <m:d>
            <m:dPr>
              <m:ctrlPr>
                <w:rPr>
                  <w:rFonts w:ascii="Cambria Math" w:hAnsi="Cambria Math"/>
                </w:rPr>
              </m:ctrlPr>
            </m:dPr>
            <m:e>
              <m:f>
                <m:fPr>
                  <m:ctrlPr>
                    <w:rPr>
                      <w:rFonts w:ascii="Cambria Math" w:hAnsi="Cambria Math"/>
                    </w:rPr>
                  </m:ctrlPr>
                </m:fPr>
                <m:num>
                  <m:r>
                    <m:rPr>
                      <m:sty m:val="p"/>
                    </m:rPr>
                    <w:rPr>
                      <w:rFonts w:ascii="Cambria Math" w:hAnsi="Cambria Math"/>
                    </w:rPr>
                    <m:t>S</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9</m:t>
                      </m:r>
                    </m:sub>
                  </m:sSub>
                </m:num>
                <m:den>
                  <m:r>
                    <m:rPr>
                      <m:sty m:val="p"/>
                    </m:rPr>
                    <w:rPr>
                      <w:rFonts w:ascii="Cambria Math" w:hAnsi="Cambria Math"/>
                    </w:rPr>
                    <m:t>9-3</m:t>
                  </m:r>
                </m:den>
              </m:f>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S</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9</m:t>
                      </m:r>
                    </m:sub>
                  </m:sSub>
                </m:num>
                <m:den>
                  <m:r>
                    <m:rPr>
                      <m:sty m:val="p"/>
                    </m:rPr>
                    <w:rPr>
                      <w:rFonts w:ascii="Cambria Math" w:hAnsi="Cambria Math"/>
                    </w:rPr>
                    <m:t>n-9</m:t>
                  </m:r>
                </m:den>
              </m:f>
            </m:e>
          </m:d>
        </m:oMath>
      </m:oMathPara>
    </w:p>
    <w:p w14:paraId="19711920" w14:textId="77777777" w:rsidR="003D244F" w:rsidRDefault="00F72FE3" w:rsidP="009C4058">
      <w:r>
        <w:t xml:space="preserve">where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t xml:space="preserve"> is the residual sum of squares of the 3 parameter model,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9</m:t>
            </m:r>
          </m:sub>
        </m:sSub>
      </m:oMath>
      <w:r>
        <w:t xml:space="preserve"> is the residual sum of squares of the 9 parameter model, and </w:t>
      </w:r>
      <m:oMath>
        <m:r>
          <m:rPr>
            <m:sty m:val="p"/>
          </m:rPr>
          <w:rPr>
            <w:rFonts w:ascii="Cambria Math" w:hAnsi="Cambria Math"/>
          </w:rPr>
          <m:t>n</m:t>
        </m:r>
      </m:oMath>
      <w:r>
        <w:t xml:space="preserve"> is the total number of observations.</w:t>
      </w:r>
    </w:p>
    <w:p w14:paraId="22DD8F4F" w14:textId="77777777" w:rsidR="003D244F" w:rsidRDefault="00F72FE3" w:rsidP="009C4058">
      <w:pPr>
        <w:pStyle w:val="Heading3"/>
      </w:pPr>
      <w:bookmarkStart w:id="14" w:name="clutch-effects"/>
      <w:bookmarkEnd w:id="14"/>
      <w:r>
        <w:t>Clutch Effects</w:t>
      </w:r>
    </w:p>
    <w:p w14:paraId="28CF8365" w14:textId="77777777" w:rsidR="003D244F" w:rsidRDefault="00F72FE3" w:rsidP="009C4058">
      <w:r>
        <w:t xml:space="preserve">Because eggs were taken from each of eight clutches (Table 1), different genetic background and/or maternal effects (e.g., egg provisioning) may have resulted in differing growth trajectories between clutches. We used non-linear mixed models to test for differences in the covariate femoral length across ages within clutch </w:t>
      </w:r>
      <w:r>
        <w:lastRenderedPageBreak/>
        <w:t xml:space="preserve">and with clutch nested within treatment group. We first fit the second-order polynomial function with pooled treatment groups as above, and then fit the a mixed-effects model (Pinheiro and Bates 2000) with the addition of clutch as a random effect using the </w:t>
      </w:r>
      <w:r>
        <w:rPr>
          <w:rStyle w:val="VerbatimChar"/>
        </w:rPr>
        <w:t>nlme</w:t>
      </w:r>
      <w:r>
        <w:t xml:space="preserve"> function in the </w:t>
      </w:r>
      <w:r>
        <w:rPr>
          <w:rStyle w:val="VerbatimChar"/>
        </w:rPr>
        <w:t>nlme</w:t>
      </w:r>
      <w:r>
        <w:t xml:space="preserve"> package (Pinheiro and Bates 2000; Pinheiro et al. 2014). These models were compared via Wald tests (Pinheiro and Bates 2000) and comparison of AIC. As for growth models above, models with </w:t>
      </w:r>
      <m:oMath>
        <m:r>
          <m:rPr>
            <m:sty m:val="p"/>
          </m:rPr>
          <w:rPr>
            <w:rFonts w:ascii="Cambria Math" w:hAnsi="Cambria Math"/>
          </w:rPr>
          <m:t>Δ</m:t>
        </m:r>
      </m:oMath>
      <w:r>
        <w:t>AIC vlues &lt;4 were considered equally supported (Burnham and Anderson 2002).</w:t>
      </w:r>
    </w:p>
    <w:p w14:paraId="3BF08E49" w14:textId="77777777" w:rsidR="003D244F" w:rsidRDefault="00F72FE3" w:rsidP="009C4058">
      <w:pPr>
        <w:pStyle w:val="Heading3"/>
      </w:pPr>
      <w:bookmarkStart w:id="15" w:name="biomechanical-measures"/>
      <w:bookmarkEnd w:id="15"/>
      <w:r>
        <w:t>Biomechanical Measures</w:t>
      </w:r>
    </w:p>
    <w:p w14:paraId="168F6322" w14:textId="77777777" w:rsidR="003D244F" w:rsidRDefault="00F72FE3" w:rsidP="009C4058">
      <w:r>
        <w:t>Biomechanical measures, including cross-sectional area (CSA), anteroposterior and dorsoventral diameters, orthogonal dorsoventral and anteroposterior moments of inertia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DV</m:t>
            </m:r>
          </m:sub>
        </m:sSub>
      </m:oMath>
      <w:r>
        <w:t xml:space="preserve"> and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AP</m:t>
            </m:r>
          </m:sub>
        </m:sSub>
      </m:oMath>
      <w:r>
        <w:t>) and section moduli (</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DV</m:t>
            </m:r>
          </m:sub>
        </m:sSub>
      </m:oMath>
      <w:r>
        <w:t xml:space="preserve"> and </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AP</m:t>
            </m:r>
          </m:sub>
        </m:sSub>
      </m:oMath>
      <w:r>
        <w:t>), and polar moment of inertia standardized to femoral length (</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std</m:t>
            </m:r>
          </m:sub>
        </m:sSub>
      </m:oMath>
      <w:r>
        <w:t>) were analyzed using ANCOVA, with femoral length as covariate and oxic treatment group as the main effect.</w:t>
      </w:r>
    </w:p>
    <w:p w14:paraId="15DAD650" w14:textId="77777777" w:rsidR="003D244F" w:rsidRDefault="00F72FE3" w:rsidP="009C4058">
      <w:r>
        <w:t>Models were first fit with an interaction term between treatment and femoral length to allow each treatment group to have a separate scaling relationship with femoral length. In all cases, the interaction term was not significant (</w:t>
      </w:r>
      <m:oMath>
        <m:r>
          <m:rPr>
            <m:sty m:val="p"/>
          </m:rPr>
          <w:rPr>
            <w:rFonts w:ascii="Cambria Math" w:hAnsi="Cambria Math"/>
          </w:rPr>
          <m:t>α=0.05</m:t>
        </m:r>
      </m:oMath>
      <w:r>
        <w:t xml:space="preserve">), and so the interaction term was dropped for subsequent analyses. This effectively fit a model were the scaling relationship (i.e., slope) between the treatment groups and femoral length was force to be equal across groups, while the intercept term was allow to vary for each group. Slopes were compared to isometric scaling predictions using reduced major axis (RMA) regression implemented in the R package </w:t>
      </w:r>
      <w:r>
        <w:rPr>
          <w:rStyle w:val="VerbatimChar"/>
        </w:rPr>
        <w:t>smatr</w:t>
      </w:r>
      <w:r>
        <w:t xml:space="preserve"> (Warton et al. 2006, 2011).</w:t>
      </w:r>
    </w:p>
    <w:p w14:paraId="075C6F11" w14:textId="77777777" w:rsidR="003D244F" w:rsidRDefault="00F72FE3" w:rsidP="009C4058">
      <w:pPr>
        <w:pStyle w:val="Heading3"/>
      </w:pPr>
      <w:bookmarkStart w:id="16" w:name="multiple-comparisons"/>
      <w:bookmarkEnd w:id="16"/>
      <w:r>
        <w:t>Multiple comparisons</w:t>
      </w:r>
    </w:p>
    <w:p w14:paraId="001D94E7" w14:textId="77777777" w:rsidR="003D244F" w:rsidRDefault="00F72FE3" w:rsidP="009C4058">
      <w:r>
        <w:t>Write something post hoc about multiple comparisons here after we do the post-hoc multiple comparisons procedures.</w:t>
      </w:r>
    </w:p>
    <w:p w14:paraId="09E61E77" w14:textId="77777777" w:rsidR="003D244F" w:rsidRDefault="00F72FE3" w:rsidP="009C4058">
      <w:pPr>
        <w:pStyle w:val="Heading1"/>
      </w:pPr>
      <w:bookmarkStart w:id="17" w:name="results"/>
      <w:bookmarkEnd w:id="17"/>
      <w:r>
        <w:lastRenderedPageBreak/>
        <w:t>Results</w:t>
      </w:r>
    </w:p>
    <w:p w14:paraId="5C2B65B7" w14:textId="77777777" w:rsidR="003D244F" w:rsidRDefault="00F72FE3" w:rsidP="009C4058">
      <w:pPr>
        <w:pStyle w:val="Heading2"/>
      </w:pPr>
      <w:bookmarkStart w:id="18" w:name="growth-rate-equality-among-treatments-1"/>
      <w:bookmarkEnd w:id="18"/>
      <w:r>
        <w:t>Growth Rate Equality Among Treatments</w:t>
      </w:r>
    </w:p>
    <w:p w14:paraId="07EA0553" w14:textId="77777777" w:rsidR="003D244F" w:rsidRDefault="00F72FE3" w:rsidP="009C4058">
      <w:r>
        <w:t>Femoral length increased rapidly in this sample of hatching alligators and gradually slowed (Fig. 2), which is a typical pattern in alligators (Wilkinson and Rhodes 1997), although at 104 weeks of age, femoral length was still increasing.</w:t>
      </w:r>
    </w:p>
    <w:p w14:paraId="37DB0244" w14:textId="77777777" w:rsidR="003D244F" w:rsidRDefault="00F72FE3" w:rsidP="009C4058">
      <w:pPr>
        <w:pStyle w:val="Heading3"/>
      </w:pPr>
      <w:bookmarkStart w:id="19" w:name="determinate-growth-model"/>
      <w:bookmarkEnd w:id="19"/>
      <w:r>
        <w:t>Determinate Growth Model</w:t>
      </w:r>
    </w:p>
    <w:p w14:paraId="67F2BE9F" w14:textId="77777777" w:rsidR="003D244F" w:rsidRDefault="00F72FE3" w:rsidP="009C4058">
      <w:r>
        <w:t>We fit two models to the von Bertalanffy growth equation, one in which all treatments were combined and one in which the three oxic treatment groups were separated. The latter nine parameter, separate treatment groups, model was not significantly improved over the poodled-samples model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9,151</m:t>
            </m:r>
          </m:sub>
        </m:sSub>
      </m:oMath>
      <w:r>
        <w:t xml:space="preserve"> = 1.99; </w:t>
      </w:r>
      <m:oMath>
        <m:r>
          <m:rPr>
            <m:sty m:val="p"/>
          </m:rPr>
          <w:rPr>
            <w:rFonts w:ascii="Cambria Math" w:hAnsi="Cambria Math"/>
          </w:rPr>
          <m:t>P</m:t>
        </m:r>
      </m:oMath>
      <w:r>
        <w:t xml:space="preserve"> = 0.07; </w:t>
      </w:r>
      <m:oMath>
        <m:r>
          <m:rPr>
            <m:sty m:val="p"/>
          </m:rPr>
          <w:rPr>
            <w:rFonts w:ascii="Cambria Math" w:hAnsi="Cambria Math"/>
          </w:rPr>
          <m:t>ΔAIC</m:t>
        </m:r>
      </m:oMath>
      <w:r>
        <w:t xml:space="preserve"> = 0.2). The growth equation for the pooled-samples data was</w:t>
      </w:r>
    </w:p>
    <w:p w14:paraId="6687C462" w14:textId="77777777" w:rsidR="003D244F" w:rsidRDefault="00F72FE3" w:rsidP="009C4058">
      <m:oMathPara>
        <m:oMathParaPr>
          <m:jc m:val="center"/>
        </m:oMathParaPr>
        <m:oMath>
          <m:r>
            <m:rPr>
              <m:sty m:val="p"/>
            </m:rPr>
            <w:rPr>
              <w:rFonts w:ascii="Cambria Math" w:hAnsi="Cambria Math"/>
            </w:rPr>
            <m:t>Lengt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Age</m:t>
              </m:r>
            </m:sub>
          </m:sSub>
          <m:r>
            <m:rPr>
              <m:sty m:val="p"/>
            </m:rPr>
            <w:rPr>
              <w:rFonts w:ascii="Cambria Math" w:hAnsi="Cambria Math"/>
            </w:rPr>
            <m:t>=75.87</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-0.015</m:t>
                  </m:r>
                  <m:d>
                    <m:dPr>
                      <m:ctrlPr>
                        <w:rPr>
                          <w:rFonts w:ascii="Cambria Math" w:hAnsi="Cambria Math"/>
                        </w:rPr>
                      </m:ctrlPr>
                    </m:dPr>
                    <m:e>
                      <m:r>
                        <m:rPr>
                          <m:sty m:val="p"/>
                        </m:rPr>
                        <w:rPr>
                          <w:rFonts w:ascii="Cambria Math" w:hAnsi="Cambria Math"/>
                        </w:rPr>
                        <m:t>Age--14.4</m:t>
                      </m:r>
                    </m:e>
                  </m:d>
                </m:sup>
              </m:sSup>
            </m:e>
          </m:d>
        </m:oMath>
      </m:oMathPara>
    </w:p>
    <w:p w14:paraId="0185CFA7" w14:textId="77777777" w:rsidR="003D244F" w:rsidRDefault="00F72FE3" w:rsidP="009C4058">
      <w:r>
        <w:t xml:space="preserve">which predicts an asymptotic femoral length of 75.87 mm in this sample. This asymptotic femoral length is significantly less than what would be found in adult wild alligators [Farlow et al. (2005). The size of the alligators in this study (~1 m maximum total length </w:t>
      </w:r>
      <w:r>
        <w:rPr>
          <w:b/>
        </w:rPr>
        <w:t>xxTomasz: is this correct?</w:t>
      </w:r>
      <w:r>
        <w:t xml:space="preserve">) is a function of the 104 week duration of the experiment and captive conditions. The maximum femoral length at this age qualitatively agrees with Farlow's (2005) predictions from total length. Although the </w:t>
      </w:r>
      <m:oMath>
        <m:r>
          <m:rPr>
            <m:sty m:val="p"/>
          </m:rPr>
          <w:rPr>
            <w:rFonts w:ascii="Cambria Math" w:hAnsi="Cambria Math"/>
          </w:rPr>
          <m:t>P</m:t>
        </m:r>
      </m:oMath>
      <w:r>
        <w:t xml:space="preserve">-value for the overall </w:t>
      </w:r>
      <m:oMath>
        <m:r>
          <m:rPr>
            <m:sty m:val="p"/>
          </m:rPr>
          <w:rPr>
            <w:rFonts w:ascii="Cambria Math" w:hAnsi="Cambria Math"/>
          </w:rPr>
          <m:t>F</m:t>
        </m:r>
      </m:oMath>
      <w:r>
        <w:t>-test of equality among models approaches significance (</w:t>
      </w:r>
      <m:oMath>
        <m:r>
          <m:rPr>
            <m:sty m:val="p"/>
          </m:rPr>
          <w:rPr>
            <w:rFonts w:ascii="Cambria Math" w:hAnsi="Cambria Math"/>
          </w:rPr>
          <m:t>P</m:t>
        </m:r>
      </m:oMath>
      <w:r>
        <w:t xml:space="preserve"> = 0.07), the </w:t>
      </w:r>
      <m:oMath>
        <m:r>
          <m:rPr>
            <m:sty m:val="p"/>
          </m:rPr>
          <w:rPr>
            <w:rFonts w:ascii="Cambria Math" w:hAnsi="Cambria Math"/>
          </w:rPr>
          <m:t>ΔAIC</m:t>
        </m:r>
      </m:oMath>
      <w:r>
        <w:t xml:space="preserve"> value is less than 1. Thus we conclude that there is equal support for both models and choose the simpler and more parsimonious three-parameter model (Figure , solid line). These models show that in the determinate growth model, osygen treatment groups does not have a significant effect on femoral length growth rate.</w:t>
      </w:r>
    </w:p>
    <w:p w14:paraId="057BEA4D" w14:textId="77777777" w:rsidR="003D244F" w:rsidRDefault="00F72FE3" w:rsidP="009C4058">
      <w:pPr>
        <w:pStyle w:val="Heading3"/>
      </w:pPr>
      <w:bookmarkStart w:id="20" w:name="indeterminate-growth-model"/>
      <w:bookmarkEnd w:id="20"/>
      <w:r>
        <w:t>Indeterminate Growth Model</w:t>
      </w:r>
    </w:p>
    <w:p w14:paraId="7DD83B06" w14:textId="77777777" w:rsidR="003D244F" w:rsidRDefault="00F72FE3" w:rsidP="009C4058">
      <w:r>
        <w:t xml:space="preserve">We similarly fit two different models to the second-order polynomial growth curve (Figure , dashed line), one in which all treatments were combined and one in </w:t>
      </w:r>
      <w:r>
        <w:lastRenderedPageBreak/>
        <w:t>which the three oxic treatment groups were separated by the inclusion of a three-level categorical variable for treatment. The separate treatment groups model was not significantly improved over the model in which all treatment groups were pooled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2,158</m:t>
            </m:r>
          </m:sub>
        </m:sSub>
      </m:oMath>
      <w:r>
        <w:t xml:space="preserve"> = 2.08, </w:t>
      </w:r>
      <m:oMath>
        <m:r>
          <m:rPr>
            <m:sty m:val="p"/>
          </m:rPr>
          <w:rPr>
            <w:rFonts w:ascii="Cambria Math" w:hAnsi="Cambria Math"/>
          </w:rPr>
          <m:t>P</m:t>
        </m:r>
      </m:oMath>
      <w:r>
        <w:t xml:space="preserve"> = 0.128; </w:t>
      </w:r>
      <m:oMath>
        <m:r>
          <m:rPr>
            <m:sty m:val="p"/>
          </m:rPr>
          <w:rPr>
            <w:rFonts w:ascii="Cambria Math" w:hAnsi="Cambria Math"/>
          </w:rPr>
          <m:t>ΔAIC</m:t>
        </m:r>
      </m:oMath>
      <w:r>
        <w:t xml:space="preserve"> = 0.24). The polynomial growth equation for the pooled samples was</w:t>
      </w:r>
    </w:p>
    <w:p w14:paraId="6B5D6393" w14:textId="77777777" w:rsidR="003D244F" w:rsidRDefault="00F72FE3" w:rsidP="009C4058">
      <m:oMathPara>
        <m:oMathParaPr>
          <m:jc m:val="center"/>
        </m:oMathParaPr>
        <m:oMath>
          <m:r>
            <m:rPr>
              <m:sty m:val="p"/>
            </m:rPr>
            <w:rPr>
              <w:rFonts w:ascii="Cambria Math" w:hAnsi="Cambria Math"/>
            </w:rPr>
            <m:t>Lengt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Age</m:t>
              </m:r>
            </m:sub>
          </m:sSub>
          <m:r>
            <m:rPr>
              <m:sty m:val="p"/>
            </m:rPr>
            <w:rPr>
              <w:rFonts w:ascii="Cambria Math" w:hAnsi="Cambria Math"/>
            </w:rPr>
            <m:t>=14.78+0.84⋅Age+-0.0036⋅Ag</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oMath>
      </m:oMathPara>
    </w:p>
    <w:p w14:paraId="78C1EBDF" w14:textId="77777777" w:rsidR="003D244F" w:rsidRDefault="00F72FE3" w:rsidP="009C4058">
      <w:pPr>
        <w:pStyle w:val="Heading3"/>
      </w:pPr>
      <w:bookmarkStart w:id="21" w:name="model-comparison"/>
      <w:bookmarkEnd w:id="21"/>
      <w:r>
        <w:t>Model comparison</w:t>
      </w:r>
    </w:p>
    <w:p w14:paraId="4282B263" w14:textId="77777777" w:rsidR="003D244F" w:rsidRDefault="00F72FE3" w:rsidP="009C4058">
      <w:r>
        <w:t>Within both types of growth models (determinate and indeterminate), simpler models that do not include a separate parameter for treatment group are preferred. More complex models that include treatment group do not differ significantly from ones that do and only show small gains in AIC (ca. 0.2). Thus, by either metric (</w:t>
      </w:r>
      <m:oMath>
        <m:r>
          <m:rPr>
            <m:sty m:val="p"/>
          </m:rPr>
          <w:rPr>
            <w:rFonts w:ascii="Cambria Math" w:hAnsi="Cambria Math"/>
          </w:rPr>
          <m:t>P</m:t>
        </m:r>
      </m:oMath>
      <w:r>
        <w:t xml:space="preserve">-value or </w:t>
      </w:r>
      <m:oMath>
        <m:r>
          <m:rPr>
            <m:sty m:val="p"/>
          </m:rPr>
          <w:rPr>
            <w:rFonts w:ascii="Cambria Math" w:hAnsi="Cambria Math"/>
          </w:rPr>
          <m:t>ΔAIC</m:t>
        </m:r>
      </m:oMath>
      <w:r>
        <w:t>), we found that femoral length increase does not differ between groups. Comparing between indeterminate and determinate models, we find that an indeterminate growth model is preferred over a determinate model (</w:t>
      </w:r>
      <m:oMath>
        <m:r>
          <m:rPr>
            <m:sty m:val="p"/>
          </m:rPr>
          <w:rPr>
            <w:rFonts w:ascii="Cambria Math" w:hAnsi="Cambria Math"/>
          </w:rPr>
          <m:t>Δ</m:t>
        </m:r>
      </m:oMath>
      <w:r>
        <w:t>AIC = 7.53). Based on these results showing no effects of treatment group on growth rates, we therefore proceeded to use femoral length as a covariate proxy for body size in all remaining analyses.</w:t>
      </w:r>
    </w:p>
    <w:p w14:paraId="2B025ADB" w14:textId="77777777" w:rsidR="003D244F" w:rsidRDefault="00F72FE3" w:rsidP="009C4058">
      <w:r>
        <w:rPr>
          <w:noProof/>
        </w:rPr>
        <w:lastRenderedPageBreak/>
        <w:drawing>
          <wp:inline distT="0" distB="0" distL="0" distR="0" wp14:anchorId="400DC26B" wp14:editId="6AE8549E">
            <wp:extent cx="5440680" cy="326440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Oxic_Gator_Bone_Morphology_files/figure-docx/Growth-1.png"/>
                    <pic:cNvPicPr>
                      <a:picLocks noChangeAspect="1" noChangeArrowheads="1"/>
                    </pic:cNvPicPr>
                  </pic:nvPicPr>
                  <pic:blipFill>
                    <a:blip r:embed="rId10"/>
                    <a:stretch>
                      <a:fillRect/>
                    </a:stretch>
                  </pic:blipFill>
                  <pic:spPr bwMode="auto">
                    <a:xfrm>
                      <a:off x="0" y="0"/>
                      <a:ext cx="5440680" cy="3264408"/>
                    </a:xfrm>
                    <a:prstGeom prst="rect">
                      <a:avLst/>
                    </a:prstGeom>
                    <a:noFill/>
                    <a:ln w="9525">
                      <a:noFill/>
                      <a:headEnd/>
                      <a:tailEnd/>
                    </a:ln>
                  </pic:spPr>
                </pic:pic>
              </a:graphicData>
            </a:graphic>
          </wp:inline>
        </w:drawing>
      </w:r>
    </w:p>
    <w:p w14:paraId="146443B3" w14:textId="77777777" w:rsidR="003D244F" w:rsidRDefault="00F72FE3" w:rsidP="009C4058">
      <w:pPr>
        <w:pStyle w:val="ImageCaption"/>
      </w:pPr>
      <w:r>
        <w:t>Femoral length (mm) vs. Age (weeks) at six time points (2, 4, 16, 24, 52, and 104 weeks) with non-linear least squares regression of the three parameter von Bertalanffy growth curve (determinate growth; solid line) and second order polynomial regression (indeterminate growth; dashed line) through all groups combined. Points have been staggered slightly along the Age axis to avoid overplotting.</w:t>
      </w:r>
    </w:p>
    <w:p w14:paraId="6585F015" w14:textId="77777777" w:rsidR="003D244F" w:rsidRDefault="00F72FE3" w:rsidP="009C4058">
      <w:pPr>
        <w:pStyle w:val="Heading2"/>
      </w:pPr>
      <w:bookmarkStart w:id="22" w:name="clutch-effects-1"/>
      <w:bookmarkEnd w:id="22"/>
      <w:r>
        <w:t>Clutch effects</w:t>
      </w:r>
    </w:p>
    <w:p w14:paraId="5E584F76" w14:textId="77777777" w:rsidR="003D244F" w:rsidRDefault="00F72FE3" w:rsidP="009C4058">
      <w:r>
        <w:t>Non-linear mixed models revealed no significant effects (1) of clutch membership on growth or (2) of clutch on growth when nested within treatment group. The model including clutch as a random effect did not fit the observed pattern of femoral growth significantly better than the second-order polynomial model without clutch (</w:t>
      </w:r>
      <m:oMath>
        <m:r>
          <m:rPr>
            <m:sty m:val="p"/>
          </m:rPr>
          <w:rPr>
            <w:rFonts w:ascii="Cambria Math" w:hAnsi="Cambria Math"/>
          </w:rPr>
          <m:t>P</m:t>
        </m:r>
      </m:oMath>
      <w:r>
        <w:t xml:space="preserve"> = 0.051; </w:t>
      </w:r>
      <m:oMath>
        <m:r>
          <m:rPr>
            <m:sty m:val="p"/>
          </m:rPr>
          <w:rPr>
            <w:rFonts w:ascii="Cambria Math" w:hAnsi="Cambria Math"/>
          </w:rPr>
          <m:t>ΔAIC</m:t>
        </m:r>
      </m:oMath>
      <w:r>
        <w:t xml:space="preserve"> = 1.8). Similarly, inclusion of oxygen treatment group did not significantly improve the model fit (</w:t>
      </w:r>
      <m:oMath>
        <m:r>
          <m:rPr>
            <m:sty m:val="p"/>
          </m:rPr>
          <w:rPr>
            <w:rFonts w:ascii="Cambria Math" w:hAnsi="Cambria Math"/>
          </w:rPr>
          <m:t>P</m:t>
        </m:r>
      </m:oMath>
      <w:r>
        <w:t xml:space="preserve"> = 0.354; </w:t>
      </w:r>
      <m:oMath>
        <m:r>
          <m:rPr>
            <m:sty m:val="p"/>
          </m:rPr>
          <w:rPr>
            <w:rFonts w:ascii="Cambria Math" w:hAnsi="Cambria Math"/>
          </w:rPr>
          <m:t>ΔAIC</m:t>
        </m:r>
      </m:oMath>
      <w:r>
        <w:t xml:space="preserve"> = 1.92). Based on these results, we did not consider clutch membership as a factor in any subsequent analyses.</w:t>
      </w:r>
    </w:p>
    <w:p w14:paraId="7CED490A" w14:textId="77777777" w:rsidR="003D244F" w:rsidRDefault="00F72FE3" w:rsidP="009C4058">
      <w:pPr>
        <w:pStyle w:val="Heading2"/>
      </w:pPr>
      <w:bookmarkStart w:id="23" w:name="biomechanical-parameters-1"/>
      <w:bookmarkEnd w:id="23"/>
      <w:r>
        <w:t>Biomechanical Parameters</w:t>
      </w:r>
    </w:p>
    <w:p w14:paraId="36180968" w14:textId="77777777" w:rsidR="003D244F" w:rsidRDefault="00F72FE3" w:rsidP="009C4058">
      <w:r>
        <w:t xml:space="preserve">Results of analysis of covariance with oxic treatment group as the main effect and femoral length as the covariate (with and without the oxic X femoral length interaction term) revealed no significant differences between normoxic, hypoxic, </w:t>
      </w:r>
      <w:r>
        <w:lastRenderedPageBreak/>
        <w:t>and hyperoxic groups in any measured biomechanical parameters. Consequently, we pooled all experimental groups and used reduced major axis regression (LaBarbera 1989) to assess scaling relationships between biomechanical measures of bone robusticity and femoral length. Results of these analyses are summarized in Table 2.</w:t>
      </w:r>
    </w:p>
    <w:p w14:paraId="532DAF86" w14:textId="77777777" w:rsidR="003D244F" w:rsidRDefault="00F72FE3" w:rsidP="009C4058">
      <w:r>
        <w:t>Overall we observed scaling patterns that reflected the underlying changes in cortical morphology with age. As alligators increased in size, bone was added periosteally with relatively little apparent endosteal resportion. The net effect of this pattern was an increase in cortical thickness and only small increases in the size of the medullary cavity (Figure ). Although both anteropesterior and dorsoventral mid-diaphyseal diameters scaled with negative allometry (</w:t>
      </w:r>
      <m:oMath>
        <m:r>
          <m:rPr>
            <m:sty m:val="p"/>
          </m:rPr>
          <w:rPr>
            <w:rFonts w:ascii="Cambria Math" w:hAnsi="Cambria Math"/>
          </w:rPr>
          <m:t>P&lt;0.001</m:t>
        </m:r>
      </m:oMath>
      <w:r>
        <w:t xml:space="preserve">), we found that cross-sectional area of the femoral cortical bones was positively allometric (Figure ; </w:t>
      </w:r>
      <m:oMath>
        <m:r>
          <m:rPr>
            <m:sty m:val="p"/>
          </m:rPr>
          <w:rPr>
            <w:rFonts w:ascii="Cambria Math" w:hAnsi="Cambria Math"/>
          </w:rPr>
          <m:t>β=2.17</m:t>
        </m:r>
      </m:oMath>
      <w:r>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β=2</m:t>
            </m:r>
          </m:sub>
        </m:sSub>
        <m:r>
          <m:rPr>
            <m:sty m:val="p"/>
          </m:rPr>
          <w:rPr>
            <w:rFonts w:ascii="Cambria Math" w:hAnsi="Cambria Math"/>
          </w:rPr>
          <m:t>&lt;0.001</m:t>
        </m:r>
      </m:oMath>
      <w:r>
        <w:t xml:space="preserve">). Thus, although the bone is narrower than would be predicted, it's resistance to axial loading is increased (although the degree to which alligator femora, or any vertebrate femoral for that matter, are axially loaded is questionable </w:t>
      </w:r>
      <w:r>
        <w:rPr>
          <w:b/>
        </w:rPr>
        <w:t>REF???</w:t>
      </w:r>
      <w:r>
        <w:t>). Scaling patterns with respect to bending loads revealed that moments of inertia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AP</m:t>
            </m:r>
          </m:sub>
        </m:sSub>
      </m:oMath>
      <w:r>
        <w:t xml:space="preserve"> and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DV</m:t>
            </m:r>
          </m:sub>
        </m:sSub>
      </m:oMath>
      <w:r>
        <w:t>) scale with significant negative allometry (</w:t>
      </w:r>
      <m:oMath>
        <m:r>
          <m:rPr>
            <m:sty m:val="p"/>
          </m:rPr>
          <w:rPr>
            <w:rFonts w:ascii="Cambria Math" w:hAnsi="Cambria Math"/>
          </w:rPr>
          <m:t>P&lt;0.001</m:t>
        </m:r>
      </m:oMath>
      <w:r>
        <w:t>; Table 2). Section moduli (</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AP</m:t>
            </m:r>
          </m:sub>
        </m:sSub>
      </m:oMath>
      <w:r>
        <w:t xml:space="preserve"> and </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DV</m:t>
            </m:r>
          </m:sub>
        </m:sSub>
      </m:oMath>
      <w:r>
        <w:t xml:space="preserve">), calculated as </w:t>
      </w:r>
      <m:oMath>
        <m:r>
          <m:rPr>
            <m:sty m:val="p"/>
          </m:rPr>
          <w:rPr>
            <w:rFonts w:ascii="Cambria Math" w:hAnsi="Cambria Math"/>
          </w:rPr>
          <m:t>I</m:t>
        </m:r>
      </m:oMath>
      <w:r>
        <w:t xml:space="preserve"> divided by the radius of the region being measured, and which approximates the bending rigidity of a particular section, scaled isometrically relative to femoral length (Figure ; Table 2). We interpret this finding to result from dividing a negatively allometric trait by another negatively allometric trait.</w:t>
      </w:r>
    </w:p>
    <w:tbl>
      <w:tblPr>
        <w:tblW w:w="0" w:type="pct"/>
        <w:tblLook w:val="04A0" w:firstRow="1" w:lastRow="0" w:firstColumn="1" w:lastColumn="0" w:noHBand="0" w:noVBand="1"/>
        <w:tblCaption w:val="Summary of analysis of covariance results. Estimates of slope (\beta) with 95% confidence intervals, null-hypothesized (isometric) slope (\beta_0), and the P-value for a test of the estimated slope vs. the isometric slope (P_{\beta = \beta_0}) are given. Diameters, moments of inertia, and section moduli were all measured with respect to orthogonal anteroposterior (AP) and dorsoventral (DV) axes. Cross-sectional area and standardized polar moment of inertia are measured without respect to anatomical orientation."/>
      </w:tblPr>
      <w:tblGrid>
        <w:gridCol w:w="3626"/>
        <w:gridCol w:w="567"/>
        <w:gridCol w:w="1103"/>
        <w:gridCol w:w="399"/>
        <w:gridCol w:w="822"/>
      </w:tblGrid>
      <w:tr w:rsidR="003D244F" w14:paraId="4722D16B" w14:textId="77777777">
        <w:tc>
          <w:tcPr>
            <w:tcW w:w="0" w:type="auto"/>
            <w:tcBorders>
              <w:bottom w:val="single" w:sz="0" w:space="0" w:color="auto"/>
            </w:tcBorders>
            <w:vAlign w:val="bottom"/>
          </w:tcPr>
          <w:p w14:paraId="1AB3923B" w14:textId="77777777" w:rsidR="003D244F" w:rsidRDefault="00F72FE3" w:rsidP="009C4058">
            <w:pPr>
              <w:pStyle w:val="Compact"/>
            </w:pPr>
            <w:r>
              <w:t>Trait</w:t>
            </w:r>
          </w:p>
        </w:tc>
        <w:tc>
          <w:tcPr>
            <w:tcW w:w="0" w:type="auto"/>
            <w:tcBorders>
              <w:bottom w:val="single" w:sz="0" w:space="0" w:color="auto"/>
            </w:tcBorders>
            <w:vAlign w:val="bottom"/>
          </w:tcPr>
          <w:p w14:paraId="75FDA025" w14:textId="77777777" w:rsidR="003D244F" w:rsidRDefault="00F72FE3" w:rsidP="009C4058">
            <w:pPr>
              <w:pStyle w:val="Compact"/>
            </w:pPr>
            <m:oMathPara>
              <m:oMath>
                <m:r>
                  <m:rPr>
                    <m:sty m:val="p"/>
                  </m:rPr>
                  <w:rPr>
                    <w:rFonts w:ascii="Cambria Math" w:hAnsi="Cambria Math"/>
                  </w:rPr>
                  <m:t>β</m:t>
                </m:r>
              </m:oMath>
            </m:oMathPara>
          </w:p>
        </w:tc>
        <w:tc>
          <w:tcPr>
            <w:tcW w:w="0" w:type="auto"/>
            <w:tcBorders>
              <w:bottom w:val="single" w:sz="0" w:space="0" w:color="auto"/>
            </w:tcBorders>
            <w:vAlign w:val="bottom"/>
          </w:tcPr>
          <w:p w14:paraId="1DF5ACEB" w14:textId="77777777" w:rsidR="003D244F" w:rsidRDefault="00F72FE3" w:rsidP="009C4058">
            <w:pPr>
              <w:pStyle w:val="Compact"/>
            </w:pPr>
            <w:r>
              <w:t>95% CI</w:t>
            </w:r>
          </w:p>
        </w:tc>
        <w:tc>
          <w:tcPr>
            <w:tcW w:w="0" w:type="auto"/>
            <w:tcBorders>
              <w:bottom w:val="single" w:sz="0" w:space="0" w:color="auto"/>
            </w:tcBorders>
            <w:vAlign w:val="bottom"/>
          </w:tcPr>
          <w:p w14:paraId="74F78869" w14:textId="77777777" w:rsidR="003D244F" w:rsidRDefault="00000000" w:rsidP="009C4058">
            <w:pPr>
              <w:pStyle w:val="Compact"/>
            </w:pPr>
            <m:oMathPara>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oMath>
            </m:oMathPara>
          </w:p>
        </w:tc>
        <w:tc>
          <w:tcPr>
            <w:tcW w:w="0" w:type="auto"/>
            <w:tcBorders>
              <w:bottom w:val="single" w:sz="0" w:space="0" w:color="auto"/>
            </w:tcBorders>
            <w:vAlign w:val="bottom"/>
          </w:tcPr>
          <w:p w14:paraId="57392A91" w14:textId="77777777" w:rsidR="003D244F" w:rsidRDefault="00000000" w:rsidP="009C4058">
            <w:pPr>
              <w:pStyle w:val="Compact"/>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sub>
                </m:sSub>
              </m:oMath>
            </m:oMathPara>
          </w:p>
        </w:tc>
      </w:tr>
      <w:tr w:rsidR="003D244F" w14:paraId="5D9630A2" w14:textId="77777777">
        <w:tc>
          <w:tcPr>
            <w:tcW w:w="0" w:type="auto"/>
          </w:tcPr>
          <w:p w14:paraId="1DC8E06C" w14:textId="77777777" w:rsidR="003D244F" w:rsidRDefault="00F72FE3" w:rsidP="009C4058">
            <w:pPr>
              <w:pStyle w:val="Compact"/>
            </w:pPr>
            <w:r>
              <w:t>AP Diameter</w:t>
            </w:r>
          </w:p>
        </w:tc>
        <w:tc>
          <w:tcPr>
            <w:tcW w:w="0" w:type="auto"/>
          </w:tcPr>
          <w:p w14:paraId="3E564DF3" w14:textId="77777777" w:rsidR="003D244F" w:rsidRDefault="00F72FE3" w:rsidP="009C4058">
            <w:pPr>
              <w:pStyle w:val="Compact"/>
            </w:pPr>
            <w:r>
              <w:t>0.85</w:t>
            </w:r>
          </w:p>
        </w:tc>
        <w:tc>
          <w:tcPr>
            <w:tcW w:w="0" w:type="auto"/>
          </w:tcPr>
          <w:p w14:paraId="0FF93E65" w14:textId="77777777" w:rsidR="003D244F" w:rsidRDefault="00F72FE3" w:rsidP="009C4058">
            <w:pPr>
              <w:pStyle w:val="Compact"/>
            </w:pPr>
            <m:oMathPara>
              <m:oMath>
                <m:r>
                  <m:rPr>
                    <m:sty m:val="p"/>
                  </m:rPr>
                  <w:rPr>
                    <w:rFonts w:ascii="Cambria Math" w:hAnsi="Cambria Math"/>
                  </w:rPr>
                  <m:t>0.82-0.87</m:t>
                </m:r>
              </m:oMath>
            </m:oMathPara>
          </w:p>
        </w:tc>
        <w:tc>
          <w:tcPr>
            <w:tcW w:w="0" w:type="auto"/>
          </w:tcPr>
          <w:p w14:paraId="67DB575F" w14:textId="77777777" w:rsidR="003D244F" w:rsidRDefault="00F72FE3" w:rsidP="009C4058">
            <w:pPr>
              <w:pStyle w:val="Compact"/>
            </w:pPr>
            <w:r>
              <w:t>1</w:t>
            </w:r>
          </w:p>
        </w:tc>
        <w:tc>
          <w:tcPr>
            <w:tcW w:w="0" w:type="auto"/>
          </w:tcPr>
          <w:p w14:paraId="64B3B791" w14:textId="77777777" w:rsidR="003D244F" w:rsidRDefault="00F72FE3" w:rsidP="009C4058">
            <w:pPr>
              <w:pStyle w:val="Compact"/>
            </w:pPr>
            <w:r>
              <w:t>&lt; 0.001</w:t>
            </w:r>
          </w:p>
        </w:tc>
      </w:tr>
      <w:tr w:rsidR="003D244F" w14:paraId="7D7D9067" w14:textId="77777777">
        <w:tc>
          <w:tcPr>
            <w:tcW w:w="0" w:type="auto"/>
          </w:tcPr>
          <w:p w14:paraId="65D49376" w14:textId="77777777" w:rsidR="003D244F" w:rsidRDefault="00F72FE3" w:rsidP="009C4058">
            <w:pPr>
              <w:pStyle w:val="Compact"/>
            </w:pPr>
            <w:r>
              <w:t>DV Diameter</w:t>
            </w:r>
          </w:p>
        </w:tc>
        <w:tc>
          <w:tcPr>
            <w:tcW w:w="0" w:type="auto"/>
          </w:tcPr>
          <w:p w14:paraId="272A0330" w14:textId="77777777" w:rsidR="003D244F" w:rsidRDefault="00F72FE3" w:rsidP="009C4058">
            <w:pPr>
              <w:pStyle w:val="Compact"/>
            </w:pPr>
            <w:r>
              <w:t>0.88</w:t>
            </w:r>
          </w:p>
        </w:tc>
        <w:tc>
          <w:tcPr>
            <w:tcW w:w="0" w:type="auto"/>
          </w:tcPr>
          <w:p w14:paraId="11C922CE" w14:textId="77777777" w:rsidR="003D244F" w:rsidRDefault="00F72FE3" w:rsidP="009C4058">
            <w:pPr>
              <w:pStyle w:val="Compact"/>
            </w:pPr>
            <m:oMathPara>
              <m:oMath>
                <m:r>
                  <m:rPr>
                    <m:sty m:val="p"/>
                  </m:rPr>
                  <w:rPr>
                    <w:rFonts w:ascii="Cambria Math" w:hAnsi="Cambria Math"/>
                  </w:rPr>
                  <m:t>0.86-0.9</m:t>
                </m:r>
              </m:oMath>
            </m:oMathPara>
          </w:p>
        </w:tc>
        <w:tc>
          <w:tcPr>
            <w:tcW w:w="0" w:type="auto"/>
          </w:tcPr>
          <w:p w14:paraId="6C48EE8F" w14:textId="77777777" w:rsidR="003D244F" w:rsidRDefault="00F72FE3" w:rsidP="009C4058">
            <w:pPr>
              <w:pStyle w:val="Compact"/>
            </w:pPr>
            <w:r>
              <w:t>1</w:t>
            </w:r>
          </w:p>
        </w:tc>
        <w:tc>
          <w:tcPr>
            <w:tcW w:w="0" w:type="auto"/>
          </w:tcPr>
          <w:p w14:paraId="44F4C6DB" w14:textId="77777777" w:rsidR="003D244F" w:rsidRDefault="00F72FE3" w:rsidP="009C4058">
            <w:pPr>
              <w:pStyle w:val="Compact"/>
            </w:pPr>
            <w:r>
              <w:t>&lt; 0.001</w:t>
            </w:r>
          </w:p>
        </w:tc>
      </w:tr>
      <w:tr w:rsidR="003D244F" w14:paraId="4F3F7F69" w14:textId="77777777">
        <w:tc>
          <w:tcPr>
            <w:tcW w:w="0" w:type="auto"/>
          </w:tcPr>
          <w:p w14:paraId="5519BF3F" w14:textId="77777777" w:rsidR="003D244F" w:rsidRDefault="00F72FE3" w:rsidP="009C4058">
            <w:pPr>
              <w:pStyle w:val="Compact"/>
            </w:pPr>
            <w:r>
              <w:t>Cross-sectional Area</w:t>
            </w:r>
          </w:p>
        </w:tc>
        <w:tc>
          <w:tcPr>
            <w:tcW w:w="0" w:type="auto"/>
          </w:tcPr>
          <w:p w14:paraId="57CAA93B" w14:textId="77777777" w:rsidR="003D244F" w:rsidRDefault="00F72FE3" w:rsidP="009C4058">
            <w:pPr>
              <w:pStyle w:val="Compact"/>
            </w:pPr>
            <w:r>
              <w:t>2.17</w:t>
            </w:r>
          </w:p>
        </w:tc>
        <w:tc>
          <w:tcPr>
            <w:tcW w:w="0" w:type="auto"/>
          </w:tcPr>
          <w:p w14:paraId="14CB1201" w14:textId="77777777" w:rsidR="003D244F" w:rsidRDefault="00F72FE3" w:rsidP="009C4058">
            <w:pPr>
              <w:pStyle w:val="Compact"/>
            </w:pPr>
            <m:oMathPara>
              <m:oMath>
                <m:r>
                  <m:rPr>
                    <m:sty m:val="p"/>
                  </m:rPr>
                  <w:rPr>
                    <w:rFonts w:ascii="Cambria Math" w:hAnsi="Cambria Math"/>
                  </w:rPr>
                  <m:t>2.12-2.22</m:t>
                </m:r>
              </m:oMath>
            </m:oMathPara>
          </w:p>
        </w:tc>
        <w:tc>
          <w:tcPr>
            <w:tcW w:w="0" w:type="auto"/>
          </w:tcPr>
          <w:p w14:paraId="4D7E7479" w14:textId="77777777" w:rsidR="003D244F" w:rsidRDefault="00F72FE3" w:rsidP="009C4058">
            <w:pPr>
              <w:pStyle w:val="Compact"/>
            </w:pPr>
            <w:r>
              <w:t>2</w:t>
            </w:r>
          </w:p>
        </w:tc>
        <w:tc>
          <w:tcPr>
            <w:tcW w:w="0" w:type="auto"/>
          </w:tcPr>
          <w:p w14:paraId="07472412" w14:textId="77777777" w:rsidR="003D244F" w:rsidRDefault="00F72FE3" w:rsidP="009C4058">
            <w:pPr>
              <w:pStyle w:val="Compact"/>
            </w:pPr>
            <w:r>
              <w:t>&lt; 0.001</w:t>
            </w:r>
          </w:p>
        </w:tc>
      </w:tr>
      <w:tr w:rsidR="003D244F" w14:paraId="2E133DC2" w14:textId="77777777">
        <w:tc>
          <w:tcPr>
            <w:tcW w:w="0" w:type="auto"/>
          </w:tcPr>
          <w:p w14:paraId="5207B3D0" w14:textId="77777777" w:rsidR="003D244F" w:rsidRDefault="00F72FE3" w:rsidP="009C4058">
            <w:pPr>
              <w:pStyle w:val="Compact"/>
            </w:pPr>
            <w:r>
              <w:t>AP Moment of Inertia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AP</m:t>
                  </m:r>
                </m:sub>
              </m:sSub>
            </m:oMath>
            <w:r>
              <w:t>)</w:t>
            </w:r>
          </w:p>
        </w:tc>
        <w:tc>
          <w:tcPr>
            <w:tcW w:w="0" w:type="auto"/>
          </w:tcPr>
          <w:p w14:paraId="0C8A1625" w14:textId="77777777" w:rsidR="003D244F" w:rsidRDefault="00F72FE3" w:rsidP="009C4058">
            <w:pPr>
              <w:pStyle w:val="Compact"/>
            </w:pPr>
            <w:r>
              <w:t>3.77</w:t>
            </w:r>
          </w:p>
        </w:tc>
        <w:tc>
          <w:tcPr>
            <w:tcW w:w="0" w:type="auto"/>
          </w:tcPr>
          <w:p w14:paraId="28804C47" w14:textId="77777777" w:rsidR="003D244F" w:rsidRDefault="00F72FE3" w:rsidP="009C4058">
            <w:pPr>
              <w:pStyle w:val="Compact"/>
            </w:pPr>
            <m:oMathPara>
              <m:oMath>
                <m:r>
                  <m:rPr>
                    <m:sty m:val="p"/>
                  </m:rPr>
                  <w:rPr>
                    <w:rFonts w:ascii="Cambria Math" w:hAnsi="Cambria Math"/>
                  </w:rPr>
                  <m:t>3.68-3.87</m:t>
                </m:r>
              </m:oMath>
            </m:oMathPara>
          </w:p>
        </w:tc>
        <w:tc>
          <w:tcPr>
            <w:tcW w:w="0" w:type="auto"/>
          </w:tcPr>
          <w:p w14:paraId="5CFB1A88" w14:textId="77777777" w:rsidR="003D244F" w:rsidRDefault="00F72FE3" w:rsidP="009C4058">
            <w:pPr>
              <w:pStyle w:val="Compact"/>
            </w:pPr>
            <w:r>
              <w:t>4</w:t>
            </w:r>
          </w:p>
        </w:tc>
        <w:tc>
          <w:tcPr>
            <w:tcW w:w="0" w:type="auto"/>
          </w:tcPr>
          <w:p w14:paraId="2835ABF9" w14:textId="77777777" w:rsidR="003D244F" w:rsidRDefault="00F72FE3" w:rsidP="009C4058">
            <w:pPr>
              <w:pStyle w:val="Compact"/>
            </w:pPr>
            <w:r>
              <w:t>&lt; 0.001</w:t>
            </w:r>
          </w:p>
        </w:tc>
      </w:tr>
      <w:tr w:rsidR="003D244F" w14:paraId="714358E1" w14:textId="77777777">
        <w:tc>
          <w:tcPr>
            <w:tcW w:w="0" w:type="auto"/>
          </w:tcPr>
          <w:p w14:paraId="33350E33" w14:textId="77777777" w:rsidR="003D244F" w:rsidRDefault="00F72FE3" w:rsidP="009C4058">
            <w:pPr>
              <w:pStyle w:val="Compact"/>
            </w:pPr>
            <w:r>
              <w:t>DV Moment of Inertia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DV</m:t>
                  </m:r>
                </m:sub>
              </m:sSub>
            </m:oMath>
            <w:r>
              <w:t>)</w:t>
            </w:r>
          </w:p>
        </w:tc>
        <w:tc>
          <w:tcPr>
            <w:tcW w:w="0" w:type="auto"/>
          </w:tcPr>
          <w:p w14:paraId="156E8263" w14:textId="77777777" w:rsidR="003D244F" w:rsidRDefault="00F72FE3" w:rsidP="009C4058">
            <w:pPr>
              <w:pStyle w:val="Compact"/>
            </w:pPr>
            <w:r>
              <w:t>3.76</w:t>
            </w:r>
          </w:p>
        </w:tc>
        <w:tc>
          <w:tcPr>
            <w:tcW w:w="0" w:type="auto"/>
          </w:tcPr>
          <w:p w14:paraId="4B8CCADC" w14:textId="77777777" w:rsidR="003D244F" w:rsidRDefault="00F72FE3" w:rsidP="009C4058">
            <w:pPr>
              <w:pStyle w:val="Compact"/>
            </w:pPr>
            <m:oMathPara>
              <m:oMath>
                <m:r>
                  <m:rPr>
                    <m:sty m:val="p"/>
                  </m:rPr>
                  <w:rPr>
                    <w:rFonts w:ascii="Cambria Math" w:hAnsi="Cambria Math"/>
                  </w:rPr>
                  <m:t>3.64-3.88</m:t>
                </m:r>
              </m:oMath>
            </m:oMathPara>
          </w:p>
        </w:tc>
        <w:tc>
          <w:tcPr>
            <w:tcW w:w="0" w:type="auto"/>
          </w:tcPr>
          <w:p w14:paraId="734F2AEB" w14:textId="77777777" w:rsidR="003D244F" w:rsidRDefault="00F72FE3" w:rsidP="009C4058">
            <w:pPr>
              <w:pStyle w:val="Compact"/>
            </w:pPr>
            <w:r>
              <w:t>4</w:t>
            </w:r>
          </w:p>
        </w:tc>
        <w:tc>
          <w:tcPr>
            <w:tcW w:w="0" w:type="auto"/>
          </w:tcPr>
          <w:p w14:paraId="3F2E60C6" w14:textId="77777777" w:rsidR="003D244F" w:rsidRDefault="00F72FE3" w:rsidP="009C4058">
            <w:pPr>
              <w:pStyle w:val="Compact"/>
            </w:pPr>
            <w:r>
              <w:t>&lt; 0.001</w:t>
            </w:r>
          </w:p>
        </w:tc>
      </w:tr>
      <w:tr w:rsidR="003D244F" w14:paraId="34C19CA8" w14:textId="77777777">
        <w:tc>
          <w:tcPr>
            <w:tcW w:w="0" w:type="auto"/>
          </w:tcPr>
          <w:p w14:paraId="3FB59E7C" w14:textId="77777777" w:rsidR="003D244F" w:rsidRDefault="00F72FE3" w:rsidP="009C4058">
            <w:pPr>
              <w:pStyle w:val="Compact"/>
            </w:pPr>
            <w:r>
              <w:t>AP Section Modulus (</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AP</m:t>
                  </m:r>
                </m:sub>
              </m:sSub>
            </m:oMath>
            <w:r>
              <w:t>)</w:t>
            </w:r>
          </w:p>
        </w:tc>
        <w:tc>
          <w:tcPr>
            <w:tcW w:w="0" w:type="auto"/>
          </w:tcPr>
          <w:p w14:paraId="358DC082" w14:textId="77777777" w:rsidR="003D244F" w:rsidRDefault="00F72FE3" w:rsidP="009C4058">
            <w:pPr>
              <w:pStyle w:val="Compact"/>
            </w:pPr>
            <w:r>
              <w:t>2.93</w:t>
            </w:r>
          </w:p>
        </w:tc>
        <w:tc>
          <w:tcPr>
            <w:tcW w:w="0" w:type="auto"/>
          </w:tcPr>
          <w:p w14:paraId="1A1EFD51" w14:textId="77777777" w:rsidR="003D244F" w:rsidRDefault="00F72FE3" w:rsidP="009C4058">
            <w:pPr>
              <w:pStyle w:val="Compact"/>
            </w:pPr>
            <m:oMathPara>
              <m:oMath>
                <m:r>
                  <m:rPr>
                    <m:sty m:val="p"/>
                  </m:rPr>
                  <w:rPr>
                    <w:rFonts w:ascii="Cambria Math" w:hAnsi="Cambria Math"/>
                  </w:rPr>
                  <m:t>2.84-3.02</m:t>
                </m:r>
              </m:oMath>
            </m:oMathPara>
          </w:p>
        </w:tc>
        <w:tc>
          <w:tcPr>
            <w:tcW w:w="0" w:type="auto"/>
          </w:tcPr>
          <w:p w14:paraId="31E8C7D8" w14:textId="77777777" w:rsidR="003D244F" w:rsidRDefault="00F72FE3" w:rsidP="009C4058">
            <w:pPr>
              <w:pStyle w:val="Compact"/>
            </w:pPr>
            <w:r>
              <w:t>3</w:t>
            </w:r>
          </w:p>
        </w:tc>
        <w:tc>
          <w:tcPr>
            <w:tcW w:w="0" w:type="auto"/>
          </w:tcPr>
          <w:p w14:paraId="4A4784E2" w14:textId="77777777" w:rsidR="003D244F" w:rsidRDefault="00F72FE3" w:rsidP="009C4058">
            <w:pPr>
              <w:pStyle w:val="Compact"/>
            </w:pPr>
            <w:r>
              <w:t>0.11</w:t>
            </w:r>
          </w:p>
        </w:tc>
      </w:tr>
      <w:tr w:rsidR="003D244F" w14:paraId="388D7FB5" w14:textId="77777777">
        <w:tc>
          <w:tcPr>
            <w:tcW w:w="0" w:type="auto"/>
          </w:tcPr>
          <w:p w14:paraId="02A3A89C" w14:textId="77777777" w:rsidR="003D244F" w:rsidRDefault="00F72FE3" w:rsidP="009C4058">
            <w:pPr>
              <w:pStyle w:val="Compact"/>
            </w:pPr>
            <w:r>
              <w:t>DV Section Modulus (</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DV</m:t>
                  </m:r>
                </m:sub>
              </m:sSub>
            </m:oMath>
            <w:r>
              <w:t>)</w:t>
            </w:r>
          </w:p>
        </w:tc>
        <w:tc>
          <w:tcPr>
            <w:tcW w:w="0" w:type="auto"/>
          </w:tcPr>
          <w:p w14:paraId="5B881866" w14:textId="77777777" w:rsidR="003D244F" w:rsidRDefault="00F72FE3" w:rsidP="009C4058">
            <w:pPr>
              <w:pStyle w:val="Compact"/>
            </w:pPr>
            <w:r>
              <w:t>2.93</w:t>
            </w:r>
          </w:p>
        </w:tc>
        <w:tc>
          <w:tcPr>
            <w:tcW w:w="0" w:type="auto"/>
          </w:tcPr>
          <w:p w14:paraId="0F1CF5F3" w14:textId="77777777" w:rsidR="003D244F" w:rsidRDefault="00F72FE3" w:rsidP="009C4058">
            <w:pPr>
              <w:pStyle w:val="Compact"/>
            </w:pPr>
            <m:oMathPara>
              <m:oMath>
                <m:r>
                  <m:rPr>
                    <m:sty m:val="p"/>
                  </m:rPr>
                  <w:rPr>
                    <w:rFonts w:ascii="Cambria Math" w:hAnsi="Cambria Math"/>
                  </w:rPr>
                  <m:t>2.83-3.03</m:t>
                </m:r>
              </m:oMath>
            </m:oMathPara>
          </w:p>
        </w:tc>
        <w:tc>
          <w:tcPr>
            <w:tcW w:w="0" w:type="auto"/>
          </w:tcPr>
          <w:p w14:paraId="65141D2D" w14:textId="77777777" w:rsidR="003D244F" w:rsidRDefault="00F72FE3" w:rsidP="009C4058">
            <w:pPr>
              <w:pStyle w:val="Compact"/>
            </w:pPr>
            <w:r>
              <w:t>3</w:t>
            </w:r>
          </w:p>
        </w:tc>
        <w:tc>
          <w:tcPr>
            <w:tcW w:w="0" w:type="auto"/>
          </w:tcPr>
          <w:p w14:paraId="4FB04680" w14:textId="77777777" w:rsidR="003D244F" w:rsidRDefault="00F72FE3" w:rsidP="009C4058">
            <w:pPr>
              <w:pStyle w:val="Compact"/>
            </w:pPr>
            <w:r>
              <w:t>0.17</w:t>
            </w:r>
          </w:p>
        </w:tc>
      </w:tr>
      <w:tr w:rsidR="003D244F" w14:paraId="0A1F1A0D" w14:textId="77777777">
        <w:tc>
          <w:tcPr>
            <w:tcW w:w="0" w:type="auto"/>
          </w:tcPr>
          <w:p w14:paraId="2769091D" w14:textId="77777777" w:rsidR="003D244F" w:rsidRDefault="00F72FE3" w:rsidP="009C4058">
            <w:pPr>
              <w:pStyle w:val="Compact"/>
            </w:pPr>
            <w:r>
              <w:t>Standardized Polar Moment of Inertia (</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std</m:t>
                  </m:r>
                </m:sub>
              </m:sSub>
            </m:oMath>
            <w:r>
              <w:t>)</w:t>
            </w:r>
          </w:p>
        </w:tc>
        <w:tc>
          <w:tcPr>
            <w:tcW w:w="0" w:type="auto"/>
          </w:tcPr>
          <w:p w14:paraId="038F6685" w14:textId="77777777" w:rsidR="003D244F" w:rsidRDefault="00F72FE3" w:rsidP="009C4058">
            <w:pPr>
              <w:pStyle w:val="Compact"/>
            </w:pPr>
            <w:r>
              <w:t>2.78</w:t>
            </w:r>
          </w:p>
        </w:tc>
        <w:tc>
          <w:tcPr>
            <w:tcW w:w="0" w:type="auto"/>
          </w:tcPr>
          <w:p w14:paraId="2F5CACA6" w14:textId="77777777" w:rsidR="003D244F" w:rsidRDefault="00F72FE3" w:rsidP="009C4058">
            <w:pPr>
              <w:pStyle w:val="Compact"/>
            </w:pPr>
            <m:oMathPara>
              <m:oMath>
                <m:r>
                  <m:rPr>
                    <m:sty m:val="p"/>
                  </m:rPr>
                  <w:rPr>
                    <w:rFonts w:ascii="Cambria Math" w:hAnsi="Cambria Math"/>
                  </w:rPr>
                  <m:t>2.68-2.89</m:t>
                </m:r>
              </m:oMath>
            </m:oMathPara>
          </w:p>
        </w:tc>
        <w:tc>
          <w:tcPr>
            <w:tcW w:w="0" w:type="auto"/>
          </w:tcPr>
          <w:p w14:paraId="115815DA" w14:textId="77777777" w:rsidR="003D244F" w:rsidRDefault="00F72FE3" w:rsidP="009C4058">
            <w:pPr>
              <w:pStyle w:val="Compact"/>
            </w:pPr>
            <w:r>
              <w:t>3</w:t>
            </w:r>
          </w:p>
        </w:tc>
        <w:tc>
          <w:tcPr>
            <w:tcW w:w="0" w:type="auto"/>
          </w:tcPr>
          <w:p w14:paraId="7B4B12D9" w14:textId="77777777" w:rsidR="003D244F" w:rsidRDefault="00F72FE3" w:rsidP="009C4058">
            <w:pPr>
              <w:pStyle w:val="Compact"/>
            </w:pPr>
            <w:r>
              <w:t>&lt; 0.001</w:t>
            </w:r>
          </w:p>
        </w:tc>
      </w:tr>
    </w:tbl>
    <w:p w14:paraId="66372B14" w14:textId="77777777" w:rsidR="003D244F" w:rsidRDefault="00F72FE3" w:rsidP="009C4058">
      <w:pPr>
        <w:pStyle w:val="TableCaption"/>
      </w:pPr>
      <w:r>
        <w:t>Summary of analysis of covariance results. Estimates of slope (</w:t>
      </w:r>
      <m:oMath>
        <m:r>
          <w:rPr>
            <w:rFonts w:ascii="Cambria Math" w:hAnsi="Cambria Math"/>
          </w:rPr>
          <m:t>β</m:t>
        </m:r>
      </m:oMath>
      <w:r>
        <w:t>) with 95% confidence intervals, null-hypothesized (isometric) slope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and the </w:t>
      </w:r>
      <m:oMath>
        <m:r>
          <w:rPr>
            <w:rFonts w:ascii="Cambria Math" w:hAnsi="Cambria Math"/>
          </w:rPr>
          <m:t>P</m:t>
        </m:r>
      </m:oMath>
      <w:r>
        <w:t xml:space="preserve">-value for a test of the estimated slope vs. the isometric slope </w:t>
      </w:r>
      <w:r>
        <w:lastRenderedPageBreak/>
        <w:t>(</w:t>
      </w:r>
      <m:oMath>
        <m:sSub>
          <m:sSubPr>
            <m:ctrlPr>
              <w:rPr>
                <w:rFonts w:ascii="Cambria Math" w:hAnsi="Cambria Math"/>
              </w:rPr>
            </m:ctrlPr>
          </m:sSubPr>
          <m:e>
            <m:r>
              <w:rPr>
                <w:rFonts w:ascii="Cambria Math" w:hAnsi="Cambria Math"/>
              </w:rPr>
              <m:t>P</m:t>
            </m:r>
          </m:e>
          <m:sub>
            <m:r>
              <w:rPr>
                <w:rFonts w:ascii="Cambria Math" w:hAnsi="Cambria Math"/>
              </w:rPr>
              <m:t>β=</m:t>
            </m:r>
            <m:sSub>
              <m:sSubPr>
                <m:ctrlPr>
                  <w:rPr>
                    <w:rFonts w:ascii="Cambria Math" w:hAnsi="Cambria Math"/>
                  </w:rPr>
                </m:ctrlPr>
              </m:sSubPr>
              <m:e>
                <m:r>
                  <w:rPr>
                    <w:rFonts w:ascii="Cambria Math" w:hAnsi="Cambria Math"/>
                  </w:rPr>
                  <m:t>β</m:t>
                </m:r>
              </m:e>
              <m:sub>
                <m:r>
                  <w:rPr>
                    <w:rFonts w:ascii="Cambria Math" w:hAnsi="Cambria Math"/>
                  </w:rPr>
                  <m:t>0</m:t>
                </m:r>
              </m:sub>
            </m:sSub>
          </m:sub>
        </m:sSub>
      </m:oMath>
      <w:r>
        <w:t>) are given. Diameters, moments of inertia, and section moduli were all measured with respect to orthogonal anteroposterior (AP) and dorsoventral (DV) axes. Cross-sectional area and standardized polar moment of inertia are measured without respect to anatomical orientation.</w:t>
      </w:r>
    </w:p>
    <w:p w14:paraId="6D7C8D9B" w14:textId="77777777" w:rsidR="003D244F" w:rsidRDefault="00F72FE3" w:rsidP="009C4058">
      <w:r>
        <w:rPr>
          <w:noProof/>
        </w:rPr>
        <w:drawing>
          <wp:inline distT="0" distB="0" distL="0" distR="0" wp14:anchorId="6E0311C1" wp14:editId="06CD09BC">
            <wp:extent cx="5440680" cy="326440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Oxic_Gator_Bone_Morphology_files/figure-docx/CA-1.png"/>
                    <pic:cNvPicPr>
                      <a:picLocks noChangeAspect="1" noChangeArrowheads="1"/>
                    </pic:cNvPicPr>
                  </pic:nvPicPr>
                  <pic:blipFill>
                    <a:blip r:embed="rId11"/>
                    <a:stretch>
                      <a:fillRect/>
                    </a:stretch>
                  </pic:blipFill>
                  <pic:spPr bwMode="auto">
                    <a:xfrm>
                      <a:off x="0" y="0"/>
                      <a:ext cx="5440680" cy="3264408"/>
                    </a:xfrm>
                    <a:prstGeom prst="rect">
                      <a:avLst/>
                    </a:prstGeom>
                    <a:noFill/>
                    <a:ln w="9525">
                      <a:noFill/>
                      <a:headEnd/>
                      <a:tailEnd/>
                    </a:ln>
                  </pic:spPr>
                </pic:pic>
              </a:graphicData>
            </a:graphic>
          </wp:inline>
        </w:drawing>
      </w:r>
    </w:p>
    <w:p w14:paraId="5E51705D" w14:textId="77777777" w:rsidR="003D244F" w:rsidRDefault="00F72FE3" w:rsidP="009C4058">
      <w:pPr>
        <w:pStyle w:val="ImageCaption"/>
      </w:pPr>
      <w:r>
        <w:t>Femoral mid-diaphseal cross sectional area.</w:t>
      </w:r>
    </w:p>
    <w:p w14:paraId="75507FC4" w14:textId="77777777" w:rsidR="003D244F" w:rsidRDefault="00F72FE3" w:rsidP="009C4058">
      <w:r>
        <w:rPr>
          <w:noProof/>
        </w:rPr>
        <w:drawing>
          <wp:inline distT="0" distB="0" distL="0" distR="0" wp14:anchorId="02FB2514" wp14:editId="77CA1115">
            <wp:extent cx="5440680" cy="326440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Oxic_Gator_Bone_Morphology_files/figure-docx/Imax-1.png"/>
                    <pic:cNvPicPr>
                      <a:picLocks noChangeAspect="1" noChangeArrowheads="1"/>
                    </pic:cNvPicPr>
                  </pic:nvPicPr>
                  <pic:blipFill>
                    <a:blip r:embed="rId12"/>
                    <a:stretch>
                      <a:fillRect/>
                    </a:stretch>
                  </pic:blipFill>
                  <pic:spPr bwMode="auto">
                    <a:xfrm>
                      <a:off x="0" y="0"/>
                      <a:ext cx="5440680" cy="3264408"/>
                    </a:xfrm>
                    <a:prstGeom prst="rect">
                      <a:avLst/>
                    </a:prstGeom>
                    <a:noFill/>
                    <a:ln w="9525">
                      <a:noFill/>
                      <a:headEnd/>
                      <a:tailEnd/>
                    </a:ln>
                  </pic:spPr>
                </pic:pic>
              </a:graphicData>
            </a:graphic>
          </wp:inline>
        </w:drawing>
      </w:r>
    </w:p>
    <w:p w14:paraId="2C427632" w14:textId="77777777" w:rsidR="003D244F" w:rsidRDefault="00F72FE3" w:rsidP="009C4058">
      <w:pPr>
        <w:pStyle w:val="ImageCaption"/>
      </w:pPr>
      <w:r>
        <w:rPr>
          <w:b/>
        </w:rPr>
        <w:t>SI only???</w:t>
      </w:r>
      <w:r>
        <w:t xml:space="preserve"> Dorsoventral Moment of Inertia</w:t>
      </w:r>
    </w:p>
    <w:p w14:paraId="0CBD1689" w14:textId="77777777" w:rsidR="003D244F" w:rsidRDefault="00F72FE3" w:rsidP="009C4058">
      <w:r>
        <w:rPr>
          <w:noProof/>
        </w:rPr>
        <w:lastRenderedPageBreak/>
        <w:drawing>
          <wp:inline distT="0" distB="0" distL="0" distR="0" wp14:anchorId="1DFE41E7" wp14:editId="3E32FB48">
            <wp:extent cx="5440680" cy="3264408"/>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Oxic_Gator_Bone_Morphology_files/figure-docx/Jstd-1.png"/>
                    <pic:cNvPicPr>
                      <a:picLocks noChangeAspect="1" noChangeArrowheads="1"/>
                    </pic:cNvPicPr>
                  </pic:nvPicPr>
                  <pic:blipFill>
                    <a:blip r:embed="rId13"/>
                    <a:stretch>
                      <a:fillRect/>
                    </a:stretch>
                  </pic:blipFill>
                  <pic:spPr bwMode="auto">
                    <a:xfrm>
                      <a:off x="0" y="0"/>
                      <a:ext cx="5440680" cy="3264408"/>
                    </a:xfrm>
                    <a:prstGeom prst="rect">
                      <a:avLst/>
                    </a:prstGeom>
                    <a:noFill/>
                    <a:ln w="9525">
                      <a:noFill/>
                      <a:headEnd/>
                      <a:tailEnd/>
                    </a:ln>
                  </pic:spPr>
                </pic:pic>
              </a:graphicData>
            </a:graphic>
          </wp:inline>
        </w:drawing>
      </w:r>
    </w:p>
    <w:p w14:paraId="4D164C5A" w14:textId="77777777" w:rsidR="003D244F" w:rsidRDefault="00F72FE3" w:rsidP="009C4058">
      <w:pPr>
        <w:pStyle w:val="ImageCaption"/>
      </w:pPr>
      <w:r>
        <w:rPr>
          <w:b/>
        </w:rPr>
        <w:t>SI only???</w:t>
      </w:r>
      <w:r>
        <w:t xml:space="preserve"> Standardized Polar Moment of Inertia</w:t>
      </w:r>
    </w:p>
    <w:p w14:paraId="6B7BF694" w14:textId="77777777" w:rsidR="003D244F" w:rsidRDefault="00F72FE3" w:rsidP="009C4058">
      <w:r>
        <w:rPr>
          <w:noProof/>
        </w:rPr>
        <w:drawing>
          <wp:inline distT="0" distB="0" distL="0" distR="0" wp14:anchorId="44DED41F" wp14:editId="337C705F">
            <wp:extent cx="5440680" cy="3264408"/>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Oxic_Gator_Bone_Morphology_files/figure-docx/Z_DV-1.png"/>
                    <pic:cNvPicPr>
                      <a:picLocks noChangeAspect="1" noChangeArrowheads="1"/>
                    </pic:cNvPicPr>
                  </pic:nvPicPr>
                  <pic:blipFill>
                    <a:blip r:embed="rId14"/>
                    <a:stretch>
                      <a:fillRect/>
                    </a:stretch>
                  </pic:blipFill>
                  <pic:spPr bwMode="auto">
                    <a:xfrm>
                      <a:off x="0" y="0"/>
                      <a:ext cx="5440680" cy="3264408"/>
                    </a:xfrm>
                    <a:prstGeom prst="rect">
                      <a:avLst/>
                    </a:prstGeom>
                    <a:noFill/>
                    <a:ln w="9525">
                      <a:noFill/>
                      <a:headEnd/>
                      <a:tailEnd/>
                    </a:ln>
                  </pic:spPr>
                </pic:pic>
              </a:graphicData>
            </a:graphic>
          </wp:inline>
        </w:drawing>
      </w:r>
    </w:p>
    <w:p w14:paraId="0DAF7C76" w14:textId="77777777" w:rsidR="003D244F" w:rsidRDefault="00F72FE3" w:rsidP="009C4058">
      <w:pPr>
        <w:pStyle w:val="ImageCaption"/>
      </w:pPr>
      <w:r>
        <w:t>Dorsoventral Section Modulus</w:t>
      </w:r>
    </w:p>
    <w:p w14:paraId="2046758A" w14:textId="77777777" w:rsidR="003D244F" w:rsidRDefault="00F72FE3" w:rsidP="009C4058">
      <w:pPr>
        <w:pStyle w:val="Heading1"/>
      </w:pPr>
      <w:bookmarkStart w:id="24" w:name="discussion"/>
      <w:bookmarkEnd w:id="24"/>
      <w:r>
        <w:lastRenderedPageBreak/>
        <w:t>Discussion</w:t>
      </w:r>
    </w:p>
    <w:p w14:paraId="4A17EB3A" w14:textId="77777777" w:rsidR="003D244F" w:rsidRDefault="00F72FE3" w:rsidP="009C4058">
      <w:pPr>
        <w:pStyle w:val="Heading2"/>
      </w:pPr>
      <w:bookmarkStart w:id="25" w:name="main-conclusions"/>
      <w:bookmarkEnd w:id="25"/>
      <w:r>
        <w:t>Main Conclusions</w:t>
      </w:r>
    </w:p>
    <w:p w14:paraId="12A7DD79" w14:textId="77777777" w:rsidR="003D244F" w:rsidRDefault="00F72FE3" w:rsidP="009C4058">
      <w:pPr>
        <w:pStyle w:val="Compact"/>
        <w:numPr>
          <w:ilvl w:val="0"/>
          <w:numId w:val="7"/>
        </w:numPr>
      </w:pPr>
      <w:r>
        <w:t>No effect of O2 treatment on growth rates</w:t>
      </w:r>
    </w:p>
    <w:p w14:paraId="4CE836C9" w14:textId="77777777" w:rsidR="003D244F" w:rsidRDefault="00F72FE3" w:rsidP="009C4058">
      <w:pPr>
        <w:pStyle w:val="Compact"/>
        <w:numPr>
          <w:ilvl w:val="1"/>
          <w:numId w:val="8"/>
        </w:numPr>
      </w:pPr>
      <w:r>
        <w:t>Both determinate and indeterminate show the same pattern where in models that include teatment groups are not significantly improved over models that do not include separate groups. Although the models must by definition fit better, this improvement is not significant.</w:t>
      </w:r>
    </w:p>
    <w:p w14:paraId="038A8FF8" w14:textId="77777777" w:rsidR="003D244F" w:rsidRDefault="00F72FE3" w:rsidP="009C4058">
      <w:pPr>
        <w:pStyle w:val="Compact"/>
        <w:numPr>
          <w:ilvl w:val="1"/>
          <w:numId w:val="8"/>
        </w:numPr>
      </w:pPr>
      <w:r>
        <w:t>Studies of dinosaur growth &amp; estimates of dinosaur growth curves (e.g., Erickson and Tumanova 2000; Erickson et al. 2001, 2004; Lee and Werning 2008; Myhrvold 2013) do not need to consider the prevailing atmospheric oxygen level</w:t>
      </w:r>
    </w:p>
    <w:p w14:paraId="75C1D37D" w14:textId="77777777" w:rsidR="003D244F" w:rsidRDefault="00F72FE3" w:rsidP="009C4058">
      <w:pPr>
        <w:pStyle w:val="Compact"/>
        <w:numPr>
          <w:ilvl w:val="0"/>
          <w:numId w:val="7"/>
        </w:numPr>
      </w:pPr>
      <w:r>
        <w:t>No effect of O2 treatment of XS biomechanical parameters</w:t>
      </w:r>
    </w:p>
    <w:p w14:paraId="27DB5DAB" w14:textId="77777777" w:rsidR="003D244F" w:rsidRDefault="00F72FE3" w:rsidP="009C4058">
      <w:pPr>
        <w:pStyle w:val="Compact"/>
        <w:numPr>
          <w:ilvl w:val="1"/>
          <w:numId w:val="9"/>
        </w:numPr>
      </w:pPr>
      <w:r>
        <w:t>Not terribly surprising given that there are no differences in growth</w:t>
      </w:r>
    </w:p>
    <w:p w14:paraId="25A53B52" w14:textId="77777777" w:rsidR="003D244F" w:rsidRDefault="00F72FE3" w:rsidP="009C4058">
      <w:pPr>
        <w:pStyle w:val="Compact"/>
        <w:numPr>
          <w:ilvl w:val="1"/>
          <w:numId w:val="9"/>
        </w:numPr>
      </w:pPr>
      <w:r>
        <w:t>How does this compare with other animals? CSA in particular</w:t>
      </w:r>
    </w:p>
    <w:p w14:paraId="4EE1763B" w14:textId="77777777" w:rsidR="003D244F" w:rsidRDefault="00F72FE3" w:rsidP="009C4058">
      <w:pPr>
        <w:pStyle w:val="Heading2"/>
      </w:pPr>
      <w:bookmarkStart w:id="26" w:name="physiological-effects-of-hypoxia-and-hyp"/>
      <w:bookmarkEnd w:id="26"/>
      <w:r>
        <w:t>Physiological Effects of Hypoxia and Hyperoxia</w:t>
      </w:r>
    </w:p>
    <w:p w14:paraId="3A818D2D" w14:textId="77777777" w:rsidR="003D244F" w:rsidRDefault="00F72FE3" w:rsidP="009C4058">
      <w:r>
        <w:t>Studies of the effects of altered atmospheric oxygen---hypoxia (low [O</w:t>
      </w:r>
      <w:r>
        <w:rPr>
          <w:vertAlign w:val="subscript"/>
        </w:rPr>
        <w:t>2</w:t>
      </w:r>
      <w:r>
        <w:t>] relative to PAL) and hyperoxia (high [O</w:t>
      </w:r>
      <w:r>
        <w:rPr>
          <w:vertAlign w:val="subscript"/>
        </w:rPr>
        <w:t>2</w:t>
      </w:r>
      <w:r>
        <w:t>] relative to PAL)---have traditionally focused on rodents and birds, although some studies have addressed other species. For example, alligators, the subject of this study, as well as turtles have emerged as model organisms for the study of "oxia" (</w:t>
      </w:r>
      <w:r>
        <w:rPr>
          <w:b/>
        </w:rPr>
        <w:t>REF to Eme, Hicks, Crossley, Warren/Jackson papers</w:t>
      </w:r>
      <w:r>
        <w:t>).</w:t>
      </w:r>
    </w:p>
    <w:p w14:paraId="1711C5BA" w14:textId="77777777" w:rsidR="003D244F" w:rsidRDefault="00F72FE3" w:rsidP="009C4058">
      <w:pPr>
        <w:pStyle w:val="Heading3"/>
      </w:pPr>
      <w:bookmarkStart w:id="27" w:name="evolutionary-considerations"/>
      <w:bookmarkEnd w:id="27"/>
      <w:r>
        <w:t>Evolutionary considerations</w:t>
      </w:r>
    </w:p>
    <w:p w14:paraId="1FDB23E6" w14:textId="77777777" w:rsidR="003D244F" w:rsidRDefault="00F72FE3" w:rsidP="009C4058">
      <w:r>
        <w:t>Regardless of the lower limit of atmospheric oxygen, most major extant clades of vertebrates or their ancestors were already established by the early Jurassic, approximately 200 Ma (Romer 1966; Carroll 1988). The transition from high to low oxygen levels relative to PAL spanned the Triassic (Berner 2006, 2009; Berner et al. 2007), during which major clades of terrestrial vertebrates originated. Thus, crocodylians, dinosaurs, turtles, and mammalian ancestors may have all originated in hypoxia relative to PAL and, not only survived, but continued to diversity in an oxygen deficient environment (Figure ).</w:t>
      </w:r>
    </w:p>
    <w:p w14:paraId="34FCF24A" w14:textId="77777777" w:rsidR="003D244F" w:rsidRDefault="00F72FE3" w:rsidP="009C4058">
      <w:pPr>
        <w:pStyle w:val="Heading3"/>
      </w:pPr>
      <w:bookmarkStart w:id="28" w:name="mammals"/>
      <w:bookmarkEnd w:id="28"/>
      <w:r>
        <w:t>Mammals</w:t>
      </w:r>
    </w:p>
    <w:p w14:paraId="66E7E283" w14:textId="77777777" w:rsidR="003D244F" w:rsidRDefault="00F72FE3" w:rsidP="009C4058">
      <w:pPr>
        <w:pStyle w:val="Compact"/>
        <w:numPr>
          <w:ilvl w:val="0"/>
          <w:numId w:val="10"/>
        </w:numPr>
      </w:pPr>
      <w:r>
        <w:t>(Gordon et al. 1943) - Aviation medicine. Endocrine testes, ovaries, thyroid, anterior putuitary</w:t>
      </w:r>
    </w:p>
    <w:p w14:paraId="68E9AF6D" w14:textId="77777777" w:rsidR="003D244F" w:rsidRDefault="00F72FE3" w:rsidP="009C4058">
      <w:pPr>
        <w:pStyle w:val="Compact"/>
        <w:numPr>
          <w:ilvl w:val="0"/>
          <w:numId w:val="10"/>
        </w:numPr>
      </w:pPr>
      <w:r>
        <w:t>(Moore and Price 1948)</w:t>
      </w:r>
    </w:p>
    <w:p w14:paraId="67FBE1C1" w14:textId="77777777" w:rsidR="003D244F" w:rsidRDefault="00F72FE3" w:rsidP="009C4058">
      <w:pPr>
        <w:pStyle w:val="Compact"/>
        <w:numPr>
          <w:ilvl w:val="0"/>
          <w:numId w:val="10"/>
        </w:numPr>
      </w:pPr>
      <w:r>
        <w:t>(Timiras et al. 1957)</w:t>
      </w:r>
    </w:p>
    <w:p w14:paraId="45109E4D" w14:textId="77777777" w:rsidR="003D244F" w:rsidRDefault="00F72FE3" w:rsidP="009C4058">
      <w:pPr>
        <w:pStyle w:val="Compact"/>
        <w:numPr>
          <w:ilvl w:val="0"/>
          <w:numId w:val="10"/>
        </w:numPr>
      </w:pPr>
      <w:r>
        <w:t>(Frisancho and Baker 1970; Frisancho 1970) - High altitude human populations</w:t>
      </w:r>
    </w:p>
    <w:p w14:paraId="2995CD1C" w14:textId="77777777" w:rsidR="003D244F" w:rsidRDefault="00F72FE3" w:rsidP="009C4058">
      <w:pPr>
        <w:pStyle w:val="Compact"/>
        <w:numPr>
          <w:ilvl w:val="0"/>
          <w:numId w:val="10"/>
        </w:numPr>
      </w:pPr>
      <w:r>
        <w:t>(Hunter and Clegg 1973a,b) - Changes in rat and mouse skeletons</w:t>
      </w:r>
    </w:p>
    <w:p w14:paraId="72EA7C8B" w14:textId="77777777" w:rsidR="003D244F" w:rsidRDefault="00F72FE3" w:rsidP="009C4058">
      <w:pPr>
        <w:pStyle w:val="Compact"/>
        <w:numPr>
          <w:ilvl w:val="0"/>
          <w:numId w:val="10"/>
        </w:numPr>
      </w:pPr>
      <w:r>
        <w:lastRenderedPageBreak/>
        <w:t>(Frappell and Mortola 1994) - Hamsters vs. rats: metabolic and ventilatory response to development in chronic hypoxia</w:t>
      </w:r>
    </w:p>
    <w:p w14:paraId="28B8C461" w14:textId="77777777" w:rsidR="003D244F" w:rsidRDefault="00F72FE3" w:rsidP="009C4058">
      <w:pPr>
        <w:pStyle w:val="Compact"/>
        <w:numPr>
          <w:ilvl w:val="0"/>
          <w:numId w:val="10"/>
        </w:numPr>
      </w:pPr>
      <w:r>
        <w:t>(Widmer et al. 1997) Respiratory adaptations in blind mole rats</w:t>
      </w:r>
    </w:p>
    <w:p w14:paraId="535275A9" w14:textId="77777777" w:rsidR="003D244F" w:rsidRDefault="00F72FE3" w:rsidP="009C4058">
      <w:pPr>
        <w:pStyle w:val="Compact"/>
        <w:numPr>
          <w:ilvl w:val="0"/>
          <w:numId w:val="10"/>
        </w:numPr>
      </w:pPr>
      <w:r>
        <w:t>(Hochachka et al. 1999) - Human hypoxia tolerance</w:t>
      </w:r>
    </w:p>
    <w:p w14:paraId="1D78A59F" w14:textId="77777777" w:rsidR="003D244F" w:rsidRDefault="00F72FE3" w:rsidP="009C4058">
      <w:pPr>
        <w:pStyle w:val="Compact"/>
        <w:numPr>
          <w:ilvl w:val="0"/>
          <w:numId w:val="10"/>
        </w:numPr>
      </w:pPr>
      <w:r>
        <w:t>(Mortola 2004) - Ventilatory response in chick embryos</w:t>
      </w:r>
    </w:p>
    <w:p w14:paraId="38767458" w14:textId="77777777" w:rsidR="003D244F" w:rsidRDefault="00F72FE3" w:rsidP="009C4058">
      <w:pPr>
        <w:pStyle w:val="Compact"/>
        <w:numPr>
          <w:ilvl w:val="0"/>
          <w:numId w:val="10"/>
        </w:numPr>
      </w:pPr>
      <w:r>
        <w:lastRenderedPageBreak/>
        <w:t>(Ramirez et al. 2007) - Review mammals and birds</w:t>
      </w:r>
    </w:p>
    <w:p w14:paraId="335A148F" w14:textId="77777777" w:rsidR="003D244F" w:rsidRDefault="00F72FE3" w:rsidP="009C4058">
      <w:pPr>
        <w:pStyle w:val="Compact"/>
        <w:numPr>
          <w:ilvl w:val="0"/>
          <w:numId w:val="10"/>
        </w:numPr>
      </w:pPr>
      <w:r>
        <w:t>(Matsumoto et al. 2011) - Three-Dimensional Cortical Bone Microstructure in a Rat Model of Hypoxia-Induced Growth Retardation</w:t>
      </w:r>
    </w:p>
    <w:p w14:paraId="21D37B75" w14:textId="77777777" w:rsidR="003D244F" w:rsidRDefault="00F72FE3" w:rsidP="009C4058">
      <w:pPr>
        <w:pStyle w:val="Heading3"/>
      </w:pPr>
      <w:bookmarkStart w:id="29" w:name="reptilia"/>
      <w:bookmarkEnd w:id="29"/>
      <w:r>
        <w:t>Reptilia</w:t>
      </w:r>
    </w:p>
    <w:p w14:paraId="4933F23F" w14:textId="77777777" w:rsidR="003D244F" w:rsidRDefault="00F72FE3" w:rsidP="009C4058">
      <w:pPr>
        <w:pStyle w:val="Compact"/>
        <w:numPr>
          <w:ilvl w:val="0"/>
          <w:numId w:val="11"/>
        </w:numPr>
      </w:pPr>
      <w:r>
        <w:t>(Metcalfe et al. 1981)</w:t>
      </w:r>
    </w:p>
    <w:p w14:paraId="68E1444F" w14:textId="77777777" w:rsidR="003D244F" w:rsidRDefault="00F72FE3" w:rsidP="009C4058">
      <w:pPr>
        <w:pStyle w:val="Compact"/>
        <w:numPr>
          <w:ilvl w:val="0"/>
          <w:numId w:val="11"/>
        </w:numPr>
      </w:pPr>
      <w:r>
        <w:t>(Williams and Swift 1988)</w:t>
      </w:r>
    </w:p>
    <w:p w14:paraId="25067A58" w14:textId="77777777" w:rsidR="003D244F" w:rsidRDefault="00F72FE3" w:rsidP="009C4058">
      <w:pPr>
        <w:pStyle w:val="Compact"/>
        <w:numPr>
          <w:ilvl w:val="0"/>
          <w:numId w:val="11"/>
        </w:numPr>
      </w:pPr>
      <w:r>
        <w:t>(Deeming and Ferguson 1990) Growth only, nothing about atmosphere or physiology</w:t>
      </w:r>
    </w:p>
    <w:p w14:paraId="04904E2D" w14:textId="77777777" w:rsidR="003D244F" w:rsidRDefault="00F72FE3" w:rsidP="009C4058">
      <w:pPr>
        <w:pStyle w:val="Compact"/>
        <w:numPr>
          <w:ilvl w:val="0"/>
          <w:numId w:val="11"/>
        </w:numPr>
      </w:pPr>
      <w:r>
        <w:t>(Richards et al. 1991) Trace elements only</w:t>
      </w:r>
    </w:p>
    <w:p w14:paraId="2F13BD69" w14:textId="77777777" w:rsidR="003D244F" w:rsidRDefault="00F72FE3" w:rsidP="009C4058">
      <w:pPr>
        <w:pStyle w:val="Compact"/>
        <w:numPr>
          <w:ilvl w:val="0"/>
          <w:numId w:val="11"/>
        </w:numPr>
      </w:pPr>
      <w:r>
        <w:t>(Burton and Palmer 1992) Only concerns chorioallantoic membrane</w:t>
      </w:r>
    </w:p>
    <w:p w14:paraId="23562D4D" w14:textId="77777777" w:rsidR="003D244F" w:rsidRDefault="00F72FE3" w:rsidP="009C4058">
      <w:pPr>
        <w:pStyle w:val="Compact"/>
        <w:numPr>
          <w:ilvl w:val="0"/>
          <w:numId w:val="11"/>
        </w:numPr>
      </w:pPr>
      <w:r>
        <w:t>(Kam 1993)</w:t>
      </w:r>
    </w:p>
    <w:p w14:paraId="3C14B9BD" w14:textId="77777777" w:rsidR="003D244F" w:rsidRDefault="00F72FE3" w:rsidP="009C4058">
      <w:pPr>
        <w:pStyle w:val="Compact"/>
        <w:numPr>
          <w:ilvl w:val="0"/>
          <w:numId w:val="11"/>
        </w:numPr>
      </w:pPr>
      <w:r>
        <w:t>(Warburton et al. 1995)</w:t>
      </w:r>
    </w:p>
    <w:p w14:paraId="02266E8A" w14:textId="77777777" w:rsidR="003D244F" w:rsidRDefault="00F72FE3" w:rsidP="009C4058">
      <w:pPr>
        <w:pStyle w:val="Compact"/>
        <w:numPr>
          <w:ilvl w:val="0"/>
          <w:numId w:val="11"/>
        </w:numPr>
      </w:pPr>
      <w:r>
        <w:t>(Jackson et al. 2000a,b; Jackson 2000) Lactic acid buffering</w:t>
      </w:r>
    </w:p>
    <w:p w14:paraId="176B66AC" w14:textId="77777777" w:rsidR="003D244F" w:rsidRDefault="00F72FE3" w:rsidP="009C4058">
      <w:pPr>
        <w:pStyle w:val="Compact"/>
        <w:numPr>
          <w:ilvl w:val="0"/>
          <w:numId w:val="11"/>
        </w:numPr>
      </w:pPr>
      <w:r>
        <w:t xml:space="preserve">(Andrews 2002) O2 as a constraint on viviparity in reptiles using </w:t>
      </w:r>
      <w:r>
        <w:rPr>
          <w:i/>
        </w:rPr>
        <w:t>Sceloporous</w:t>
      </w:r>
      <w:r>
        <w:t xml:space="preserve"> as a model</w:t>
      </w:r>
    </w:p>
    <w:p w14:paraId="0E4E935B" w14:textId="77777777" w:rsidR="003D244F" w:rsidRDefault="00F72FE3" w:rsidP="009C4058">
      <w:pPr>
        <w:pStyle w:val="Compact"/>
        <w:numPr>
          <w:ilvl w:val="0"/>
          <w:numId w:val="11"/>
        </w:numPr>
      </w:pPr>
      <w:r>
        <w:t>(Dzialowski et al. 2002)</w:t>
      </w:r>
    </w:p>
    <w:p w14:paraId="7777BD62" w14:textId="77777777" w:rsidR="003D244F" w:rsidRDefault="00F72FE3" w:rsidP="009C4058">
      <w:pPr>
        <w:pStyle w:val="Compact"/>
        <w:numPr>
          <w:ilvl w:val="0"/>
          <w:numId w:val="11"/>
        </w:numPr>
      </w:pPr>
      <w:r>
        <w:t>(Chan and Burggren 2005)</w:t>
      </w:r>
    </w:p>
    <w:p w14:paraId="47A942B3" w14:textId="77777777" w:rsidR="003D244F" w:rsidRDefault="00F72FE3" w:rsidP="009C4058">
      <w:pPr>
        <w:pStyle w:val="Compact"/>
        <w:numPr>
          <w:ilvl w:val="0"/>
          <w:numId w:val="11"/>
        </w:numPr>
      </w:pPr>
      <w:r>
        <w:t>(Bickler and Buck 2007)</w:t>
      </w:r>
    </w:p>
    <w:p w14:paraId="4370AEA9" w14:textId="77777777" w:rsidR="003D244F" w:rsidRDefault="00F72FE3" w:rsidP="009C4058">
      <w:pPr>
        <w:pStyle w:val="Heading3"/>
      </w:pPr>
      <w:bookmarkStart w:id="30" w:name="lots-of-cardiovascular-changes"/>
      <w:bookmarkEnd w:id="30"/>
      <w:r>
        <w:t>Lots of cardiovascular changes</w:t>
      </w:r>
    </w:p>
    <w:p w14:paraId="54E956DF" w14:textId="77777777" w:rsidR="003D244F" w:rsidRDefault="00F72FE3" w:rsidP="009C4058">
      <w:r>
        <w:t>Are these relevant here?</w:t>
      </w:r>
    </w:p>
    <w:p w14:paraId="16B67BCF" w14:textId="77777777" w:rsidR="003D244F" w:rsidRDefault="00F72FE3" w:rsidP="009C4058">
      <w:pPr>
        <w:pStyle w:val="Compact"/>
        <w:numPr>
          <w:ilvl w:val="0"/>
          <w:numId w:val="12"/>
        </w:numPr>
      </w:pPr>
      <w:r>
        <w:t>(Eme et al. 2013) What are the mechanisms at work in the response to hypoxia in the cardiovascular system? Gene expression changes are linked to plasticity in cardiovascular morphology and function. Alterations in autonomics (changes in adrinergic receptors).</w:t>
      </w:r>
    </w:p>
    <w:p w14:paraId="71B88305" w14:textId="77777777" w:rsidR="003D244F" w:rsidRDefault="00F72FE3" w:rsidP="009C4058">
      <w:pPr>
        <w:pStyle w:val="Compact"/>
        <w:numPr>
          <w:ilvl w:val="0"/>
          <w:numId w:val="12"/>
        </w:numPr>
      </w:pPr>
      <w:r>
        <w:t>(Kam 1993) Florida red-bellied turtle. In hypoxia (10%), slower growth, lower metabolism, reduced mass. But equal hatching time.</w:t>
      </w:r>
    </w:p>
    <w:p w14:paraId="4E875A51" w14:textId="77777777" w:rsidR="003D244F" w:rsidRDefault="00F72FE3" w:rsidP="009C4058">
      <w:pPr>
        <w:pStyle w:val="Compact"/>
        <w:numPr>
          <w:ilvl w:val="0"/>
          <w:numId w:val="12"/>
        </w:numPr>
      </w:pPr>
      <w:r>
        <w:t>(Crossley and Altimiras 2005; Crossley and Burggren 2009)</w:t>
      </w:r>
    </w:p>
    <w:p w14:paraId="39A0A6E0" w14:textId="77777777" w:rsidR="003D244F" w:rsidRDefault="00F72FE3" w:rsidP="009C4058">
      <w:pPr>
        <w:pStyle w:val="Compact"/>
        <w:numPr>
          <w:ilvl w:val="0"/>
          <w:numId w:val="12"/>
        </w:numPr>
      </w:pPr>
      <w:r>
        <w:t>Other Crossley papers</w:t>
      </w:r>
    </w:p>
    <w:p w14:paraId="632EA3DC" w14:textId="77777777" w:rsidR="003D244F" w:rsidRDefault="00F72FE3" w:rsidP="009C4058">
      <w:pPr>
        <w:pStyle w:val="Compact"/>
        <w:numPr>
          <w:ilvl w:val="0"/>
          <w:numId w:val="12"/>
        </w:numPr>
      </w:pPr>
      <w:r>
        <w:lastRenderedPageBreak/>
        <w:t>(Eme et al. 2011a,b,c)</w:t>
      </w:r>
    </w:p>
    <w:p w14:paraId="0F510983" w14:textId="77777777" w:rsidR="003D244F" w:rsidRDefault="00F72FE3" w:rsidP="009C4058">
      <w:pPr>
        <w:pStyle w:val="Compact"/>
        <w:numPr>
          <w:ilvl w:val="0"/>
          <w:numId w:val="12"/>
        </w:numPr>
      </w:pPr>
      <w:r>
        <w:t>(Burggren et al. 2014)</w:t>
      </w:r>
    </w:p>
    <w:p w14:paraId="32E6B138" w14:textId="77777777" w:rsidR="003D244F" w:rsidRDefault="00F72FE3" w:rsidP="009C4058">
      <w:pPr>
        <w:pStyle w:val="Compact"/>
        <w:numPr>
          <w:ilvl w:val="0"/>
          <w:numId w:val="12"/>
        </w:numPr>
      </w:pPr>
      <w:r>
        <w:t>(Harrison et al. 2010)</w:t>
      </w:r>
    </w:p>
    <w:p w14:paraId="572987E3" w14:textId="77777777" w:rsidR="003D244F" w:rsidRDefault="00F72FE3" w:rsidP="009C4058">
      <w:pPr>
        <w:pStyle w:val="Heading2"/>
      </w:pPr>
      <w:bookmarkStart w:id="31" w:name="growth-rates-in-controlled-conditions"/>
      <w:bookmarkEnd w:id="31"/>
      <w:r>
        <w:t>Growth rates in controlled conditions</w:t>
      </w:r>
    </w:p>
    <w:p w14:paraId="6F4EE16F" w14:textId="77777777" w:rsidR="003D244F" w:rsidRDefault="00F72FE3" w:rsidP="009C4058">
      <w:pPr>
        <w:pStyle w:val="ListParagraph"/>
        <w:numPr>
          <w:ilvl w:val="0"/>
          <w:numId w:val="13"/>
        </w:numPr>
      </w:pPr>
      <w:r>
        <w:t>Differences from previous results.</w:t>
      </w:r>
    </w:p>
    <w:p w14:paraId="402B5496" w14:textId="77777777" w:rsidR="003D244F" w:rsidRDefault="00F72FE3" w:rsidP="009C4058">
      <w:pPr>
        <w:pStyle w:val="ListParagraph"/>
        <w:numPr>
          <w:ilvl w:val="0"/>
          <w:numId w:val="13"/>
        </w:numPr>
      </w:pPr>
      <w:r>
        <w:t>Come back to Berner et al 2007: Animals that evolved under hypoxia might have had a selective advantage.</w:t>
      </w:r>
    </w:p>
    <w:p w14:paraId="5958E2AC" w14:textId="77777777" w:rsidR="003D244F" w:rsidRDefault="00F72FE3" w:rsidP="009C4058">
      <w:pPr>
        <w:pStyle w:val="BlockQuote"/>
      </w:pPr>
      <w:r>
        <w:t>"Many of these new body plans may have supported more efficient respiratory systems, which may have been selected for under low-O</w:t>
      </w:r>
      <w:r>
        <w:rPr>
          <w:vertAlign w:val="subscript"/>
        </w:rPr>
        <w:t>2</w:t>
      </w:r>
      <w:r>
        <w:t xml:space="preserve"> regimes that coincide with postextinction time periods."</w:t>
      </w:r>
    </w:p>
    <w:p w14:paraId="41FCB4B4" w14:textId="77777777" w:rsidR="003D244F" w:rsidRDefault="00F72FE3" w:rsidP="009C4058">
      <w:pPr>
        <w:pStyle w:val="Heading2"/>
      </w:pPr>
      <w:bookmarkStart w:id="32" w:name="no-growth-in-the-medullary-cavity"/>
      <w:bookmarkEnd w:id="32"/>
      <w:r>
        <w:t>No growth in the medullary cavity</w:t>
      </w:r>
    </w:p>
    <w:p w14:paraId="16AD3D87" w14:textId="77777777" w:rsidR="003D244F" w:rsidRDefault="00F72FE3" w:rsidP="009C4058">
      <w:pPr>
        <w:pStyle w:val="Compact"/>
        <w:numPr>
          <w:ilvl w:val="0"/>
          <w:numId w:val="14"/>
        </w:numPr>
      </w:pPr>
      <w:r>
        <w:t>CA</w:t>
      </w:r>
    </w:p>
    <w:p w14:paraId="0F1E193F" w14:textId="77777777" w:rsidR="003D244F" w:rsidRDefault="00F72FE3" w:rsidP="009C4058">
      <w:pPr>
        <w:pStyle w:val="Heading2"/>
      </w:pPr>
      <w:bookmarkStart w:id="33" w:name="scaling"/>
      <w:bookmarkEnd w:id="33"/>
      <w:r>
        <w:t>Scaling</w:t>
      </w:r>
    </w:p>
    <w:p w14:paraId="10BB3804" w14:textId="77777777" w:rsidR="003D244F" w:rsidRDefault="00F72FE3" w:rsidP="009C4058">
      <w:pPr>
        <w:pStyle w:val="Heading2"/>
      </w:pPr>
      <w:bookmarkStart w:id="34" w:name="lack-of-results"/>
      <w:bookmarkEnd w:id="34"/>
      <w:r>
        <w:t>Lack of Results</w:t>
      </w:r>
    </w:p>
    <w:p w14:paraId="7960B8C8" w14:textId="77777777" w:rsidR="003D244F" w:rsidRDefault="00F72FE3" w:rsidP="009C4058">
      <w:pPr>
        <w:pStyle w:val="Heading2"/>
      </w:pPr>
      <w:bookmarkStart w:id="35" w:name="alligators-as-a-model-organism"/>
      <w:bookmarkEnd w:id="35"/>
      <w:r>
        <w:t>Alligators as a model organism</w:t>
      </w:r>
    </w:p>
    <w:p w14:paraId="0E9DCDDD" w14:textId="77777777" w:rsidR="003D244F" w:rsidRDefault="00F72FE3" w:rsidP="009C4058">
      <w:pPr>
        <w:pStyle w:val="Compact"/>
        <w:numPr>
          <w:ilvl w:val="0"/>
          <w:numId w:val="15"/>
        </w:numPr>
      </w:pPr>
      <w:r>
        <w:t>(Porteus et al. 2011) - HVR</w:t>
      </w:r>
    </w:p>
    <w:p w14:paraId="56EF5ED7" w14:textId="77777777" w:rsidR="003D244F" w:rsidRDefault="00F72FE3" w:rsidP="009C4058">
      <w:pPr>
        <w:pStyle w:val="Compact"/>
        <w:numPr>
          <w:ilvl w:val="0"/>
          <w:numId w:val="15"/>
        </w:numPr>
      </w:pPr>
      <w:r>
        <w:t>Physiology</w:t>
      </w:r>
    </w:p>
    <w:p w14:paraId="381649DA" w14:textId="77777777" w:rsidR="003D244F" w:rsidRDefault="00F72FE3" w:rsidP="009C4058">
      <w:pPr>
        <w:pStyle w:val="Compact"/>
        <w:numPr>
          <w:ilvl w:val="0"/>
          <w:numId w:val="15"/>
        </w:numPr>
      </w:pPr>
      <w:r>
        <w:t>Biomechanics</w:t>
      </w:r>
    </w:p>
    <w:p w14:paraId="4A1C11AD" w14:textId="77777777" w:rsidR="003D244F" w:rsidRDefault="00F72FE3" w:rsidP="009C4058">
      <w:pPr>
        <w:pStyle w:val="Compact"/>
        <w:numPr>
          <w:ilvl w:val="0"/>
          <w:numId w:val="15"/>
        </w:numPr>
      </w:pPr>
      <w:r>
        <w:t>Evolution</w:t>
      </w:r>
    </w:p>
    <w:p w14:paraId="31DEFFC0" w14:textId="77777777" w:rsidR="003D244F" w:rsidRDefault="00F72FE3" w:rsidP="009C4058">
      <w:pPr>
        <w:pStyle w:val="Heading2"/>
      </w:pPr>
      <w:bookmarkStart w:id="36" w:name="future-directions"/>
      <w:bookmarkEnd w:id="36"/>
      <w:r>
        <w:t>Future Directions</w:t>
      </w:r>
    </w:p>
    <w:p w14:paraId="530643C9" w14:textId="77777777" w:rsidR="003D244F" w:rsidRDefault="00F72FE3" w:rsidP="009C4058">
      <w:pPr>
        <w:pStyle w:val="Compact"/>
        <w:numPr>
          <w:ilvl w:val="0"/>
          <w:numId w:val="16"/>
        </w:numPr>
      </w:pPr>
      <w:r>
        <w:t>Mineral apposition rates to test whether there is only periosteal deposition</w:t>
      </w:r>
    </w:p>
    <w:p w14:paraId="32636A76" w14:textId="77777777" w:rsidR="003D244F" w:rsidRDefault="00F72FE3" w:rsidP="009C4058">
      <w:pPr>
        <w:pStyle w:val="Heading1"/>
      </w:pPr>
      <w:bookmarkStart w:id="37" w:name="acknowledgments"/>
      <w:bookmarkEnd w:id="37"/>
      <w:r>
        <w:t>Acknowledgments</w:t>
      </w:r>
    </w:p>
    <w:p w14:paraId="2AF7EEAF" w14:textId="77777777" w:rsidR="003D244F" w:rsidRDefault="00F72FE3" w:rsidP="009C4058">
      <w:r>
        <w:t xml:space="preserve">We gratefully acknowledge the assistance of Dr. Ruth Elsey at the Rockefeller Wildlife Refuge (Grand Chenier, LA). This project was supported by the National Science Foundation grant IOS 0922576 (TO, JWH, and KMM), the California </w:t>
      </w:r>
      <w:r>
        <w:lastRenderedPageBreak/>
        <w:t>State University Department of Biology (SLL, KMM), and the University of Missouri Department of Pathology &amp; Anatomical Sciences (KMM).</w:t>
      </w:r>
    </w:p>
    <w:p w14:paraId="048C83CC" w14:textId="77777777" w:rsidR="003D244F" w:rsidRDefault="00F72FE3" w:rsidP="009C4058">
      <w:r>
        <w:t>xxTomasz Anyone else to add?</w:t>
      </w:r>
    </w:p>
    <w:p w14:paraId="1DA8E2E2" w14:textId="77777777" w:rsidR="003D244F" w:rsidRDefault="00F72FE3" w:rsidP="009C4058">
      <w:r>
        <w:t>This manuscript was written using rmarkdown (RStudio Inc 2014), knitr (Xie 2013), and pandoc (</w:t>
      </w:r>
      <w:hyperlink r:id="rId15">
        <w:r>
          <w:rPr>
            <w:rStyle w:val="Link"/>
          </w:rPr>
          <w:t>http://johnmacfarlane.net/pandoc/</w:t>
        </w:r>
      </w:hyperlink>
      <w:r>
        <w:t>).</w:t>
      </w:r>
    </w:p>
    <w:p w14:paraId="7314AD4C" w14:textId="77777777" w:rsidR="003D244F" w:rsidRDefault="00F72FE3" w:rsidP="009C4058">
      <w:pPr>
        <w:pStyle w:val="Heading1"/>
      </w:pPr>
      <w:bookmarkStart w:id="38" w:name="references"/>
      <w:bookmarkEnd w:id="38"/>
      <w:r>
        <w:t>References</w:t>
      </w:r>
    </w:p>
    <w:p w14:paraId="7B493B76" w14:textId="77777777" w:rsidR="003D244F" w:rsidRDefault="00F72FE3" w:rsidP="009C4058">
      <w:pPr>
        <w:pStyle w:val="Bibliography"/>
      </w:pPr>
      <w:r>
        <w:t>Akaike, H. 1974. A new look at the statistical model identification. IEEE Transactions on Automatic Control AC-19:716–723.</w:t>
      </w:r>
    </w:p>
    <w:p w14:paraId="437B0BA3" w14:textId="77777777" w:rsidR="003D244F" w:rsidRDefault="00F72FE3" w:rsidP="009C4058">
      <w:pPr>
        <w:pStyle w:val="Bibliography"/>
      </w:pPr>
      <w:r>
        <w:t xml:space="preserve">An, Y. H., and K. L. Martin. 2003. </w:t>
      </w:r>
      <w:r>
        <w:rPr>
          <w:i/>
        </w:rPr>
        <w:t>Handbook of histology methods for bone and cartilage</w:t>
      </w:r>
      <w:r>
        <w:t>. Humana Press, Inc., Totowa, NJ.</w:t>
      </w:r>
    </w:p>
    <w:p w14:paraId="627A4A19" w14:textId="77777777" w:rsidR="003D244F" w:rsidRDefault="00F72FE3" w:rsidP="009C4058">
      <w:pPr>
        <w:pStyle w:val="Bibliography"/>
      </w:pPr>
      <w:r>
        <w:t>Andrews, R. M. 2002. Low oxygen: A constraint on the evolution of viviparity in reptiles. Physiological and Biochemical Zoology 75:145–154.</w:t>
      </w:r>
    </w:p>
    <w:p w14:paraId="087991C7" w14:textId="77777777" w:rsidR="003D244F" w:rsidRDefault="00F72FE3" w:rsidP="009C4058">
      <w:pPr>
        <w:pStyle w:val="Bibliography"/>
      </w:pPr>
      <w:r>
        <w:t>Belcher, C. M., and J. C. McElwain. 2008. Limits for combustion in low o</w:t>
      </w:r>
      <w:r>
        <w:rPr>
          <w:vertAlign w:val="subscript"/>
        </w:rPr>
        <w:t>2</w:t>
      </w:r>
      <w:r>
        <w:t xml:space="preserve"> redefine paleoatmospheric predictions for the mesozoic. Science 321:1197–1200.</w:t>
      </w:r>
    </w:p>
    <w:p w14:paraId="3ADA39F6" w14:textId="77777777" w:rsidR="003D244F" w:rsidRDefault="00F72FE3" w:rsidP="009C4058">
      <w:pPr>
        <w:pStyle w:val="Bibliography"/>
      </w:pPr>
      <w:r>
        <w:t>Belcher, C. M., J. M. Yearsley, R. M. Hadden, J. C. McElwain, and G. Rein. 2010. Baseline intrinsic flammability of earth’s ecosystems estimated from paleoatmospheric oxygen over the past 350 million years. Proceedings of the National Academy of Sciences of the United States of America 107:22448–22453.</w:t>
      </w:r>
    </w:p>
    <w:p w14:paraId="60EE74D2" w14:textId="77777777" w:rsidR="003D244F" w:rsidRDefault="00F72FE3" w:rsidP="009C4058">
      <w:pPr>
        <w:pStyle w:val="Bibliography"/>
      </w:pPr>
      <w:r>
        <w:t>Berner, R. A. 1999. Atmospheric oxygen over phanerozoic time. Proceedings of the National Academy of Sciences of the United States of America 96:10955–10957.</w:t>
      </w:r>
    </w:p>
    <w:p w14:paraId="3704900E" w14:textId="77777777" w:rsidR="003D244F" w:rsidRDefault="00F72FE3" w:rsidP="009C4058">
      <w:pPr>
        <w:pStyle w:val="Bibliography"/>
      </w:pPr>
      <w:r>
        <w:t>Berner, R. A. 1994. GEOCARB iI; a revised model of atmospheric cO</w:t>
      </w:r>
      <w:r>
        <w:rPr>
          <w:vertAlign w:val="subscript"/>
        </w:rPr>
        <w:t>2</w:t>
      </w:r>
      <w:r>
        <w:t xml:space="preserve"> over phanerozoic time. American Journal of Science 294:56–91.</w:t>
      </w:r>
    </w:p>
    <w:p w14:paraId="451734EA" w14:textId="77777777" w:rsidR="003D244F" w:rsidRDefault="00F72FE3" w:rsidP="009C4058">
      <w:pPr>
        <w:pStyle w:val="Bibliography"/>
      </w:pPr>
      <w:r>
        <w:lastRenderedPageBreak/>
        <w:t>Berner, R. A. 2001. GEOCARB iII: A revised model of atmospheric cO</w:t>
      </w:r>
      <w:r>
        <w:rPr>
          <w:vertAlign w:val="subscript"/>
        </w:rPr>
        <w:t>2</w:t>
      </w:r>
      <w:r>
        <w:t xml:space="preserve"> over phanerozoic time. American Journal of Science 301:182–204.</w:t>
      </w:r>
    </w:p>
    <w:p w14:paraId="2655C7F5" w14:textId="77777777" w:rsidR="003D244F" w:rsidRDefault="00F72FE3" w:rsidP="009C4058">
      <w:pPr>
        <w:pStyle w:val="Bibliography"/>
      </w:pPr>
      <w:r>
        <w:t>Berner, R. A. 2006. GEOCARBSULF: A combined model for phanerozoic atmospheric o</w:t>
      </w:r>
      <w:r>
        <w:rPr>
          <w:vertAlign w:val="subscript"/>
        </w:rPr>
        <w:t>2</w:t>
      </w:r>
      <w:r>
        <w:t xml:space="preserve"> and cO</w:t>
      </w:r>
      <w:r>
        <w:rPr>
          <w:vertAlign w:val="subscript"/>
        </w:rPr>
        <w:t>2</w:t>
      </w:r>
      <w:r>
        <w:t>. Geochimica et Cosmochimica Acta 70:5653–5664.</w:t>
      </w:r>
    </w:p>
    <w:p w14:paraId="43E4B867" w14:textId="77777777" w:rsidR="003D244F" w:rsidRDefault="00F72FE3" w:rsidP="009C4058">
      <w:pPr>
        <w:pStyle w:val="Bibliography"/>
      </w:pPr>
      <w:r>
        <w:t>Berner, R. A. 2009. Phanerozoic atmospheric oxygen: New results using the gEOCARBSULF model. American Journal of Science 309:603–606.</w:t>
      </w:r>
    </w:p>
    <w:p w14:paraId="38831C50" w14:textId="77777777" w:rsidR="003D244F" w:rsidRDefault="00F72FE3" w:rsidP="009C4058">
      <w:pPr>
        <w:pStyle w:val="Bibliography"/>
      </w:pPr>
      <w:r>
        <w:t>Berner, R. A., and D. E. Canfield. 1989. A new model for atmospheric oxygen over phanerozoic time. American Journal of Science 289:333–361.</w:t>
      </w:r>
    </w:p>
    <w:p w14:paraId="18E1FB30" w14:textId="77777777" w:rsidR="003D244F" w:rsidRDefault="00F72FE3" w:rsidP="009C4058">
      <w:pPr>
        <w:pStyle w:val="Bibliography"/>
      </w:pPr>
      <w:r>
        <w:t>Berner, R. A., D. J. Beerling, R. Dudley, J. Robinson, and R. Wildman. 2003. Phanerozoic atmospheric oxygen. Annual Review of Earth and Planetary Sciences 31:105–134.</w:t>
      </w:r>
    </w:p>
    <w:p w14:paraId="306E16E9" w14:textId="77777777" w:rsidR="003D244F" w:rsidRDefault="00F72FE3" w:rsidP="009C4058">
      <w:pPr>
        <w:pStyle w:val="Bibliography"/>
      </w:pPr>
      <w:r>
        <w:t>Berner, R. A., J. M. VandenBrooks, and P. D. Ward. 2007. Oxygen and evolution. Science 316:557–558.</w:t>
      </w:r>
    </w:p>
    <w:p w14:paraId="0A71C483" w14:textId="77777777" w:rsidR="003D244F" w:rsidRDefault="00F72FE3" w:rsidP="009C4058">
      <w:pPr>
        <w:pStyle w:val="Bibliography"/>
      </w:pPr>
      <w:r>
        <w:t xml:space="preserve">Bertalanffy, L. von. 1960. Principles and theory of growth. Pp. 237–259 </w:t>
      </w:r>
      <w:r>
        <w:rPr>
          <w:i/>
        </w:rPr>
        <w:t>in</w:t>
      </w:r>
      <w:r>
        <w:t xml:space="preserve"> W. W. Nowinski, ed. Fundamental aspects of normal and malignant growth. Elsevier Scientific Publishers.</w:t>
      </w:r>
    </w:p>
    <w:p w14:paraId="498C7D3A" w14:textId="77777777" w:rsidR="003D244F" w:rsidRDefault="00F72FE3" w:rsidP="009C4058">
      <w:pPr>
        <w:pStyle w:val="Bibliography"/>
      </w:pPr>
      <w:r>
        <w:t>Bickler, P. E., and L. T. Buck. 2007. Hypoxia tolerance in reptiles, amphibians, and fishes: Life with variable oxygen availability. Annual Review of Physiology 69:145–170.</w:t>
      </w:r>
    </w:p>
    <w:p w14:paraId="2DACF748" w14:textId="77777777" w:rsidR="003D244F" w:rsidRDefault="00F72FE3" w:rsidP="009C4058">
      <w:pPr>
        <w:pStyle w:val="Bibliography"/>
      </w:pPr>
      <w:r>
        <w:t>Blob, R. W. 2000. Interspecific scaling of the hindlimb skeleton in lizards, crocodilians, felids and canids: Does limb bone shape correlate with limb posture? Journal of Zoology 250:507–531.</w:t>
      </w:r>
    </w:p>
    <w:p w14:paraId="5F975D7F" w14:textId="77777777" w:rsidR="003D244F" w:rsidRDefault="00F72FE3" w:rsidP="009C4058">
      <w:pPr>
        <w:pStyle w:val="Bibliography"/>
      </w:pPr>
      <w:r>
        <w:t xml:space="preserve">Blob, R. W., and A. A. Biewener. 1999. In vivo locomotor strain in the hindlimb bones of </w:t>
      </w:r>
      <w:r>
        <w:rPr>
          <w:i/>
        </w:rPr>
        <w:t>alligator mississippiensis</w:t>
      </w:r>
      <w:r>
        <w:t xml:space="preserve"> and </w:t>
      </w:r>
      <w:r>
        <w:rPr>
          <w:i/>
        </w:rPr>
        <w:t>iguana iguana</w:t>
      </w:r>
      <w:r>
        <w:t>: Implications for the evolution of limb bone safety factor and non-sprawling limb posture. Journal of Experimental Biology 202:1023–1046.</w:t>
      </w:r>
    </w:p>
    <w:p w14:paraId="4CEAB0E5" w14:textId="77777777" w:rsidR="003D244F" w:rsidRDefault="00F72FE3" w:rsidP="009C4058">
      <w:pPr>
        <w:pStyle w:val="Bibliography"/>
      </w:pPr>
      <w:r>
        <w:lastRenderedPageBreak/>
        <w:t>Blob, R. W., and A. A. Biewener. 2001. Mechanics of limb bone loading during terrestrial locomotion in the green iguana (</w:t>
      </w:r>
      <w:r>
        <w:rPr>
          <w:i/>
        </w:rPr>
        <w:t>iguana iguana</w:t>
      </w:r>
      <w:r>
        <w:t>) and american alligator (</w:t>
      </w:r>
      <w:r>
        <w:rPr>
          <w:i/>
        </w:rPr>
        <w:t>alligator mississippiensis</w:t>
      </w:r>
      <w:r>
        <w:t>). Journal of Experimental Biology 204:1099–1122.</w:t>
      </w:r>
    </w:p>
    <w:p w14:paraId="62912046" w14:textId="77777777" w:rsidR="003D244F" w:rsidRDefault="00F72FE3" w:rsidP="009C4058">
      <w:pPr>
        <w:pStyle w:val="Bibliography"/>
      </w:pPr>
      <w:r>
        <w:t>Burggren, W. W., V. M. Christoffels, D. A. Crossley II, S. Enok, A. P. Farrell, M. S. Hedrick, J. W. Hicks, B. Jensen, A. F. M. Moorman, C. A. Mueller, N. Skovgaard, E. W. Taylor, and T. Wang. 2014. Comparative cardiovascular physiology: Future trends, opportunities and challenges. Acta Physiologica 210:257–276.</w:t>
      </w:r>
    </w:p>
    <w:p w14:paraId="74900A86" w14:textId="77777777" w:rsidR="003D244F" w:rsidRDefault="00F72FE3" w:rsidP="009C4058">
      <w:pPr>
        <w:pStyle w:val="Bibliography"/>
      </w:pPr>
      <w:r>
        <w:t>Burnham, K. P., and D. R. Anderson. 2002. Model selection and multi-model inference: A practical information theoretic approach. Springer, New York.</w:t>
      </w:r>
    </w:p>
    <w:p w14:paraId="54F0A280" w14:textId="77777777" w:rsidR="003D244F" w:rsidRDefault="00F72FE3" w:rsidP="009C4058">
      <w:pPr>
        <w:pStyle w:val="Bibliography"/>
      </w:pPr>
      <w:r>
        <w:t>Burton, G. J., and M. E. Palmer. 1992. Development of the chick chorioallantoic capillary plexus under normoxic and normobaric hypoxic and hyperoxic conditions: A morphometric study. Journal of Experimental Zoology 262:291–298.</w:t>
      </w:r>
    </w:p>
    <w:p w14:paraId="2E96F107" w14:textId="77777777" w:rsidR="003D244F" w:rsidRDefault="00F72FE3" w:rsidP="009C4058">
      <w:pPr>
        <w:pStyle w:val="Bibliography"/>
      </w:pPr>
      <w:r>
        <w:t>Canfield, D. E. 2005. The early history of atmospheric oxygen: Homage to robert m. garrels. Annual Review of Earth and Planetary Sciences 33:1–36.</w:t>
      </w:r>
    </w:p>
    <w:p w14:paraId="6FA95BED" w14:textId="77777777" w:rsidR="003D244F" w:rsidRDefault="00F72FE3" w:rsidP="009C4058">
      <w:pPr>
        <w:pStyle w:val="Bibliography"/>
      </w:pPr>
      <w:r>
        <w:t>Canfield, D. E., L. Ngombi-Pemba, E. U. Hammarlund, S. Bengtson, M. Chaussidon, F. Gauthier-Lafaye, A. Meunier, A. Riboulleau, C. Rollion-Bard, O. Rouxel, D. Asael, A.-C. Pierson-Wickmann, and A. El Albani. 2013. Oxygen dynamics in the aftermath of the great oxidation of earth’s atmosphere. Proceedings of the National Academy of Sciences of the United States of America 110:16736–16741.</w:t>
      </w:r>
    </w:p>
    <w:p w14:paraId="4F3890C0" w14:textId="77777777" w:rsidR="003D244F" w:rsidRDefault="00F72FE3" w:rsidP="009C4058">
      <w:pPr>
        <w:pStyle w:val="Bibliography"/>
      </w:pPr>
      <w:r>
        <w:t xml:space="preserve">Carroll, R. L. 1988. </w:t>
      </w:r>
      <w:r>
        <w:rPr>
          <w:i/>
        </w:rPr>
        <w:t>Vertebrate paleontology and evolution</w:t>
      </w:r>
      <w:r>
        <w:t>. W.H. Freeman; Company, New York.</w:t>
      </w:r>
    </w:p>
    <w:p w14:paraId="4816071E" w14:textId="77777777" w:rsidR="003D244F" w:rsidRDefault="00F72FE3" w:rsidP="009C4058">
      <w:pPr>
        <w:pStyle w:val="Bibliography"/>
      </w:pPr>
      <w:r>
        <w:t xml:space="preserve">Chan, T., and W. W. Burggren. 2005. Hypoxic incubation creates differential morphological effects during specific developmental critical windows in the </w:t>
      </w:r>
      <w:r>
        <w:lastRenderedPageBreak/>
        <w:t>embryo of the chicken (</w:t>
      </w:r>
      <w:r>
        <w:rPr>
          <w:i/>
        </w:rPr>
        <w:t>gallus gallus</w:t>
      </w:r>
      <w:r>
        <w:t>). Respiratory Physiology &amp; Neurobiology 145:251–263.</w:t>
      </w:r>
    </w:p>
    <w:p w14:paraId="101BDCEC" w14:textId="77777777" w:rsidR="003D244F" w:rsidRDefault="00F72FE3" w:rsidP="009C4058">
      <w:pPr>
        <w:pStyle w:val="Bibliography"/>
      </w:pPr>
      <w:r>
        <w:t>Chen, Y., D. A. Jackson, and H. H. Harvey. 1992. A comparison of von bertalanffy and polynomial functions in modelling fish growth data. Canadian Journal of Fisheries and Aquatic Sciences 49:1228–1235.</w:t>
      </w:r>
    </w:p>
    <w:p w14:paraId="17F7071A" w14:textId="77777777" w:rsidR="003D244F" w:rsidRDefault="00F72FE3" w:rsidP="009C4058">
      <w:pPr>
        <w:pStyle w:val="Bibliography"/>
      </w:pPr>
      <w:r>
        <w:t>Clark, J. M., M. A. Norell, and L. M. Chiappe. 1999. An oviraptorid skeleton from the late cretaceous of ukhaa tolgod, mongolia, preserved in an avianlike brooding position over an oviraptorid nest. American Museum Novitates 3265:1–36.</w:t>
      </w:r>
    </w:p>
    <w:p w14:paraId="7AD84137" w14:textId="77777777" w:rsidR="003D244F" w:rsidRDefault="00F72FE3" w:rsidP="009C4058">
      <w:pPr>
        <w:pStyle w:val="Bibliography"/>
      </w:pPr>
      <w:r>
        <w:t>Cowgill, L. W. 2007. Humeral torsion revisited: A functional and ontogenetic model for populational variation. American Journal of Physical Anthropology 134:472–480.</w:t>
      </w:r>
    </w:p>
    <w:p w14:paraId="554AD3D7" w14:textId="77777777" w:rsidR="003D244F" w:rsidRDefault="00F72FE3" w:rsidP="009C4058">
      <w:pPr>
        <w:pStyle w:val="Bibliography"/>
      </w:pPr>
      <w:r>
        <w:t>Cowgill, L. W., and L. D. Hager. 2007. Variation in the development of postcranial robusticity: An example from çatalhöyük, turkey. International Journal of Osteoarchaeology 17:235–252.</w:t>
      </w:r>
    </w:p>
    <w:p w14:paraId="32ADB87F" w14:textId="77777777" w:rsidR="003D244F" w:rsidRDefault="00F72FE3" w:rsidP="009C4058">
      <w:pPr>
        <w:pStyle w:val="Bibliography"/>
      </w:pPr>
      <w:r>
        <w:t xml:space="preserve">Crossley, D. A., II, and J. Altimiras. 2005. Cardiovascular development in embryos of the american alligator </w:t>
      </w:r>
      <w:r>
        <w:rPr>
          <w:i/>
        </w:rPr>
        <w:t>alligator mississippiensis</w:t>
      </w:r>
      <w:r>
        <w:t>: Effects of chronic and acute hypoxia. Journal of Experimental Biology 208:31–39.</w:t>
      </w:r>
    </w:p>
    <w:p w14:paraId="4D8BAE5D" w14:textId="77777777" w:rsidR="003D244F" w:rsidRDefault="00F72FE3" w:rsidP="009C4058">
      <w:pPr>
        <w:pStyle w:val="Bibliography"/>
      </w:pPr>
      <w:r>
        <w:t>Crossley, D. A., II, and W. W. Burggren. 2009. Development of cardiac form and function in ectothermic sauropsids. Journal of Morphology 270:1400–1412.</w:t>
      </w:r>
    </w:p>
    <w:p w14:paraId="02ACF18B" w14:textId="77777777" w:rsidR="003D244F" w:rsidRDefault="00F72FE3" w:rsidP="009C4058">
      <w:pPr>
        <w:pStyle w:val="Bibliography"/>
      </w:pPr>
      <w:r>
        <w:t>Crowe, S. A., L. N. Døssing, N. J. Beukes, M. Bau, S. J. Kruger, R. Frei, and D. E. Canfield. 2013. Atmospheric oxygenation three billion years ago. Nature 501:535–538.</w:t>
      </w:r>
    </w:p>
    <w:p w14:paraId="3FBB071C" w14:textId="77777777" w:rsidR="003D244F" w:rsidRDefault="00F72FE3" w:rsidP="009C4058">
      <w:pPr>
        <w:pStyle w:val="Bibliography"/>
      </w:pPr>
      <w:r>
        <w:t>Cubo, J., and A. Casinos. 1998. The variation of the cross-sectional shape in the long bones of birds and mammals. Annales des Sciences Naturelles 19:51–62.</w:t>
      </w:r>
    </w:p>
    <w:p w14:paraId="050C9E0F" w14:textId="77777777" w:rsidR="003D244F" w:rsidRDefault="00F72FE3" w:rsidP="009C4058">
      <w:pPr>
        <w:pStyle w:val="Bibliography"/>
      </w:pPr>
      <w:r>
        <w:lastRenderedPageBreak/>
        <w:t xml:space="preserve">Daegling, D. J., B. A. Patel, and W. L. Jungers. 2014. Geometric properties and comparative biomechanics of </w:t>
      </w:r>
      <w:r>
        <w:rPr>
          <w:i/>
        </w:rPr>
        <w:t>homo floresiensis</w:t>
      </w:r>
      <w:r>
        <w:t xml:space="preserve"> mandibles. Journal of Human Evolution 68:36–46.</w:t>
      </w:r>
    </w:p>
    <w:p w14:paraId="50186A9B" w14:textId="77777777" w:rsidR="003D244F" w:rsidRDefault="00F72FE3" w:rsidP="009C4058">
      <w:pPr>
        <w:pStyle w:val="Bibliography"/>
      </w:pPr>
      <w:r>
        <w:t xml:space="preserve">Deeming, D. C., and M. W. J. Ferguson. 1990. Morphometric analysis of embryonic development in </w:t>
      </w:r>
      <w:r>
        <w:rPr>
          <w:i/>
        </w:rPr>
        <w:t>alligator mississippiensis</w:t>
      </w:r>
      <w:r>
        <w:t xml:space="preserve">, </w:t>
      </w:r>
      <w:r>
        <w:rPr>
          <w:i/>
        </w:rPr>
        <w:t>crocodylus johnstoni</w:t>
      </w:r>
      <w:r>
        <w:t xml:space="preserve"> and </w:t>
      </w:r>
      <w:r>
        <w:rPr>
          <w:i/>
        </w:rPr>
        <w:t>crocodylus porosus</w:t>
      </w:r>
      <w:r>
        <w:t>. Journal of Zoology 221:419–439.</w:t>
      </w:r>
    </w:p>
    <w:p w14:paraId="53BEAF3F" w14:textId="77777777" w:rsidR="003D244F" w:rsidRDefault="00F72FE3" w:rsidP="009C4058">
      <w:pPr>
        <w:pStyle w:val="Bibliography"/>
      </w:pPr>
      <w:r>
        <w:t>Demes, B. 2000. Cortical bone distribution in the femoral neck of strepsirhine primates. Journal of Human Evolution 39:367–379.</w:t>
      </w:r>
    </w:p>
    <w:p w14:paraId="5555F627" w14:textId="77777777" w:rsidR="003D244F" w:rsidRDefault="00F72FE3" w:rsidP="009C4058">
      <w:pPr>
        <w:pStyle w:val="Bibliography"/>
      </w:pPr>
      <w:r>
        <w:t>Demes, B., and W. L. Jungers. 1993. Long bone cross-sectional dimensions, locomotor adaptations and body size in prosimian primates. Journal of Human Evolution 25:57–74.</w:t>
      </w:r>
    </w:p>
    <w:p w14:paraId="5DD11015" w14:textId="77777777" w:rsidR="003D244F" w:rsidRDefault="00F72FE3" w:rsidP="009C4058">
      <w:pPr>
        <w:pStyle w:val="Bibliography"/>
      </w:pPr>
      <w:r>
        <w:t>Demes, B., W. L. Jungers, and K. Selpien. 1991. Body size, locomotion, and long bone cross-sectional geometry in indriid primates. American Journal of Physical Anthropology 86:537–547.</w:t>
      </w:r>
    </w:p>
    <w:p w14:paraId="3862CE45" w14:textId="77777777" w:rsidR="003D244F" w:rsidRDefault="00F72FE3" w:rsidP="009C4058">
      <w:pPr>
        <w:pStyle w:val="Bibliography"/>
      </w:pPr>
      <w:r>
        <w:t>Dudley, R. 1998. Atmospheric oxygen, giant paleozoic insects and the evolution of aerial locomotor performance. Journal of Experimental Biology 201:1043–1050.</w:t>
      </w:r>
    </w:p>
    <w:p w14:paraId="41900256" w14:textId="77777777" w:rsidR="003D244F" w:rsidRDefault="00F72FE3" w:rsidP="009C4058">
      <w:pPr>
        <w:pStyle w:val="Bibliography"/>
      </w:pPr>
      <w:r>
        <w:t xml:space="preserve">Dumont, M., A. Borbely, A. Kaysser-Pyzalla, and P. M. Sander. 2014. Long bone cortices in a growth series of </w:t>
      </w:r>
      <w:r>
        <w:rPr>
          <w:i/>
        </w:rPr>
        <w:t>apatosaurus</w:t>
      </w:r>
      <w:r>
        <w:t xml:space="preserve"> sp. (dinosauria: Diplodocidae): Geometry, body mass, and crystallite orientation of giant animals. Biological Journal of the Linnean Society 112:782–798.</w:t>
      </w:r>
    </w:p>
    <w:p w14:paraId="4CB66BD7" w14:textId="77777777" w:rsidR="003D244F" w:rsidRDefault="00F72FE3" w:rsidP="009C4058">
      <w:pPr>
        <w:pStyle w:val="Bibliography"/>
      </w:pPr>
      <w:r>
        <w:t>Dzialowski, E. M., D. von Plettenberg, N. A. Elmonoufy, and W. W. Burggren. 2002. Chronic hypoxia alters the physiological and morphological trajectories of developing chicken embryos. Comparative biochemistry and physiology Part A, Molecular &amp; integrative physiology 131:713–724.</w:t>
      </w:r>
    </w:p>
    <w:p w14:paraId="0D5405B4" w14:textId="77777777" w:rsidR="003D244F" w:rsidRDefault="00F72FE3" w:rsidP="009C4058">
      <w:pPr>
        <w:pStyle w:val="Bibliography"/>
      </w:pPr>
      <w:r>
        <w:t xml:space="preserve">Eme, J., J. Altimiras, J. W. Hicks, and D. A. Crossley II. 2011a. Hypoxic alligator embryos: Chronic hypoxia, catecholamine levels and autonomic </w:t>
      </w:r>
      <w:r>
        <w:lastRenderedPageBreak/>
        <w:t>responses of in ovo alligators. Comparative biochemistry and physiology Part A, Molecular &amp; integrative physiology 160:412–420.</w:t>
      </w:r>
    </w:p>
    <w:p w14:paraId="6B6B81C3" w14:textId="77777777" w:rsidR="003D244F" w:rsidRDefault="00F72FE3" w:rsidP="009C4058">
      <w:pPr>
        <w:pStyle w:val="Bibliography"/>
      </w:pPr>
      <w:r>
        <w:t>Eme, J., D. A. Crossley II, and J. W. Hicks. 2011b. Role of the left aortic arch and blood flows in embryonic american alligator (</w:t>
      </w:r>
      <w:r>
        <w:rPr>
          <w:i/>
        </w:rPr>
        <w:t>alligator mississippiensis</w:t>
      </w:r>
      <w:r>
        <w:t>). Journal of Comparative Physiology B 181:391–401.</w:t>
      </w:r>
    </w:p>
    <w:p w14:paraId="165DF899" w14:textId="77777777" w:rsidR="003D244F" w:rsidRDefault="00F72FE3" w:rsidP="009C4058">
      <w:pPr>
        <w:pStyle w:val="Bibliography"/>
      </w:pPr>
      <w:r>
        <w:t>Eme, J., J. W. Hicks, and D. A. Crossley II. 2011c. Chronic hypoxic incubation blunts a cardiovascular reflex loop in embryonic american alligator (</w:t>
      </w:r>
      <w:r>
        <w:rPr>
          <w:i/>
        </w:rPr>
        <w:t>alligator mississippiensis</w:t>
      </w:r>
      <w:r>
        <w:t>). Journal of Comparative Physiology B 181:981–990.</w:t>
      </w:r>
    </w:p>
    <w:p w14:paraId="2E16C8A5" w14:textId="77777777" w:rsidR="003D244F" w:rsidRDefault="00F72FE3" w:rsidP="009C4058">
      <w:pPr>
        <w:pStyle w:val="Bibliography"/>
      </w:pPr>
      <w:r>
        <w:t>Eme, J., T. Rhen, K. B. Tate, K. Gruchalla, Z. F. Kohl, C. E. Slay, and D. A. Crossley II. 2013. Plasticity of cardiovascular function in snapping turtle embryos (</w:t>
      </w:r>
      <w:r>
        <w:rPr>
          <w:i/>
        </w:rPr>
        <w:t>chelydra serpentina</w:t>
      </w:r>
      <w:r>
        <w:t>): Chronic hypoxia alters autonomic regulation and gene expression. American Journal of Physiology: Regulatory, Integrative and Comparative Physiology 304:R966–R979.</w:t>
      </w:r>
    </w:p>
    <w:p w14:paraId="3B1C2B39" w14:textId="77777777" w:rsidR="003D244F" w:rsidRDefault="00F72FE3" w:rsidP="009C4058">
      <w:pPr>
        <w:pStyle w:val="Bibliography"/>
      </w:pPr>
      <w:r>
        <w:t xml:space="preserve">Erickson, G. M., and T. Tumanova. 2000. Growth curve of </w:t>
      </w:r>
      <w:r>
        <w:rPr>
          <w:i/>
        </w:rPr>
        <w:t>psittacosaurus mongoliensis</w:t>
      </w:r>
      <w:r>
        <w:t xml:space="preserve"> osborn (ceratopsia: Psittacosauridae) inferred from long bone histology. Zoological Journal of the Linnean Society 130:551–566.</w:t>
      </w:r>
    </w:p>
    <w:p w14:paraId="42B2F5E9" w14:textId="77777777" w:rsidR="003D244F" w:rsidRDefault="00F72FE3" w:rsidP="009C4058">
      <w:pPr>
        <w:pStyle w:val="Bibliography"/>
      </w:pPr>
      <w:r>
        <w:t>Erickson, G. M., K. Curry Rogers, and S. Yerby. 2001. Dinosaurian growth patterns and rapid avian growth rates. Nature 412:429–433.</w:t>
      </w:r>
    </w:p>
    <w:p w14:paraId="6690BB11" w14:textId="77777777" w:rsidR="003D244F" w:rsidRDefault="00F72FE3" w:rsidP="009C4058">
      <w:pPr>
        <w:pStyle w:val="Bibliography"/>
      </w:pPr>
      <w:r>
        <w:t>Erickson, G. M., P. J. Makovicky, P. J. Currie, M. A. Norell, S. Yerby, and C. A. Brochu. 2004. Gigantism and comparative life-history parameters of tyrannosaurid dinosaurs. Nature 430:772–775.</w:t>
      </w:r>
    </w:p>
    <w:p w14:paraId="596569B2" w14:textId="77777777" w:rsidR="003D244F" w:rsidRDefault="00F72FE3" w:rsidP="009C4058">
      <w:pPr>
        <w:pStyle w:val="Bibliography"/>
      </w:pPr>
      <w:r>
        <w:t xml:space="preserve">Erickson, G. M., S. Van Kirk, J. Su, M. Levenston, W. Caler, and D. R. Carter. 1996. Bite-force estimation for </w:t>
      </w:r>
      <w:r>
        <w:rPr>
          <w:i/>
        </w:rPr>
        <w:t>tyrannosaurus rex</w:t>
      </w:r>
      <w:r>
        <w:t xml:space="preserve"> from tooth-marked bones. Nature 382:706–708.</w:t>
      </w:r>
    </w:p>
    <w:p w14:paraId="2294A86F" w14:textId="77777777" w:rsidR="003D244F" w:rsidRDefault="00F72FE3" w:rsidP="009C4058">
      <w:pPr>
        <w:pStyle w:val="Bibliography"/>
      </w:pPr>
      <w:r>
        <w:t xml:space="preserve">Falkowski, P. G., M. E. Katz, A. J. Milligan, K. Fennel, B. S. Cramer, M. P. Aubry, R. A. Berner, M. J. Novacek, and W. M. Zapol. 2005. The rise of oxygen </w:t>
      </w:r>
      <w:r>
        <w:lastRenderedPageBreak/>
        <w:t>over the past 205 million years and the evolution of large placental mammals. Science 309:2202–2204.</w:t>
      </w:r>
    </w:p>
    <w:p w14:paraId="3C0E6AD7" w14:textId="77777777" w:rsidR="003D244F" w:rsidRDefault="00F72FE3" w:rsidP="009C4058">
      <w:pPr>
        <w:pStyle w:val="Bibliography"/>
      </w:pPr>
      <w:r>
        <w:t xml:space="preserve">Farlow, J. O., G. R. Hurlburt, R. M. Elsey, A. R. Britton, and W. Langston Jr. 2005. Femoral dimensions and body size of </w:t>
      </w:r>
      <w:r>
        <w:rPr>
          <w:i/>
        </w:rPr>
        <w:t>alligator mississippiensis</w:t>
      </w:r>
      <w:r>
        <w:t>: Estimating the size of extinct mesoeucrocodylians. Journal of Vertebrate Paleontology 25:354–369.</w:t>
      </w:r>
    </w:p>
    <w:p w14:paraId="10257CA5" w14:textId="77777777" w:rsidR="003D244F" w:rsidRDefault="00F72FE3" w:rsidP="009C4058">
      <w:pPr>
        <w:pStyle w:val="Bibliography"/>
      </w:pPr>
      <w:r>
        <w:t>Flück, M., K. A. Webster, J. Graham, F. Giomi, F. Gerlach, and A. Schmitz. 2007. Coping with cyclic oxygen availability: Evolutionary aspects. Integrative and Comparative Biology 47:524–531.</w:t>
      </w:r>
    </w:p>
    <w:p w14:paraId="092B84CF" w14:textId="77777777" w:rsidR="003D244F" w:rsidRDefault="00F72FE3" w:rsidP="009C4058">
      <w:pPr>
        <w:pStyle w:val="Bibliography"/>
      </w:pPr>
      <w:r>
        <w:t>Frappell, P. B., and J. P. Mortola. 1994. Hamsters vs. rats: Metabolic and ventilatory response to development in chronic hypoxia. Journal of Applied Physiology 77:2748–2752.</w:t>
      </w:r>
    </w:p>
    <w:p w14:paraId="6592BBE2" w14:textId="77777777" w:rsidR="003D244F" w:rsidRDefault="00F72FE3" w:rsidP="009C4058">
      <w:pPr>
        <w:pStyle w:val="Bibliography"/>
      </w:pPr>
      <w:r>
        <w:t>Frisancho, A. R. 1970. Developmental responses to high altitude hypoxia. American Journal of Physical Anthropology 32:401–407.</w:t>
      </w:r>
    </w:p>
    <w:p w14:paraId="493EC044" w14:textId="77777777" w:rsidR="003D244F" w:rsidRDefault="00F72FE3" w:rsidP="009C4058">
      <w:pPr>
        <w:pStyle w:val="Bibliography"/>
      </w:pPr>
      <w:r>
        <w:t>Frisancho, A. R., and P. T. Baker. 1970. Altitude and growth: A study of the patterns of physical growth of a high altitude peruvian quechua population. American Journal of Physical Anthropology 32:279–292.</w:t>
      </w:r>
    </w:p>
    <w:p w14:paraId="0762D184" w14:textId="77777777" w:rsidR="003D244F" w:rsidRDefault="00F72FE3" w:rsidP="009C4058">
      <w:pPr>
        <w:pStyle w:val="Bibliography"/>
      </w:pPr>
      <w:r>
        <w:t>Gatesy, S. M. 2003. Direct and indirect track features: What sediment did a dinosaur touch? Ichnos 10:91–98.</w:t>
      </w:r>
    </w:p>
    <w:p w14:paraId="750C5C23" w14:textId="77777777" w:rsidR="003D244F" w:rsidRDefault="00F72FE3" w:rsidP="009C4058">
      <w:pPr>
        <w:pStyle w:val="Bibliography"/>
      </w:pPr>
      <w:r>
        <w:t>Gatesy, S. M. 1991. Hind limb movements of the american alligator (</w:t>
      </w:r>
      <w:r>
        <w:rPr>
          <w:i/>
        </w:rPr>
        <w:t>alligator mississippiensis</w:t>
      </w:r>
      <w:r>
        <w:t>) and postural grades. Journal of Zoology 224:577–588.</w:t>
      </w:r>
    </w:p>
    <w:p w14:paraId="7637AAD7" w14:textId="77777777" w:rsidR="003D244F" w:rsidRDefault="00F72FE3" w:rsidP="009C4058">
      <w:pPr>
        <w:pStyle w:val="Bibliography"/>
      </w:pPr>
      <w:r>
        <w:t>Gatesy, S. M., K. M. Middleton, F. A. Jenkins, and N. H. Shubin. 1999. Three-dimensional preservation of foot movements in triassic theropod dinosaurs. Nature 399:141–144.</w:t>
      </w:r>
    </w:p>
    <w:p w14:paraId="50A1EB52" w14:textId="77777777" w:rsidR="003D244F" w:rsidRDefault="00F72FE3" w:rsidP="009C4058">
      <w:pPr>
        <w:pStyle w:val="Bibliography"/>
      </w:pPr>
      <w:r>
        <w:t>Glasspool, I. J., and A. C. Scott. 2010. Phanerozoic concentrations of atmospheric oxygen reconstructed from sedimentary charcoal. Nature Geoscience 3:627–630.</w:t>
      </w:r>
    </w:p>
    <w:p w14:paraId="6ECD944F" w14:textId="77777777" w:rsidR="003D244F" w:rsidRDefault="00F72FE3" w:rsidP="009C4058">
      <w:pPr>
        <w:pStyle w:val="Bibliography"/>
      </w:pPr>
      <w:r>
        <w:lastRenderedPageBreak/>
        <w:t>Gordon, A. S., F. J. Tornetta, S. A. D’angelo, and H. A. Charipper. 1943. Effects of low atmospheric pressures on the activity of the thyroid, reproductive system and anterior lobe of the pituitary in the rat. Endocrinology 33:366–383.</w:t>
      </w:r>
    </w:p>
    <w:p w14:paraId="5FBF8DA3" w14:textId="77777777" w:rsidR="003D244F" w:rsidRDefault="00F72FE3" w:rsidP="009C4058">
      <w:pPr>
        <w:pStyle w:val="Bibliography"/>
      </w:pPr>
      <w:r>
        <w:t xml:space="preserve">Graham, J. B., N. M. Aguilar, R. Dudley, C. Gans, S. S. Sumida, and K. L. M. Martin. 1997. </w:t>
      </w:r>
      <w:r>
        <w:rPr>
          <w:i/>
        </w:rPr>
        <w:t>The late paleozoic atmosphere and the ecological and evolutionary physiology of tetrapods</w:t>
      </w:r>
      <w:r>
        <w:t>.</w:t>
      </w:r>
    </w:p>
    <w:p w14:paraId="52A998A1" w14:textId="77777777" w:rsidR="003D244F" w:rsidRDefault="00F72FE3" w:rsidP="009C4058">
      <w:pPr>
        <w:pStyle w:val="Bibliography"/>
      </w:pPr>
      <w:r>
        <w:t>Graham, J. B., R. Dudley, N. M. Aguilar, and C. Gans. 1995. Implications of the late paleozoic oxygen pulse for physiology and evolution. Nature 375:117–120.</w:t>
      </w:r>
    </w:p>
    <w:p w14:paraId="4F514057" w14:textId="77777777" w:rsidR="003D244F" w:rsidRDefault="00F72FE3" w:rsidP="009C4058">
      <w:pPr>
        <w:pStyle w:val="Bibliography"/>
      </w:pPr>
      <w:r>
        <w:t>Habib, M. B., and C. B. Ruff. 2008. The effects of locomotion on the structural characteristics of avian limb bones. Zoological Journal of the Linnean Society 153:601–624.</w:t>
      </w:r>
    </w:p>
    <w:p w14:paraId="7B1E1A00" w14:textId="77777777" w:rsidR="003D244F" w:rsidRDefault="00F72FE3" w:rsidP="009C4058">
      <w:pPr>
        <w:pStyle w:val="Bibliography"/>
      </w:pPr>
      <w:r>
        <w:t>Harrison, J. F., A. Kaiser, and J. M. VandenBrooks. 2010. Atmospheric oxygen level and the evolution of insect body size. Proceedings of the Royal Society B: Biological Sciences 277:1937–1946.</w:t>
      </w:r>
    </w:p>
    <w:p w14:paraId="4CD86E61" w14:textId="77777777" w:rsidR="003D244F" w:rsidRDefault="00F72FE3" w:rsidP="009C4058">
      <w:pPr>
        <w:pStyle w:val="Bibliography"/>
      </w:pPr>
      <w:r>
        <w:t>Hochachka, P. W., J. L. Rupert, and C. Monge. 1999. Adaptation and conservation of physiological systems in the evolution of human hypoxia tolerance. Comparative biochemistry and physiology Part A, Molecular &amp; integrative physiology 124:1–17.</w:t>
      </w:r>
    </w:p>
    <w:p w14:paraId="260F6D29" w14:textId="77777777" w:rsidR="003D244F" w:rsidRDefault="00F72FE3" w:rsidP="009C4058">
      <w:pPr>
        <w:pStyle w:val="Bibliography"/>
      </w:pPr>
      <w:r>
        <w:t>Horner, J. R. 1982. Evidence of colonial nesting and ’site fidelity’ among ornithischian dinosaurs. Nature 297:675–676.</w:t>
      </w:r>
    </w:p>
    <w:p w14:paraId="38DB8347" w14:textId="77777777" w:rsidR="003D244F" w:rsidRDefault="00F72FE3" w:rsidP="009C4058">
      <w:pPr>
        <w:pStyle w:val="Bibliography"/>
      </w:pPr>
      <w:r>
        <w:t>Hunter, C., and E. J. Clegg. 1973a. Changes in skeletal proportions of the rat in response to hypoxic stress. Journal of Anatomy 114:201–219.</w:t>
      </w:r>
    </w:p>
    <w:p w14:paraId="58481C46" w14:textId="77777777" w:rsidR="003D244F" w:rsidRDefault="00F72FE3" w:rsidP="009C4058">
      <w:pPr>
        <w:pStyle w:val="Bibliography"/>
      </w:pPr>
      <w:r>
        <w:t>Hunter, C., and E. J. Clegg. 1973b. The effects of hypoxia on the caudal vertebrae of growing mice and rats. Journal of Anatomy 116:227–244.</w:t>
      </w:r>
    </w:p>
    <w:p w14:paraId="61718F55" w14:textId="77777777" w:rsidR="003D244F" w:rsidRDefault="00F72FE3" w:rsidP="009C4058">
      <w:pPr>
        <w:pStyle w:val="Bibliography"/>
      </w:pPr>
      <w:r>
        <w:lastRenderedPageBreak/>
        <w:t>Jackson, D. C. 2000. Living without oxygen: Lessons from the freshwater turtle. Comparative biochemistry and physiology Part A, Molecular &amp; integrative physiology 125:299–315.</w:t>
      </w:r>
    </w:p>
    <w:p w14:paraId="5C948AEA" w14:textId="77777777" w:rsidR="003D244F" w:rsidRDefault="00F72FE3" w:rsidP="009C4058">
      <w:pPr>
        <w:pStyle w:val="Bibliography"/>
      </w:pPr>
      <w:r>
        <w:t xml:space="preserve">Jackson, D. C., C. E. Crocker, and G. R. Ultsch. 2000a. Bone and shell contribution to lactic acid buffering of submerged turtles </w:t>
      </w:r>
      <w:r>
        <w:rPr>
          <w:i/>
        </w:rPr>
        <w:t>chrysemys picta</w:t>
      </w:r>
      <w:r>
        <w:t xml:space="preserve"> bellii at 3 degrees c. American Journal of Physiology (Regulatory, Integrative, and Comparative Physiology) 278:R1564–R1571.</w:t>
      </w:r>
    </w:p>
    <w:p w14:paraId="49A22772" w14:textId="77777777" w:rsidR="003D244F" w:rsidRDefault="00F72FE3" w:rsidP="009C4058">
      <w:pPr>
        <w:pStyle w:val="Bibliography"/>
      </w:pPr>
      <w:r>
        <w:t>Jackson, D. C., A. L. Ramsey, J. M. Paulson, C. E. Crocker, and G. R. Ultsch. 2000b. Lactic acid buffering by bone and shell in anoxic softshell and painted turtles. Physiological and Biochemical Zoology 73:290–297.</w:t>
      </w:r>
    </w:p>
    <w:p w14:paraId="6CD02497" w14:textId="77777777" w:rsidR="003D244F" w:rsidRDefault="00F72FE3" w:rsidP="009C4058">
      <w:pPr>
        <w:pStyle w:val="Bibliography"/>
      </w:pPr>
      <w:r>
        <w:t>Jacobsen, T., and J. A. Kushlan. 1989. Growth dynamics in the american alligator (</w:t>
      </w:r>
      <w:r>
        <w:rPr>
          <w:i/>
        </w:rPr>
        <w:t>alligator mississippiensis</w:t>
      </w:r>
      <w:r>
        <w:t>). Journal of Zoology 219:309–328.</w:t>
      </w:r>
    </w:p>
    <w:p w14:paraId="0818AF71" w14:textId="77777777" w:rsidR="003D244F" w:rsidRDefault="00F72FE3" w:rsidP="009C4058">
      <w:pPr>
        <w:pStyle w:val="Bibliography"/>
      </w:pPr>
      <w:r>
        <w:t>Kam, Y. C. 1993. Physiological effects of hypoxia on metabolism and growth of turtle embryos. Respiration Physiology 92:127–138.</w:t>
      </w:r>
    </w:p>
    <w:p w14:paraId="360F3BD2" w14:textId="77777777" w:rsidR="003D244F" w:rsidRDefault="00F72FE3" w:rsidP="009C4058">
      <w:pPr>
        <w:pStyle w:val="Bibliography"/>
      </w:pPr>
      <w:r>
        <w:t>Kubo, T., and M. J. Benton. 2009. Tetrapod postural shift estimated from permian and triassic trackways. Palaeontology 52:1029–1037.</w:t>
      </w:r>
    </w:p>
    <w:p w14:paraId="0176C2DB" w14:textId="77777777" w:rsidR="003D244F" w:rsidRDefault="00F72FE3" w:rsidP="009C4058">
      <w:pPr>
        <w:pStyle w:val="Bibliography"/>
      </w:pPr>
      <w:r>
        <w:t>LaBarbera, M. C. 1989. Analyzing body size as a factor in ecology and evolution. Annual Review of Ecology and Systematics 20:97–117.</w:t>
      </w:r>
    </w:p>
    <w:p w14:paraId="441DFDB0" w14:textId="77777777" w:rsidR="003D244F" w:rsidRDefault="00F72FE3" w:rsidP="009C4058">
      <w:pPr>
        <w:pStyle w:val="Bibliography"/>
      </w:pPr>
      <w:r>
        <w:t>Laurin, M., D. Germain, J. S. Steyer, and M. Girondot. 2006. Microanatomical data and the conquest of land by vertebrates. Comptes Rendus Palevol 5:603–618.</w:t>
      </w:r>
    </w:p>
    <w:p w14:paraId="4D9A1045" w14:textId="77777777" w:rsidR="003D244F" w:rsidRDefault="00F72FE3" w:rsidP="009C4058">
      <w:pPr>
        <w:pStyle w:val="Bibliography"/>
      </w:pPr>
      <w:r>
        <w:t>Lee, A. H., and P. M. O’Connor. 2013. Bone histology confirms determinate growth and small body size in the noasaurid theropod masiakasaurus knopfleri. Journal of Vertebrate Paleontology 33:865–876.</w:t>
      </w:r>
    </w:p>
    <w:p w14:paraId="2A6F0960" w14:textId="77777777" w:rsidR="003D244F" w:rsidRDefault="00F72FE3" w:rsidP="009C4058">
      <w:pPr>
        <w:pStyle w:val="Bibliography"/>
      </w:pPr>
      <w:r>
        <w:t>Lee, A. H., and S. Werning. 2008. Sexual maturity in growing dinosaurs does not fit reptilian growth models. Proceedings of the National Academy of Sciences of the United States of America 105:582–587.</w:t>
      </w:r>
    </w:p>
    <w:p w14:paraId="00C76758" w14:textId="77777777" w:rsidR="003D244F" w:rsidRDefault="00F72FE3" w:rsidP="009C4058">
      <w:pPr>
        <w:pStyle w:val="Bibliography"/>
      </w:pPr>
      <w:r>
        <w:lastRenderedPageBreak/>
        <w:t>Lieberman, D. E., J. D. Polk, and B. Demes. 2004. Predicting long bone loading from cross-sectional geometry. American Journal of Physical Anthropology 123:156–171.</w:t>
      </w:r>
    </w:p>
    <w:p w14:paraId="7CD448AC" w14:textId="77777777" w:rsidR="003D244F" w:rsidRDefault="00F72FE3" w:rsidP="009C4058">
      <w:pPr>
        <w:pStyle w:val="Bibliography"/>
      </w:pPr>
      <w:r>
        <w:t>Matsuda, J., R. F. Zernicke, A. Vailas, V. Pedrini, A. Pedrini-Mille, and J. Maynard. 1986. Structural and mechanical adaptation of immature bone to strenuous exercise. Journal of Applied Physiology 60:2028–2040.</w:t>
      </w:r>
    </w:p>
    <w:p w14:paraId="76F4E70B" w14:textId="77777777" w:rsidR="003D244F" w:rsidRDefault="00F72FE3" w:rsidP="009C4058">
      <w:pPr>
        <w:pStyle w:val="Bibliography"/>
      </w:pPr>
      <w:r>
        <w:t>Matsumoto, T., N. Ando, T. Tomii, and K. Uesugi. 2011. Three-dimensional cortical bone microstructure in a rat model of hypoxia-induced growth retardation. Calcified Tissue International 88:54–62.</w:t>
      </w:r>
    </w:p>
    <w:p w14:paraId="2C50806A" w14:textId="77777777" w:rsidR="003D244F" w:rsidRDefault="00F72FE3" w:rsidP="009C4058">
      <w:pPr>
        <w:pStyle w:val="Bibliography"/>
      </w:pPr>
      <w:r>
        <w:t>McAlester, A. L. 1970. Animal extinctions, oxygen consumption, and atmospheric history. Journal of Paleontology 44:405–409.</w:t>
      </w:r>
    </w:p>
    <w:p w14:paraId="275B403F" w14:textId="77777777" w:rsidR="003D244F" w:rsidRDefault="00F72FE3" w:rsidP="009C4058">
      <w:pPr>
        <w:pStyle w:val="Bibliography"/>
      </w:pPr>
      <w:r>
        <w:t>McCrea, R. T., L. G. Buckley, J. O. Farlow, M. G. Lockley, P. J. Currie, N. A. Matthews, and S. G. Pemberton. 2014. A ’terror of tyrannosaurs’: The first trackways of tyrannosaurids and evidence of gregariousness and pathology in tyrannosauridae. PLoS ONE 9:e103613.</w:t>
      </w:r>
    </w:p>
    <w:p w14:paraId="72BC6D47" w14:textId="77777777" w:rsidR="003D244F" w:rsidRDefault="00F72FE3" w:rsidP="009C4058">
      <w:pPr>
        <w:pStyle w:val="Bibliography"/>
      </w:pPr>
      <w:r>
        <w:t>Meers, M. B. 2002. Cross-sectional geometric properties of the crocodylian humerus: An exception to wolff’s law? Journal of Zoology 258:405–418.</w:t>
      </w:r>
    </w:p>
    <w:p w14:paraId="41B92611" w14:textId="77777777" w:rsidR="003D244F" w:rsidRDefault="00F72FE3" w:rsidP="009C4058">
      <w:pPr>
        <w:pStyle w:val="Bibliography"/>
      </w:pPr>
      <w:r>
        <w:t>Metcalfe, J., I. E. McCutcheon, D. L. Francisco, A. B. Metzenberg, and J. E. Welch. 1981. Oxygen availability and growth of the chick embryo. Respiration Physiology 46:81–88.</w:t>
      </w:r>
    </w:p>
    <w:p w14:paraId="76F63BF4" w14:textId="77777777" w:rsidR="003D244F" w:rsidRDefault="00F72FE3" w:rsidP="009C4058">
      <w:pPr>
        <w:pStyle w:val="Bibliography"/>
      </w:pPr>
      <w:r>
        <w:t>Middleton, K. M., B. D. Goldstein, P. R. Guduru, J. F. Waters, S. A. Kelly, S. M. Swartz, and T. Garland Jr. 2010. Variation in within-bone stiffness measured by nanoindentation in mice bred for high levels of voluntary wheel running. Journal of Anatomy 216:121–131.</w:t>
      </w:r>
    </w:p>
    <w:p w14:paraId="5F67016A" w14:textId="77777777" w:rsidR="003D244F" w:rsidRDefault="00F72FE3" w:rsidP="009C4058">
      <w:pPr>
        <w:pStyle w:val="Bibliography"/>
      </w:pPr>
      <w:r>
        <w:t>Middleton, K. M., S. A. Kelly, and T. Garland Jr. 2008a. Selective breeding as a tool to probe skeletal response to high voluntary locomotor activity in mice. Integrative and Comparative Biology 48:394–410.</w:t>
      </w:r>
    </w:p>
    <w:p w14:paraId="0DAE306E" w14:textId="77777777" w:rsidR="003D244F" w:rsidRDefault="00F72FE3" w:rsidP="009C4058">
      <w:pPr>
        <w:pStyle w:val="Bibliography"/>
      </w:pPr>
      <w:r>
        <w:lastRenderedPageBreak/>
        <w:t>Middleton, K. M., C. E. Shubin, D. C. Moore, P. A. Carter, T. Garland Jr, and S. M. Swartz. 2008b. The relative importance of genetics and phenotypic plasticity in dictating bone morphology and mechanics in aged mice: Evidence from an artificial selection experiment. Zoology 111:135–147.</w:t>
      </w:r>
    </w:p>
    <w:p w14:paraId="6E84952B" w14:textId="77777777" w:rsidR="003D244F" w:rsidRDefault="00F72FE3" w:rsidP="009C4058">
      <w:pPr>
        <w:pStyle w:val="Bibliography"/>
      </w:pPr>
      <w:r>
        <w:t>Moore, C. R., and D. Price. 1948. A study at high altitude of reproduction, growth, sexual maturity, and organ weights. Journal of Experimental Zoology 108:171–216.</w:t>
      </w:r>
    </w:p>
    <w:p w14:paraId="6F5B8F13" w14:textId="77777777" w:rsidR="003D244F" w:rsidRDefault="00F72FE3" w:rsidP="009C4058">
      <w:pPr>
        <w:pStyle w:val="Bibliography"/>
      </w:pPr>
      <w:r>
        <w:t>Mortola, J. P. 2004. Ventilatory response to hyperoxia in the chick embryo. Comparative biochemistry and physiology Part A, Molecular &amp; integrative physiology 137:723–730.</w:t>
      </w:r>
    </w:p>
    <w:p w14:paraId="268CC0DE" w14:textId="77777777" w:rsidR="003D244F" w:rsidRDefault="00F72FE3" w:rsidP="009C4058">
      <w:pPr>
        <w:pStyle w:val="Bibliography"/>
      </w:pPr>
      <w:r>
        <w:t>Myhrvold, N. P. 2013. Revisiting the estimation of dinosaur growth rates. PLoS ONE 8:e81917.</w:t>
      </w:r>
    </w:p>
    <w:p w14:paraId="00CFCCF5" w14:textId="77777777" w:rsidR="003D244F" w:rsidRDefault="00F72FE3" w:rsidP="009C4058">
      <w:pPr>
        <w:pStyle w:val="Bibliography"/>
      </w:pPr>
      <w:r>
        <w:t>Nesbitt, S. J. 2011. The early evolution of archosaurs: Relationships and the origin of major clades. Bulletin of the American Museum of Natural History 352:1–292.</w:t>
      </w:r>
    </w:p>
    <w:p w14:paraId="3EF69158" w14:textId="77777777" w:rsidR="003D244F" w:rsidRDefault="00F72FE3" w:rsidP="009C4058">
      <w:pPr>
        <w:pStyle w:val="Bibliography"/>
      </w:pPr>
      <w:r>
        <w:t>Padian, K., and E.-T. Lamm. 2013. Bone histology of fossil tetrapods: Advancing methods, analysis, and interpretation. University of California Press, Berkeley.</w:t>
      </w:r>
    </w:p>
    <w:p w14:paraId="1432BB9B" w14:textId="77777777" w:rsidR="003D244F" w:rsidRDefault="00F72FE3" w:rsidP="009C4058">
      <w:pPr>
        <w:pStyle w:val="Bibliography"/>
      </w:pPr>
      <w:r>
        <w:t>Pardo, S. A., A. B. Cooper, and N. K. Dulvy. 2013. Avoiding fishy growth curves. Methods in Ecology and Evolution 4:353–360.</w:t>
      </w:r>
    </w:p>
    <w:p w14:paraId="7953F80E" w14:textId="77777777" w:rsidR="003D244F" w:rsidRDefault="00F72FE3" w:rsidP="009C4058">
      <w:pPr>
        <w:pStyle w:val="Bibliography"/>
      </w:pPr>
      <w:r>
        <w:t xml:space="preserve">Pinheiro, J. C., and D. M. Bates. 2000. </w:t>
      </w:r>
      <w:r>
        <w:rPr>
          <w:i/>
        </w:rPr>
        <w:t>Mixed-effects models in s and s-pLUS</w:t>
      </w:r>
      <w:r>
        <w:t>. Springer.</w:t>
      </w:r>
    </w:p>
    <w:p w14:paraId="25602D9E" w14:textId="77777777" w:rsidR="003D244F" w:rsidRDefault="00F72FE3" w:rsidP="009C4058">
      <w:pPr>
        <w:pStyle w:val="Bibliography"/>
      </w:pPr>
      <w:r>
        <w:t xml:space="preserve">Pinheiro, J., D. Bates, S. DebRoy, D. Sarkar, and R Core Team. 2014. </w:t>
      </w:r>
      <w:r>
        <w:rPr>
          <w:i/>
        </w:rPr>
        <w:t>Nlme: Linear and nonlinear mixed effects models</w:t>
      </w:r>
      <w:r>
        <w:t>.</w:t>
      </w:r>
    </w:p>
    <w:p w14:paraId="75C2DC0A" w14:textId="77777777" w:rsidR="003D244F" w:rsidRDefault="00F72FE3" w:rsidP="009C4058">
      <w:pPr>
        <w:pStyle w:val="Bibliography"/>
      </w:pPr>
      <w:r>
        <w:t xml:space="preserve">Polk, J. D., B. Demes, W. L. Jungers, A. R. Biknevicius, R. E. Heinrich, and J. Runestad. 2000. A comparison of primate, carnivoran and rodent limb </w:t>
      </w:r>
      <w:r>
        <w:lastRenderedPageBreak/>
        <w:t>bone cross-sectional properties: Are primates really unique? Journal of Human Evolution 39:297–325.</w:t>
      </w:r>
    </w:p>
    <w:p w14:paraId="4F805D13" w14:textId="77777777" w:rsidR="003D244F" w:rsidRDefault="00F72FE3" w:rsidP="009C4058">
      <w:pPr>
        <w:pStyle w:val="Bibliography"/>
      </w:pPr>
      <w:r>
        <w:t>Porteus, C., M. S. Hedrick, J. W. Hicks, T. Wang, and W. K. Milsom. 2011. Time domains of the hypoxic ventilatory response in ectothermic vertebrates. Journal of Comparative Physiology B 181:311–333.</w:t>
      </w:r>
    </w:p>
    <w:p w14:paraId="0A7F7C0B" w14:textId="77777777" w:rsidR="003D244F" w:rsidRDefault="00F72FE3" w:rsidP="009C4058">
      <w:pPr>
        <w:pStyle w:val="Bibliography"/>
      </w:pPr>
      <w:r>
        <w:t xml:space="preserve">R Core Team. 2014. </w:t>
      </w:r>
      <w:r>
        <w:rPr>
          <w:i/>
        </w:rPr>
        <w:t>R: A language and environment for statistical computing</w:t>
      </w:r>
      <w:r>
        <w:t>. R Foundation for Statistical Computing, Vienna, Austria.</w:t>
      </w:r>
    </w:p>
    <w:p w14:paraId="57C6792D" w14:textId="77777777" w:rsidR="003D244F" w:rsidRDefault="00F72FE3" w:rsidP="009C4058">
      <w:pPr>
        <w:pStyle w:val="Bibliography"/>
      </w:pPr>
      <w:r>
        <w:t>Ramirez, J.-M., L. P. Folkow, and A. S. Blix. 2007. Hypoxia tolerance in mammals and birds: From the wilderness to the clinic. Annual Review of Physiology 69:113–143.</w:t>
      </w:r>
    </w:p>
    <w:p w14:paraId="7423A29D" w14:textId="77777777" w:rsidR="003D244F" w:rsidRDefault="00F72FE3" w:rsidP="009C4058">
      <w:pPr>
        <w:pStyle w:val="Bibliography"/>
      </w:pPr>
      <w:r>
        <w:t>Richards, M. P., M. K. Stock, and J. Metcalfe. 1991. Effects of brief hypoxia and hyperoxia on tissue trace element levels in the developing chick embryo. Magnesium and trace elements 10:305–320.</w:t>
      </w:r>
    </w:p>
    <w:p w14:paraId="16225720" w14:textId="77777777" w:rsidR="003D244F" w:rsidRDefault="00F72FE3" w:rsidP="009C4058">
      <w:pPr>
        <w:pStyle w:val="Bibliography"/>
      </w:pPr>
      <w:r>
        <w:t>Roff, D. A. 1980. A motion for the retirement of the von bertalanffy function. Canadian Journal of Fisheries and Aquatic Sciences 37:127–129.</w:t>
      </w:r>
    </w:p>
    <w:p w14:paraId="3E75244B" w14:textId="77777777" w:rsidR="003D244F" w:rsidRDefault="00F72FE3" w:rsidP="009C4058">
      <w:pPr>
        <w:pStyle w:val="Bibliography"/>
      </w:pPr>
      <w:r>
        <w:t>Roff, D. A. 2006. Introduction to computer-intensive methods of data analysis in biology. Cambridge University Press.</w:t>
      </w:r>
    </w:p>
    <w:p w14:paraId="2EFE1788" w14:textId="77777777" w:rsidR="003D244F" w:rsidRDefault="00F72FE3" w:rsidP="009C4058">
      <w:pPr>
        <w:pStyle w:val="Bibliography"/>
      </w:pPr>
      <w:r>
        <w:t xml:space="preserve">Romer, A. S. 1966. </w:t>
      </w:r>
      <w:r>
        <w:rPr>
          <w:i/>
        </w:rPr>
        <w:t>Vertebrate paleontology</w:t>
      </w:r>
      <w:r>
        <w:t>. University of Chicago Press, Chicago.</w:t>
      </w:r>
    </w:p>
    <w:p w14:paraId="64D97E6B" w14:textId="77777777" w:rsidR="003D244F" w:rsidRDefault="00F72FE3" w:rsidP="009C4058">
      <w:pPr>
        <w:pStyle w:val="Bibliography"/>
      </w:pPr>
      <w:r>
        <w:t>RStudio Inc. 2014. Rmarkdown: Dynamic documents for r.</w:t>
      </w:r>
    </w:p>
    <w:p w14:paraId="06D3A9B0" w14:textId="77777777" w:rsidR="003D244F" w:rsidRDefault="00F72FE3" w:rsidP="009C4058">
      <w:pPr>
        <w:pStyle w:val="Bibliography"/>
      </w:pPr>
      <w:r>
        <w:t xml:space="preserve">Ruff, C. B. 2008. Femoral/humeral strength in early african </w:t>
      </w:r>
      <m:oMath>
        <m:r>
          <m:rPr>
            <m:sty m:val="p"/>
          </m:rPr>
          <w:rPr>
            <w:rFonts w:ascii="Cambria Math" w:hAnsi="Cambria Math"/>
          </w:rPr>
          <m:t>&lt;</m:t>
        </m:r>
      </m:oMath>
      <w:r>
        <w:t>emph</w:t>
      </w:r>
      <m:oMath>
        <m:r>
          <m:rPr>
            <m:sty m:val="p"/>
          </m:rPr>
          <w:rPr>
            <w:rFonts w:ascii="Cambria Math" w:hAnsi="Cambria Math"/>
          </w:rPr>
          <m:t>&gt;</m:t>
        </m:r>
      </m:oMath>
      <w:r>
        <w:t>Homo erectus</w:t>
      </w:r>
      <m:oMath>
        <m:r>
          <m:rPr>
            <m:sty m:val="p"/>
          </m:rPr>
          <w:rPr>
            <w:rFonts w:ascii="Cambria Math" w:hAnsi="Cambria Math"/>
          </w:rPr>
          <m:t>&lt;</m:t>
        </m:r>
      </m:oMath>
      <w:r>
        <w:t>/emph</w:t>
      </w:r>
      <m:oMath>
        <m:r>
          <m:rPr>
            <m:sty m:val="p"/>
          </m:rPr>
          <w:rPr>
            <w:rFonts w:ascii="Cambria Math" w:hAnsi="Cambria Math"/>
          </w:rPr>
          <m:t>&gt;</m:t>
        </m:r>
      </m:oMath>
      <w:r>
        <w:t>. Journal of Human Evolution 54:383–390.</w:t>
      </w:r>
    </w:p>
    <w:p w14:paraId="01217E1D" w14:textId="77777777" w:rsidR="003D244F" w:rsidRDefault="00F72FE3" w:rsidP="009C4058">
      <w:pPr>
        <w:pStyle w:val="Bibliography"/>
      </w:pPr>
      <w:r>
        <w:t>Ruff, C. B. 2002. Long bone articular and diaphyseal structure in old world monkeys and apes. i: Locomotor effects. American Journal of Physical Anthropology 119:305–342.</w:t>
      </w:r>
    </w:p>
    <w:p w14:paraId="7CEFC259" w14:textId="77777777" w:rsidR="003D244F" w:rsidRDefault="00F72FE3" w:rsidP="009C4058">
      <w:pPr>
        <w:pStyle w:val="Bibliography"/>
      </w:pPr>
      <w:r>
        <w:lastRenderedPageBreak/>
        <w:t>Ruff, C. B. 2003. Long bone articular and diaphyseal structure in old world monkeys and apes. iI: Estimation of body mass. American Journal of Physical Anthropology 120:16–37.</w:t>
      </w:r>
    </w:p>
    <w:p w14:paraId="14FFC9CC" w14:textId="77777777" w:rsidR="003D244F" w:rsidRDefault="00F72FE3" w:rsidP="009C4058">
      <w:pPr>
        <w:pStyle w:val="Bibliography"/>
      </w:pPr>
      <w:r>
        <w:t>Saalfeld, D. T., K. K. Webb, W. C. Conway, G. E. Calkins, and J. P. Duguay. 2008. Growth and condition of american alligators (alligator mississippiensis) in an inland wetland of east texas. Southeastern Naturalist 7:541–550.</w:t>
      </w:r>
    </w:p>
    <w:p w14:paraId="33ED40B2" w14:textId="77777777" w:rsidR="003D244F" w:rsidRDefault="00F72FE3" w:rsidP="009C4058">
      <w:pPr>
        <w:pStyle w:val="Bibliography"/>
      </w:pPr>
      <w:r>
        <w:t>Schaffler, M. B., D. B. Burr, W. L. Jungers, and C. B. Ruff. 1985. Structural and mechanical indicators of limb specialization in primates. Folia Primatologica; International Journal of Primatology 45:61–75.</w:t>
      </w:r>
    </w:p>
    <w:p w14:paraId="2FD7BF3D" w14:textId="77777777" w:rsidR="003D244F" w:rsidRDefault="00F72FE3" w:rsidP="009C4058">
      <w:pPr>
        <w:pStyle w:val="Bibliography"/>
      </w:pPr>
      <w:r>
        <w:t>Sebens, K. P. 1987. The ecology of indeterminate growth in animals. Annual Review of Ecology and Systematics 18:371–407.</w:t>
      </w:r>
    </w:p>
    <w:p w14:paraId="02D04115" w14:textId="77777777" w:rsidR="003D244F" w:rsidRDefault="00F72FE3" w:rsidP="009C4058">
      <w:pPr>
        <w:pStyle w:val="Bibliography"/>
      </w:pPr>
      <w:r>
        <w:t>Simons, E. L. R., T. L. Hieronymus, and P. M. O’Connor. 2011. Cross sectional geometry of the forelimb skeleton and flight mode in pelecaniform birds. Journal of Morphology 272:958–971.</w:t>
      </w:r>
    </w:p>
    <w:p w14:paraId="0A5D85C5" w14:textId="77777777" w:rsidR="003D244F" w:rsidRDefault="00F72FE3" w:rsidP="009C4058">
      <w:pPr>
        <w:pStyle w:val="Bibliography"/>
      </w:pPr>
      <w:r>
        <w:t>Timiras, P. S., A. A. Krum, and N. Pace. 1957. Body and organ weights of rats during acclimatization to an altitude of 12,470 feet. American Journal of Physiology 191:598–604.</w:t>
      </w:r>
    </w:p>
    <w:p w14:paraId="40E18074" w14:textId="77777777" w:rsidR="003D244F" w:rsidRDefault="00F72FE3" w:rsidP="009C4058">
      <w:pPr>
        <w:pStyle w:val="Bibliography"/>
      </w:pPr>
      <w:r>
        <w:t>Trinkaus, E. 1997. Appendicular robusticity and the paleobiology of modern human emergence. Proceedings of the National Academy of Sciences of the United States of America 94:13367–13373.</w:t>
      </w:r>
    </w:p>
    <w:p w14:paraId="2609C138" w14:textId="77777777" w:rsidR="003D244F" w:rsidRDefault="00F72FE3" w:rsidP="009C4058">
      <w:pPr>
        <w:pStyle w:val="Bibliography"/>
      </w:pPr>
      <w:r>
        <w:t>Trinkaus, E., and C. B. Ruff. 1999. Diaphyseal cross-sectional geometry of near eastern middle palaeolithic humans: The femur. Journal of Archaeological Science 26:409–424.</w:t>
      </w:r>
    </w:p>
    <w:p w14:paraId="5F4638CA" w14:textId="77777777" w:rsidR="003D244F" w:rsidRDefault="00F72FE3" w:rsidP="009C4058">
      <w:pPr>
        <w:pStyle w:val="Bibliography"/>
      </w:pPr>
      <w:r>
        <w:t>VandenBrooks, J. M., E. E. Munoz, M. D. Weed, C. F. Ford, M. A. Harrison, and J. F. Harrison. 2011. Impacts of paleo-oxygen levels on the size, development, reproduction, and tracheal systems of blatella germanica. Evolutionary Biology 39:83–93.</w:t>
      </w:r>
    </w:p>
    <w:p w14:paraId="23FD871C" w14:textId="77777777" w:rsidR="003D244F" w:rsidRDefault="00F72FE3" w:rsidP="009C4058">
      <w:pPr>
        <w:pStyle w:val="Bibliography"/>
      </w:pPr>
      <w:r>
        <w:lastRenderedPageBreak/>
        <w:t>Wallace, I. J., S. Gupta, J. Sankaran, B. Demes, and S. Judex. 2015. Bone shaft bending strength index is unaffected by exercise and unloading in mice. Journal of Anatomy 226:224–228.</w:t>
      </w:r>
    </w:p>
    <w:p w14:paraId="5034FBF6" w14:textId="77777777" w:rsidR="003D244F" w:rsidRDefault="00F72FE3" w:rsidP="009C4058">
      <w:pPr>
        <w:pStyle w:val="Bibliography"/>
      </w:pPr>
      <w:r>
        <w:t>Wallace, I. J., K. M. Middleton, S. Lublinsky, S. A. Kelly, S. Judex, T. Garland Jr, and B. Demes. 2010. Functional significance of genetic variation underlying limb bone diaphyseal structure. American Journal of Physical Anthropology 143:21–30.</w:t>
      </w:r>
    </w:p>
    <w:p w14:paraId="1BB2EE73" w14:textId="77777777" w:rsidR="003D244F" w:rsidRDefault="00F72FE3" w:rsidP="009C4058">
      <w:pPr>
        <w:pStyle w:val="Bibliography"/>
      </w:pPr>
      <w:r>
        <w:t>Warburton, S. J., D. Hastings, and T. Wang. 1995. Responses to chronic hypoxia in embryonic alligators. Journal of Experimental Zoology 273:44–50.</w:t>
      </w:r>
    </w:p>
    <w:p w14:paraId="3A7282B3" w14:textId="77777777" w:rsidR="003D244F" w:rsidRDefault="00F72FE3" w:rsidP="009C4058">
      <w:pPr>
        <w:pStyle w:val="Bibliography"/>
      </w:pPr>
      <w:r>
        <w:t>Ward, P., C. C. Labandeira, M. Laurin, and R. A. Berner. 2006. Confirmation of romer’s gap as a low oxygen interval constraining the timing of initial arthropod and vertebrate terrestrialization. Proceedings of the National Academy of Sciences 103:16818–16822.</w:t>
      </w:r>
    </w:p>
    <w:p w14:paraId="560CED76" w14:textId="77777777" w:rsidR="003D244F" w:rsidRDefault="00F72FE3" w:rsidP="009C4058">
      <w:pPr>
        <w:pStyle w:val="Bibliography"/>
      </w:pPr>
      <w:r>
        <w:t>Warton, D. I., R. A. Duursma, D. S. Falster, and S. Taskinen. 2011. Smatr 3 - an r package for estimation and inference about allometric lines. Methods in Ecology and Evolution 3:257–259.</w:t>
      </w:r>
    </w:p>
    <w:p w14:paraId="48FE98F0" w14:textId="77777777" w:rsidR="003D244F" w:rsidRDefault="00F72FE3" w:rsidP="009C4058">
      <w:pPr>
        <w:pStyle w:val="Bibliography"/>
      </w:pPr>
      <w:r>
        <w:t>Warton, D., I. Wright, D. Falster, and M. Westoby. 2006. Bivariate line-fitting methods from allometry. Biological Reviews 81:259–291.</w:t>
      </w:r>
    </w:p>
    <w:p w14:paraId="6A3E1D8E" w14:textId="77777777" w:rsidR="003D244F" w:rsidRDefault="00F72FE3" w:rsidP="009C4058">
      <w:pPr>
        <w:pStyle w:val="Bibliography"/>
      </w:pPr>
      <w:r>
        <w:t>Whitman, D. W. 2008. The significance of body size in the orthoptera: A review. Journal of Orthoptera Research 17:117–134.</w:t>
      </w:r>
    </w:p>
    <w:p w14:paraId="6C00BFC7" w14:textId="77777777" w:rsidR="003D244F" w:rsidRDefault="00F72FE3" w:rsidP="009C4058">
      <w:pPr>
        <w:pStyle w:val="Bibliography"/>
      </w:pPr>
      <w:r>
        <w:t>Widmer, H. R., H. Hoppeler, E. Nevo, C. R. Taylor, and E. R. Weibel. 1997. Working underground: Respiratory adaptations in the blind mole rat. Proceedings of the National Academy of Sciences of the United States of America 94:2062–2067.</w:t>
      </w:r>
    </w:p>
    <w:p w14:paraId="73CA2469" w14:textId="77777777" w:rsidR="003D244F" w:rsidRDefault="00F72FE3" w:rsidP="009C4058">
      <w:pPr>
        <w:pStyle w:val="Bibliography"/>
      </w:pPr>
      <w:r>
        <w:t>Wilkinson, P. M., and W. E. Rhodes. 1997. Growth rates of american alligators in coastal south carolina. Journal of Wildlife Management 61:397.</w:t>
      </w:r>
    </w:p>
    <w:p w14:paraId="2CE3B85F" w14:textId="77777777" w:rsidR="003D244F" w:rsidRDefault="00F72FE3" w:rsidP="009C4058">
      <w:pPr>
        <w:pStyle w:val="Bibliography"/>
      </w:pPr>
      <w:r>
        <w:lastRenderedPageBreak/>
        <w:t>Williams, J. B., and K. Swift. 1988. Oxygen consumption and growth of northern bobwhite embryos under normoxic and hyperoxic conditions. Condor 90:187–192.</w:t>
      </w:r>
    </w:p>
    <w:p w14:paraId="3724E177" w14:textId="77777777" w:rsidR="003D244F" w:rsidRDefault="00F72FE3" w:rsidP="009C4058">
      <w:pPr>
        <w:pStyle w:val="Bibliography"/>
      </w:pPr>
      <w:r>
        <w:t xml:space="preserve">Xie, Y. 2013. </w:t>
      </w:r>
      <w:r>
        <w:rPr>
          <w:i/>
        </w:rPr>
        <w:t>Dynamic documents with r and knitr</w:t>
      </w:r>
      <w:r>
        <w:t>. Chapman; Hall/CRC, Boca Raton, FL.</w:t>
      </w:r>
    </w:p>
    <w:sectPr w:rsidR="003D244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5A031D"/>
    <w:multiLevelType w:val="multilevel"/>
    <w:tmpl w:val="8ADEFB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FEC2BAE"/>
    <w:multiLevelType w:val="multilevel"/>
    <w:tmpl w:val="0B1C79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95F4E1F"/>
    <w:multiLevelType w:val="multilevel"/>
    <w:tmpl w:val="02CC8E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931298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B184A346"/>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502298FE"/>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DC7C3C78"/>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25E88FAE"/>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B674029A"/>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4986E68A"/>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C4AA2562"/>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7B282662"/>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9092D018"/>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C646F164"/>
    <w:lvl w:ilvl="0">
      <w:start w:val="1"/>
      <w:numFmt w:val="bullet"/>
      <w:lvlText w:val=""/>
      <w:lvlJc w:val="left"/>
      <w:pPr>
        <w:tabs>
          <w:tab w:val="num" w:pos="360"/>
        </w:tabs>
        <w:ind w:left="360" w:hanging="360"/>
      </w:pPr>
      <w:rPr>
        <w:rFonts w:ascii="Symbol" w:hAnsi="Symbol" w:hint="default"/>
      </w:rPr>
    </w:lvl>
  </w:abstractNum>
  <w:num w:numId="1" w16cid:durableId="289288860">
    <w:abstractNumId w:val="3"/>
  </w:num>
  <w:num w:numId="2" w16cid:durableId="1916547960">
    <w:abstractNumId w:val="0"/>
  </w:num>
  <w:num w:numId="3" w16cid:durableId="18547652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16cid:durableId="19358245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16cid:durableId="103771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16cid:durableId="1041125520">
    <w:abstractNumId w:val="1"/>
  </w:num>
  <w:num w:numId="7" w16cid:durableId="409029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16cid:durableId="2011174257">
    <w:abstractNumId w:val="1"/>
  </w:num>
  <w:num w:numId="9" w16cid:durableId="1312053001">
    <w:abstractNumId w:val="1"/>
  </w:num>
  <w:num w:numId="10" w16cid:durableId="943920928">
    <w:abstractNumId w:val="1"/>
  </w:num>
  <w:num w:numId="11" w16cid:durableId="1290818297">
    <w:abstractNumId w:val="1"/>
  </w:num>
  <w:num w:numId="12" w16cid:durableId="1952777870">
    <w:abstractNumId w:val="1"/>
  </w:num>
  <w:num w:numId="13" w16cid:durableId="807862463">
    <w:abstractNumId w:val="1"/>
  </w:num>
  <w:num w:numId="14" w16cid:durableId="246039376">
    <w:abstractNumId w:val="1"/>
  </w:num>
  <w:num w:numId="15" w16cid:durableId="208735437">
    <w:abstractNumId w:val="1"/>
  </w:num>
  <w:num w:numId="16" w16cid:durableId="1185943453">
    <w:abstractNumId w:val="1"/>
  </w:num>
  <w:num w:numId="17" w16cid:durableId="2074545548">
    <w:abstractNumId w:val="4"/>
  </w:num>
  <w:num w:numId="18" w16cid:durableId="2146849736">
    <w:abstractNumId w:val="5"/>
  </w:num>
  <w:num w:numId="19" w16cid:durableId="1736392106">
    <w:abstractNumId w:val="6"/>
  </w:num>
  <w:num w:numId="20" w16cid:durableId="1373118233">
    <w:abstractNumId w:val="7"/>
  </w:num>
  <w:num w:numId="21" w16cid:durableId="1823158925">
    <w:abstractNumId w:val="12"/>
  </w:num>
  <w:num w:numId="22" w16cid:durableId="521476928">
    <w:abstractNumId w:val="8"/>
  </w:num>
  <w:num w:numId="23" w16cid:durableId="997002523">
    <w:abstractNumId w:val="9"/>
  </w:num>
  <w:num w:numId="24" w16cid:durableId="1325474799">
    <w:abstractNumId w:val="10"/>
  </w:num>
  <w:num w:numId="25" w16cid:durableId="973407552">
    <w:abstractNumId w:val="11"/>
  </w:num>
  <w:num w:numId="26" w16cid:durableId="273384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1134B9"/>
    <w:rsid w:val="00275790"/>
    <w:rsid w:val="003D244F"/>
    <w:rsid w:val="004E29B3"/>
    <w:rsid w:val="00590D07"/>
    <w:rsid w:val="00784D58"/>
    <w:rsid w:val="008D6863"/>
    <w:rsid w:val="009C4058"/>
    <w:rsid w:val="00A55576"/>
    <w:rsid w:val="00B86B75"/>
    <w:rsid w:val="00BC48D5"/>
    <w:rsid w:val="00C36279"/>
    <w:rsid w:val="00DC6031"/>
    <w:rsid w:val="00E315A3"/>
    <w:rsid w:val="00F72FE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04459F"/>
  <w15:docId w15:val="{306B5828-8C62-0046-8365-9BE98DF53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5576"/>
    <w:pPr>
      <w:spacing w:before="180" w:after="180" w:line="360" w:lineRule="auto"/>
    </w:pPr>
    <w:rPr>
      <w:rFonts w:ascii="Arial" w:hAnsi="Arial" w:cs="Arial"/>
    </w:rPr>
  </w:style>
  <w:style w:type="paragraph" w:styleId="Heading1">
    <w:name w:val="heading 1"/>
    <w:basedOn w:val="Normal"/>
    <w:next w:val="Normal"/>
    <w:uiPriority w:val="9"/>
    <w:qFormat/>
    <w:rsid w:val="001134B9"/>
    <w:pPr>
      <w:keepNext/>
      <w:keepLines/>
      <w:spacing w:before="480" w:after="0"/>
      <w:outlineLvl w:val="0"/>
    </w:pPr>
    <w:rPr>
      <w:rFonts w:eastAsiaTheme="majorEastAsia"/>
      <w:b/>
      <w:bCs/>
      <w:color w:val="345A8A" w:themeColor="accent1" w:themeShade="B5"/>
      <w:sz w:val="28"/>
      <w:szCs w:val="32"/>
    </w:rPr>
  </w:style>
  <w:style w:type="paragraph" w:styleId="Heading2">
    <w:name w:val="heading 2"/>
    <w:basedOn w:val="Normal"/>
    <w:next w:val="Normal"/>
    <w:uiPriority w:val="9"/>
    <w:unhideWhenUsed/>
    <w:qFormat/>
    <w:rsid w:val="001134B9"/>
    <w:pPr>
      <w:keepNext/>
      <w:keepLines/>
      <w:spacing w:before="200" w:after="0"/>
      <w:outlineLvl w:val="1"/>
    </w:pPr>
    <w:rPr>
      <w:rFonts w:eastAsiaTheme="majorEastAsia"/>
      <w:b/>
      <w:bCs/>
      <w:color w:val="4F81BD" w:themeColor="accent1"/>
      <w:szCs w:val="32"/>
    </w:rPr>
  </w:style>
  <w:style w:type="paragraph" w:styleId="Heading3">
    <w:name w:val="heading 3"/>
    <w:basedOn w:val="Normal"/>
    <w:next w:val="Normal"/>
    <w:uiPriority w:val="9"/>
    <w:unhideWhenUsed/>
    <w:qFormat/>
    <w:rsid w:val="001134B9"/>
    <w:pPr>
      <w:keepNext/>
      <w:keepLines/>
      <w:spacing w:before="200" w:after="0"/>
      <w:outlineLvl w:val="2"/>
    </w:pPr>
    <w:rPr>
      <w:rFonts w:eastAsiaTheme="majorEastAsia" w:cstheme="majorBidi"/>
      <w:bCs/>
      <w:i/>
      <w:color w:val="4F81BD" w:themeColor="accent1"/>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DC6031"/>
    <w:pPr>
      <w:spacing w:before="36" w:after="36" w:line="240" w:lineRule="auto"/>
    </w:pPr>
    <w:rPr>
      <w:sz w:val="18"/>
    </w:rPr>
  </w:style>
  <w:style w:type="paragraph" w:styleId="Title">
    <w:name w:val="Title"/>
    <w:basedOn w:val="Normal"/>
    <w:next w:val="Normal"/>
    <w:qFormat/>
    <w:rsid w:val="00F72FE3"/>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9C4058"/>
    <w:pPr>
      <w:keepNext/>
      <w:keepLines/>
      <w:jc w:val="center"/>
    </w:pPr>
    <w:rPr>
      <w:rFonts w:ascii="Arial" w:hAnsi="Arial" w:cs="Arial"/>
    </w:rPr>
  </w:style>
  <w:style w:type="paragraph" w:styleId="Date">
    <w:name w:val="Date"/>
    <w:next w:val="Normal"/>
    <w:qFormat/>
    <w:rsid w:val="009C4058"/>
    <w:pPr>
      <w:keepNext/>
      <w:keepLines/>
      <w:jc w:val="center"/>
    </w:pPr>
    <w:rPr>
      <w:rFonts w:ascii="Arial" w:hAnsi="Arial" w:cs="Arial"/>
    </w:r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9C4058"/>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rsid w:val="001134B9"/>
    <w:pPr>
      <w:spacing w:before="0" w:after="120"/>
    </w:pPr>
    <w:rPr>
      <w:i/>
      <w:sz w:val="18"/>
    </w:rPr>
  </w:style>
  <w:style w:type="paragraph" w:customStyle="1" w:styleId="ImageCaption">
    <w:name w:val="Image Caption"/>
    <w:basedOn w:val="Normal"/>
    <w:link w:val="BodyTextChar"/>
    <w:rsid w:val="001134B9"/>
    <w:pPr>
      <w:spacing w:before="0" w:after="120"/>
    </w:pPr>
    <w:rPr>
      <w:i/>
      <w:sz w:val="18"/>
    </w:rPr>
  </w:style>
  <w:style w:type="character" w:customStyle="1" w:styleId="BodyTextChar">
    <w:name w:val="Body Text Char"/>
    <w:basedOn w:val="DefaultParagraphFont"/>
    <w:link w:val="ImageCaption"/>
    <w:rsid w:val="001134B9"/>
    <w:rPr>
      <w:rFonts w:ascii="Arial" w:hAnsi="Arial" w:cs="Arial"/>
      <w:i/>
      <w:sz w:val="18"/>
    </w:rPr>
  </w:style>
  <w:style w:type="character" w:customStyle="1" w:styleId="VerbatimChar">
    <w:name w:val="Verbatim Char"/>
    <w:basedOn w:val="BodyTextChar"/>
    <w:link w:val="SourceCode"/>
    <w:rPr>
      <w:rFonts w:ascii="Consolas" w:hAnsi="Consolas" w:cs="Arial"/>
      <w:i/>
      <w:sz w:val="22"/>
    </w:rPr>
  </w:style>
  <w:style w:type="character" w:customStyle="1" w:styleId="FootnoteRef">
    <w:name w:val="Footnote Ref"/>
    <w:basedOn w:val="BodyTextChar"/>
    <w:rPr>
      <w:rFonts w:ascii="Arial" w:hAnsi="Arial" w:cs="Arial"/>
      <w:i/>
      <w:sz w:val="18"/>
      <w:vertAlign w:val="superscript"/>
    </w:rPr>
  </w:style>
  <w:style w:type="character" w:customStyle="1" w:styleId="Link">
    <w:name w:val="Link"/>
    <w:basedOn w:val="BodyTextChar"/>
    <w:rPr>
      <w:rFonts w:ascii="Arial" w:hAnsi="Arial" w:cs="Arial"/>
      <w:i/>
      <w:color w:val="4F81BD" w:themeColor="accent1"/>
      <w:sz w:val="18"/>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cs="Arial"/>
      <w:b/>
      <w:i/>
      <w:color w:val="007020"/>
      <w:sz w:val="22"/>
    </w:rPr>
  </w:style>
  <w:style w:type="character" w:customStyle="1" w:styleId="DataTypeTok">
    <w:name w:val="DataTypeTok"/>
    <w:basedOn w:val="VerbatimChar"/>
    <w:rPr>
      <w:rFonts w:ascii="Consolas" w:hAnsi="Consolas" w:cs="Arial"/>
      <w:i/>
      <w:color w:val="902000"/>
      <w:sz w:val="22"/>
    </w:rPr>
  </w:style>
  <w:style w:type="character" w:customStyle="1" w:styleId="DecValTok">
    <w:name w:val="DecValTok"/>
    <w:basedOn w:val="VerbatimChar"/>
    <w:rPr>
      <w:rFonts w:ascii="Consolas" w:hAnsi="Consolas" w:cs="Arial"/>
      <w:i/>
      <w:color w:val="40A070"/>
      <w:sz w:val="22"/>
    </w:rPr>
  </w:style>
  <w:style w:type="character" w:customStyle="1" w:styleId="BaseNTok">
    <w:name w:val="BaseNTok"/>
    <w:basedOn w:val="VerbatimChar"/>
    <w:rPr>
      <w:rFonts w:ascii="Consolas" w:hAnsi="Consolas" w:cs="Arial"/>
      <w:i/>
      <w:color w:val="40A070"/>
      <w:sz w:val="22"/>
    </w:rPr>
  </w:style>
  <w:style w:type="character" w:customStyle="1" w:styleId="FloatTok">
    <w:name w:val="FloatTok"/>
    <w:basedOn w:val="VerbatimChar"/>
    <w:rPr>
      <w:rFonts w:ascii="Consolas" w:hAnsi="Consolas" w:cs="Arial"/>
      <w:i/>
      <w:color w:val="40A070"/>
      <w:sz w:val="22"/>
    </w:rPr>
  </w:style>
  <w:style w:type="character" w:customStyle="1" w:styleId="CharTok">
    <w:name w:val="CharTok"/>
    <w:basedOn w:val="VerbatimChar"/>
    <w:rPr>
      <w:rFonts w:ascii="Consolas" w:hAnsi="Consolas" w:cs="Arial"/>
      <w:i/>
      <w:color w:val="4070A0"/>
      <w:sz w:val="22"/>
    </w:rPr>
  </w:style>
  <w:style w:type="character" w:customStyle="1" w:styleId="StringTok">
    <w:name w:val="StringTok"/>
    <w:basedOn w:val="VerbatimChar"/>
    <w:rPr>
      <w:rFonts w:ascii="Consolas" w:hAnsi="Consolas" w:cs="Arial"/>
      <w:i/>
      <w:color w:val="4070A0"/>
      <w:sz w:val="22"/>
    </w:rPr>
  </w:style>
  <w:style w:type="character" w:customStyle="1" w:styleId="CommentTok">
    <w:name w:val="CommentTok"/>
    <w:basedOn w:val="VerbatimChar"/>
    <w:rPr>
      <w:rFonts w:ascii="Consolas" w:hAnsi="Consolas" w:cs="Arial"/>
      <w:i w:val="0"/>
      <w:color w:val="60A0B0"/>
      <w:sz w:val="22"/>
    </w:rPr>
  </w:style>
  <w:style w:type="character" w:customStyle="1" w:styleId="OtherTok">
    <w:name w:val="OtherTok"/>
    <w:basedOn w:val="VerbatimChar"/>
    <w:rPr>
      <w:rFonts w:ascii="Consolas" w:hAnsi="Consolas" w:cs="Arial"/>
      <w:i/>
      <w:color w:val="007020"/>
      <w:sz w:val="22"/>
    </w:rPr>
  </w:style>
  <w:style w:type="character" w:customStyle="1" w:styleId="AlertTok">
    <w:name w:val="AlertTok"/>
    <w:basedOn w:val="VerbatimChar"/>
    <w:rPr>
      <w:rFonts w:ascii="Consolas" w:hAnsi="Consolas" w:cs="Arial"/>
      <w:b/>
      <w:i/>
      <w:color w:val="FF0000"/>
      <w:sz w:val="22"/>
    </w:rPr>
  </w:style>
  <w:style w:type="character" w:customStyle="1" w:styleId="FunctionTok">
    <w:name w:val="FunctionTok"/>
    <w:basedOn w:val="VerbatimChar"/>
    <w:rPr>
      <w:rFonts w:ascii="Consolas" w:hAnsi="Consolas" w:cs="Arial"/>
      <w:i/>
      <w:color w:val="06287E"/>
      <w:sz w:val="22"/>
    </w:rPr>
  </w:style>
  <w:style w:type="character" w:customStyle="1" w:styleId="RegionMarkerTok">
    <w:name w:val="RegionMarkerTok"/>
    <w:basedOn w:val="VerbatimChar"/>
    <w:rPr>
      <w:rFonts w:ascii="Consolas" w:hAnsi="Consolas" w:cs="Arial"/>
      <w:i/>
      <w:sz w:val="22"/>
    </w:rPr>
  </w:style>
  <w:style w:type="character" w:customStyle="1" w:styleId="ErrorTok">
    <w:name w:val="ErrorTok"/>
    <w:basedOn w:val="VerbatimChar"/>
    <w:rPr>
      <w:rFonts w:ascii="Consolas" w:hAnsi="Consolas" w:cs="Arial"/>
      <w:b/>
      <w:i/>
      <w:color w:val="FF0000"/>
      <w:sz w:val="22"/>
    </w:rPr>
  </w:style>
  <w:style w:type="character" w:customStyle="1" w:styleId="NormalTok">
    <w:name w:val="NormalTok"/>
    <w:basedOn w:val="VerbatimChar"/>
    <w:rPr>
      <w:rFonts w:ascii="Consolas" w:hAnsi="Consolas" w:cs="Arial"/>
      <w:i/>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cs="Arial"/>
      <w:b/>
      <w:i/>
      <w:color w:val="204A87"/>
      <w:sz w:val="22"/>
      <w:shd w:val="clear" w:color="auto" w:fill="F8F8F8"/>
    </w:rPr>
  </w:style>
  <w:style w:type="character" w:customStyle="1" w:styleId="DataTypeTok0">
    <w:name w:val="DataTypeTok"/>
    <w:basedOn w:val="VerbatimChar"/>
    <w:rPr>
      <w:rFonts w:ascii="Consolas" w:hAnsi="Consolas" w:cs="Arial"/>
      <w:i/>
      <w:color w:val="204A87"/>
      <w:sz w:val="22"/>
      <w:shd w:val="clear" w:color="auto" w:fill="F8F8F8"/>
    </w:rPr>
  </w:style>
  <w:style w:type="character" w:customStyle="1" w:styleId="DecValTok0">
    <w:name w:val="DecValTok"/>
    <w:basedOn w:val="VerbatimChar"/>
    <w:rPr>
      <w:rFonts w:ascii="Consolas" w:hAnsi="Consolas" w:cs="Arial"/>
      <w:i/>
      <w:color w:val="0000CF"/>
      <w:sz w:val="22"/>
      <w:shd w:val="clear" w:color="auto" w:fill="F8F8F8"/>
    </w:rPr>
  </w:style>
  <w:style w:type="character" w:customStyle="1" w:styleId="BaseNTok0">
    <w:name w:val="BaseNTok"/>
    <w:basedOn w:val="VerbatimChar"/>
    <w:rPr>
      <w:rFonts w:ascii="Consolas" w:hAnsi="Consolas" w:cs="Arial"/>
      <w:i/>
      <w:color w:val="0000CF"/>
      <w:sz w:val="22"/>
      <w:shd w:val="clear" w:color="auto" w:fill="F8F8F8"/>
    </w:rPr>
  </w:style>
  <w:style w:type="character" w:customStyle="1" w:styleId="FloatTok0">
    <w:name w:val="FloatTok"/>
    <w:basedOn w:val="VerbatimChar"/>
    <w:rPr>
      <w:rFonts w:ascii="Consolas" w:hAnsi="Consolas" w:cs="Arial"/>
      <w:i/>
      <w:color w:val="0000CF"/>
      <w:sz w:val="22"/>
      <w:shd w:val="clear" w:color="auto" w:fill="F8F8F8"/>
    </w:rPr>
  </w:style>
  <w:style w:type="character" w:customStyle="1" w:styleId="CharTok0">
    <w:name w:val="CharTok"/>
    <w:basedOn w:val="VerbatimChar"/>
    <w:rPr>
      <w:rFonts w:ascii="Consolas" w:hAnsi="Consolas" w:cs="Arial"/>
      <w:i/>
      <w:color w:val="4E9A06"/>
      <w:sz w:val="22"/>
      <w:shd w:val="clear" w:color="auto" w:fill="F8F8F8"/>
    </w:rPr>
  </w:style>
  <w:style w:type="character" w:customStyle="1" w:styleId="StringTok0">
    <w:name w:val="StringTok"/>
    <w:basedOn w:val="VerbatimChar"/>
    <w:rPr>
      <w:rFonts w:ascii="Consolas" w:hAnsi="Consolas" w:cs="Arial"/>
      <w:i/>
      <w:color w:val="4E9A06"/>
      <w:sz w:val="22"/>
      <w:shd w:val="clear" w:color="auto" w:fill="F8F8F8"/>
    </w:rPr>
  </w:style>
  <w:style w:type="character" w:customStyle="1" w:styleId="CommentTok0">
    <w:name w:val="CommentTok"/>
    <w:basedOn w:val="VerbatimChar"/>
    <w:rPr>
      <w:rFonts w:ascii="Consolas" w:hAnsi="Consolas" w:cs="Arial"/>
      <w:i w:val="0"/>
      <w:color w:val="8F5902"/>
      <w:sz w:val="22"/>
      <w:shd w:val="clear" w:color="auto" w:fill="F8F8F8"/>
    </w:rPr>
  </w:style>
  <w:style w:type="character" w:customStyle="1" w:styleId="OtherTok0">
    <w:name w:val="OtherTok"/>
    <w:basedOn w:val="VerbatimChar"/>
    <w:rPr>
      <w:rFonts w:ascii="Consolas" w:hAnsi="Consolas" w:cs="Arial"/>
      <w:i/>
      <w:color w:val="8F5902"/>
      <w:sz w:val="22"/>
      <w:shd w:val="clear" w:color="auto" w:fill="F8F8F8"/>
    </w:rPr>
  </w:style>
  <w:style w:type="character" w:customStyle="1" w:styleId="AlertTok0">
    <w:name w:val="AlertTok"/>
    <w:basedOn w:val="VerbatimChar"/>
    <w:rPr>
      <w:rFonts w:ascii="Consolas" w:hAnsi="Consolas" w:cs="Arial"/>
      <w:i/>
      <w:color w:val="EF2929"/>
      <w:sz w:val="22"/>
      <w:shd w:val="clear" w:color="auto" w:fill="F8F8F8"/>
    </w:rPr>
  </w:style>
  <w:style w:type="character" w:customStyle="1" w:styleId="FunctionTok0">
    <w:name w:val="FunctionTok"/>
    <w:basedOn w:val="VerbatimChar"/>
    <w:rPr>
      <w:rFonts w:ascii="Consolas" w:hAnsi="Consolas" w:cs="Arial"/>
      <w:i/>
      <w:color w:val="000000"/>
      <w:sz w:val="22"/>
      <w:shd w:val="clear" w:color="auto" w:fill="F8F8F8"/>
    </w:rPr>
  </w:style>
  <w:style w:type="character" w:customStyle="1" w:styleId="RegionMarkerTok0">
    <w:name w:val="RegionMarkerTok"/>
    <w:basedOn w:val="VerbatimChar"/>
    <w:rPr>
      <w:rFonts w:ascii="Consolas" w:hAnsi="Consolas" w:cs="Arial"/>
      <w:i/>
      <w:sz w:val="22"/>
      <w:shd w:val="clear" w:color="auto" w:fill="F8F8F8"/>
    </w:rPr>
  </w:style>
  <w:style w:type="character" w:customStyle="1" w:styleId="ErrorTok0">
    <w:name w:val="ErrorTok"/>
    <w:basedOn w:val="VerbatimChar"/>
    <w:rPr>
      <w:rFonts w:ascii="Consolas" w:hAnsi="Consolas" w:cs="Arial"/>
      <w:b/>
      <w:i/>
      <w:sz w:val="22"/>
      <w:shd w:val="clear" w:color="auto" w:fill="F8F8F8"/>
    </w:rPr>
  </w:style>
  <w:style w:type="character" w:customStyle="1" w:styleId="NormalTok0">
    <w:name w:val="NormalTok"/>
    <w:basedOn w:val="VerbatimChar"/>
    <w:rPr>
      <w:rFonts w:ascii="Consolas" w:hAnsi="Consolas" w:cs="Arial"/>
      <w:i/>
      <w:sz w:val="22"/>
      <w:shd w:val="clear" w:color="auto" w:fill="F8F8F8"/>
    </w:rPr>
  </w:style>
  <w:style w:type="paragraph" w:styleId="BalloonText">
    <w:name w:val="Balloon Text"/>
    <w:basedOn w:val="Normal"/>
    <w:link w:val="BalloonTextChar"/>
    <w:rsid w:val="00275790"/>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275790"/>
    <w:rPr>
      <w:rFonts w:ascii="Lucida Grande" w:hAnsi="Lucida Grande" w:cs="Lucida Grande"/>
      <w:sz w:val="18"/>
      <w:szCs w:val="18"/>
    </w:rPr>
  </w:style>
  <w:style w:type="paragraph" w:styleId="ListParagraph">
    <w:name w:val="List Paragraph"/>
    <w:basedOn w:val="Normal"/>
    <w:rsid w:val="009C4058"/>
    <w:pPr>
      <w:ind w:left="720"/>
      <w:contextualSpacing/>
    </w:pPr>
  </w:style>
  <w:style w:type="character" w:customStyle="1" w:styleId="BodyTextChar1">
    <w:name w:val="Body Text Char1"/>
    <w:basedOn w:val="DefaultParagraphFont"/>
    <w:link w:val="BodyText"/>
    <w:rsid w:val="001134B9"/>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kinsmedicine.org/fae/mmacro.htm"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rsbweb.nih.gov/ij/"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onlinelibrary.wiley.com/journal/10.1002/(ISSN)1932-8494/homepage/ForAuthors.html" TargetMode="External"/><Relationship Id="rId15" Type="http://schemas.openxmlformats.org/officeDocument/2006/relationships/hyperlink" Target="http://johnmacfarlane.net/pandoc/"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37</Pages>
  <Words>8250</Words>
  <Characters>47031</Characters>
  <Application>Microsoft Office Word</Application>
  <DocSecurity>0</DocSecurity>
  <Lines>391</Lines>
  <Paragraphs>110</Paragraphs>
  <ScaleCrop>false</ScaleCrop>
  <Company/>
  <LinksUpToDate>false</LinksUpToDate>
  <CharactersWithSpaces>55171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Atmospheric oxygen level does not alter size-specific femoral cross-sectional geometry in the American alligator (Alligator mississippiensis)</dc:title>
  <dc:creator>Susan L. Lujan, Tomasz Owerkowicz, James W. Hicks, Kevin M. Middleton</dc:creator>
  <cp:lastModifiedBy>Middleton, Kevin</cp:lastModifiedBy>
  <cp:revision>7</cp:revision>
  <dcterms:created xsi:type="dcterms:W3CDTF">2015-07-23T15:21:00Z</dcterms:created>
  <dcterms:modified xsi:type="dcterms:W3CDTF">2022-09-11T02:24:00Z</dcterms:modified>
</cp:coreProperties>
</file>