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Proboscis Extension Reflex (PER) Assay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3785579</wp:posOffset>
            </wp:positionH>
            <wp:positionV relativeFrom="paragraph">
              <wp:posOffset>0</wp:posOffset>
            </wp:positionV>
            <wp:extent cx="2405671" cy="19954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b="34359" l="0" r="0" t="0"/>
                    <a:stretch>
                      <a:fillRect/>
                    </a:stretch>
                  </pic:blipFill>
                  <pic:spPr>
                    <a:xfrm>
                      <a:off x="0" y="0"/>
                      <a:ext cx="2405671" cy="199548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proboscis extension is the reflexive extension of the mouthpart (proboscis) in response to taste stimuli. It is a fundamental feeding behavior that can be stimulated by exposing the antennae, labellar hairs, or tarsi (last segments of the leg) to an appetitive taste stimulus.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While a solution with a low concentration of ethanol is appetitive to fruit flies (serving as an olfactory cue that plant-material fermentation has begun), higher concentrations (&gt;10% EtOH) can be aversive and toxic to fruit flies.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5505"/>
        <w:tblGridChange w:id="0">
          <w:tblGrid>
            <w:gridCol w:w="3855"/>
            <w:gridCol w:w="5505"/>
          </w:tblGrid>
        </w:tblGridChange>
      </w:tblGrid>
      <w:tr>
        <w:trPr>
          <w:cantSplit w:val="0"/>
          <w:trHeight w:val="340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u w:val="single"/>
              </w:rPr>
            </w:pPr>
            <w:r w:rsidDel="00000000" w:rsidR="00000000" w:rsidRPr="00000000">
              <w:rPr>
                <w:u w:val="single"/>
                <w:rtl w:val="0"/>
              </w:rPr>
              <w:t xml:space="preserve">Supplies:</w:t>
            </w:r>
          </w:p>
          <w:p w:rsidR="00000000" w:rsidDel="00000000" w:rsidP="00000000" w:rsidRDefault="00000000" w:rsidRPr="00000000" w14:paraId="00000007">
            <w:pPr>
              <w:rPr/>
            </w:pPr>
            <w:r w:rsidDel="00000000" w:rsidR="00000000" w:rsidRPr="00000000">
              <w:rPr>
                <w:rtl w:val="0"/>
              </w:rPr>
              <w:t xml:space="preserve">10 flies (5 WT, 5 KO)</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Dissecting microscope</w:t>
            </w:r>
          </w:p>
          <w:p w:rsidR="00000000" w:rsidDel="00000000" w:rsidP="00000000" w:rsidRDefault="00000000" w:rsidRPr="00000000" w14:paraId="00000009">
            <w:pPr>
              <w:rPr/>
            </w:pPr>
            <w:r w:rsidDel="00000000" w:rsidR="00000000" w:rsidRPr="00000000">
              <w:rPr>
                <w:rtl w:val="0"/>
              </w:rPr>
              <w:t xml:space="preserve">Paintbrush </w:t>
            </w:r>
          </w:p>
          <w:p w:rsidR="00000000" w:rsidDel="00000000" w:rsidP="00000000" w:rsidRDefault="00000000" w:rsidRPr="00000000" w14:paraId="0000000A">
            <w:pPr>
              <w:rPr/>
            </w:pPr>
            <w:r w:rsidDel="00000000" w:rsidR="00000000" w:rsidRPr="00000000">
              <w:rPr>
                <w:rtl w:val="0"/>
              </w:rPr>
              <w:t xml:space="preserve">Large petri dish</w:t>
            </w:r>
            <w:r w:rsidDel="00000000" w:rsidR="00000000" w:rsidRPr="00000000">
              <w:rPr>
                <w:rtl w:val="0"/>
              </w:rPr>
              <w:t xml:space="preserve"> </w:t>
            </w:r>
            <w:r w:rsidDel="00000000" w:rsidR="00000000" w:rsidRPr="00000000">
              <w:rPr>
                <w:rtl w:val="0"/>
              </w:rPr>
              <w:t xml:space="preserve">(lid or base)</w:t>
            </w:r>
          </w:p>
          <w:p w:rsidR="00000000" w:rsidDel="00000000" w:rsidP="00000000" w:rsidRDefault="00000000" w:rsidRPr="00000000" w14:paraId="0000000B">
            <w:pPr>
              <w:rPr/>
            </w:pPr>
            <w:r w:rsidDel="00000000" w:rsidR="00000000" w:rsidRPr="00000000">
              <w:rPr>
                <w:rtl w:val="0"/>
              </w:rPr>
              <w:t xml:space="preserve">Clear cyanoacrylate glue</w:t>
            </w:r>
          </w:p>
          <w:p w:rsidR="00000000" w:rsidDel="00000000" w:rsidP="00000000" w:rsidRDefault="00000000" w:rsidRPr="00000000" w14:paraId="0000000C">
            <w:pPr>
              <w:rPr/>
            </w:pPr>
            <w:r w:rsidDel="00000000" w:rsidR="00000000" w:rsidRPr="00000000">
              <w:rPr>
                <w:rtl w:val="0"/>
              </w:rPr>
              <w:t xml:space="preserve">4 mL transfer pipette</w:t>
            </w:r>
          </w:p>
          <w:p w:rsidR="00000000" w:rsidDel="00000000" w:rsidP="00000000" w:rsidRDefault="00000000" w:rsidRPr="00000000" w14:paraId="0000000D">
            <w:pPr>
              <w:rPr/>
            </w:pPr>
            <w:r w:rsidDel="00000000" w:rsidR="00000000" w:rsidRPr="00000000">
              <w:rPr>
                <w:rtl w:val="0"/>
              </w:rPr>
              <w:t xml:space="preserve">6 coverslips</w:t>
            </w:r>
          </w:p>
          <w:p w:rsidR="00000000" w:rsidDel="00000000" w:rsidP="00000000" w:rsidRDefault="00000000" w:rsidRPr="00000000" w14:paraId="0000000E">
            <w:pPr>
              <w:rPr/>
            </w:pPr>
            <w:r w:rsidDel="00000000" w:rsidR="00000000" w:rsidRPr="00000000">
              <w:rPr>
                <w:rtl w:val="0"/>
              </w:rPr>
              <w:t xml:space="preserve">Paper towels</w:t>
            </w:r>
          </w:p>
          <w:p w:rsidR="00000000" w:rsidDel="00000000" w:rsidP="00000000" w:rsidRDefault="00000000" w:rsidRPr="00000000" w14:paraId="0000000F">
            <w:pPr>
              <w:rPr/>
            </w:pPr>
            <w:r w:rsidDel="00000000" w:rsidR="00000000" w:rsidRPr="00000000">
              <w:rPr>
                <w:rtl w:val="0"/>
              </w:rPr>
              <w:t xml:space="preserve">Plastic “fly recovery” box</w:t>
            </w:r>
          </w:p>
          <w:p w:rsidR="00000000" w:rsidDel="00000000" w:rsidP="00000000" w:rsidRDefault="00000000" w:rsidRPr="00000000" w14:paraId="00000010">
            <w:pPr>
              <w:rPr/>
            </w:pPr>
            <w:r w:rsidDel="00000000" w:rsidR="00000000" w:rsidRPr="00000000">
              <w:rPr>
                <w:rtl w:val="0"/>
              </w:rPr>
              <w:t xml:space="preserve">KimWipes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u w:val="single"/>
              </w:rPr>
            </w:pPr>
            <w:r w:rsidDel="00000000" w:rsidR="00000000" w:rsidRPr="00000000">
              <w:rPr>
                <w:u w:val="single"/>
                <w:rtl w:val="0"/>
              </w:rPr>
              <w:t xml:space="preserve">Solutions:</w:t>
            </w:r>
          </w:p>
          <w:p w:rsidR="00000000" w:rsidDel="00000000" w:rsidP="00000000" w:rsidRDefault="00000000" w:rsidRPr="00000000" w14:paraId="00000012">
            <w:pPr>
              <w:rPr/>
            </w:pPr>
            <w:r w:rsidDel="00000000" w:rsidR="00000000" w:rsidRPr="00000000">
              <w:rPr>
                <w:rtl w:val="0"/>
              </w:rPr>
              <w:t xml:space="preserve">1 ml DI Water</w:t>
            </w:r>
          </w:p>
          <w:p w:rsidR="00000000" w:rsidDel="00000000" w:rsidP="00000000" w:rsidRDefault="00000000" w:rsidRPr="00000000" w14:paraId="00000013">
            <w:pPr>
              <w:rPr/>
            </w:pPr>
            <w:r w:rsidDel="00000000" w:rsidR="00000000" w:rsidRPr="00000000">
              <w:rPr>
                <w:rtl w:val="0"/>
              </w:rPr>
              <w:t xml:space="preserve">1 ml 100 mM sucrose solution</w:t>
            </w:r>
          </w:p>
          <w:p w:rsidR="00000000" w:rsidDel="00000000" w:rsidP="00000000" w:rsidRDefault="00000000" w:rsidRPr="00000000" w14:paraId="00000014">
            <w:pPr>
              <w:rPr/>
            </w:pPr>
            <w:r w:rsidDel="00000000" w:rsidR="00000000" w:rsidRPr="00000000">
              <w:rPr>
                <w:rtl w:val="0"/>
              </w:rPr>
              <w:t xml:space="preserve">1 ml 40% EtOH in 100 mM sucrose solution </w:t>
            </w:r>
          </w:p>
        </w:tc>
      </w:tr>
    </w:tbl>
    <w:p w:rsidR="00000000" w:rsidDel="00000000" w:rsidP="00000000" w:rsidRDefault="00000000" w:rsidRPr="00000000" w14:paraId="00000015">
      <w:pPr>
        <w:rPr/>
      </w:pPr>
      <w:r w:rsidDel="00000000" w:rsidR="00000000" w:rsidRPr="00000000">
        <w:rPr>
          <w:u w:val="single"/>
          <w:rtl w:val="0"/>
        </w:rPr>
        <w:t xml:space="preserve">Immobilization</w:t>
      </w: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Place fly tubes on ice for 2-3 minutes until flies are immobile.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b w:val="1"/>
          <w:bCs w:val="1"/>
          <w:color w:val="ff0000"/>
          <w:rtl w:val="0"/>
        </w:rPr>
        <w:t xml:space="preserve">Note:</w:t>
      </w:r>
      <w:r w:rsidDel="00000000" w:rsidR="00000000" w:rsidRPr="00000000">
        <w:rPr>
          <w:b w:val="1"/>
          <w:bCs w:val="1"/>
          <w:rtl w:val="0"/>
        </w:rPr>
        <w:t xml:space="preserve"> </w:t>
      </w:r>
      <w:r w:rsidDel="00000000" w:rsidR="00000000" w:rsidRPr="00000000">
        <w:rPr>
          <w:rtl w:val="0"/>
        </w:rPr>
        <w:t xml:space="preserve">Keep a close eye on your flies and do not leave them on ice too long! As soon as they’re not moving, you can transfer them.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Place the bottom of the petri dish upside down on ice. Wipe away condensation before placing flies on the dish.</w:t>
      </w: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Using a brush, </w:t>
      </w:r>
      <w:r w:rsidDel="00000000" w:rsidR="00000000" w:rsidRPr="00000000">
        <w:rPr>
          <w:b w:val="1"/>
          <w:bCs w:val="1"/>
          <w:i w:val="1"/>
          <w:iCs w:val="1"/>
          <w:rtl w:val="0"/>
        </w:rPr>
        <w:t xml:space="preserve">very gently </w:t>
      </w:r>
      <w:r w:rsidDel="00000000" w:rsidR="00000000" w:rsidRPr="00000000">
        <w:rPr>
          <w:rtl w:val="0"/>
        </w:rPr>
        <w:t xml:space="preserve">isolate </w:t>
      </w:r>
      <w:r w:rsidDel="00000000" w:rsidR="00000000" w:rsidRPr="00000000">
        <w:rPr>
          <w:rtl w:val="0"/>
        </w:rPr>
        <w:t xml:space="preserve">one fly onto the petri dish and </w:t>
      </w:r>
      <w:r w:rsidDel="00000000" w:rsidR="00000000" w:rsidRPr="00000000">
        <w:rPr>
          <w:i w:val="1"/>
          <w:iCs w:val="1"/>
          <w:rtl w:val="0"/>
        </w:rPr>
        <w:t xml:space="preserve">carefully</w:t>
      </w:r>
      <w:r w:rsidDel="00000000" w:rsidR="00000000" w:rsidRPr="00000000">
        <w:rPr>
          <w:rtl w:val="0"/>
        </w:rPr>
        <w:t xml:space="preserve"> orient the fly so it is dorsal-side up</w:t>
      </w:r>
      <w:r w:rsidDel="00000000" w:rsidR="00000000" w:rsidRPr="00000000">
        <w:rPr>
          <w:rtl w:val="0"/>
        </w:rPr>
        <w:t xml:space="preserve"> (Figure E). Be gentle, the flies are very fragile.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Prepare a coverslip: using the transfer pipette, place a tiny </w:t>
      </w:r>
      <w:r w:rsidDel="00000000" w:rsidR="00000000" w:rsidRPr="00000000">
        <w:rPr>
          <w:rtl w:val="0"/>
        </w:rPr>
        <w:t xml:space="preserve">drop</w:t>
      </w:r>
      <w:r w:rsidDel="00000000" w:rsidR="00000000" w:rsidRPr="00000000">
        <w:rPr>
          <w:rtl w:val="0"/>
        </w:rPr>
        <w:t xml:space="preserve"> (1 μl, &lt;2 mm in diameter) of glue on a coverslip.</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428625</wp:posOffset>
            </wp:positionV>
            <wp:extent cx="6253163" cy="1419750"/>
            <wp:effectExtent b="0" l="0" r="0" t="0"/>
            <wp:wrapTopAndBottom distB="0" distT="0"/>
            <wp:docPr id="2" name="image3.png"/>
            <a:graphic>
              <a:graphicData uri="http://schemas.openxmlformats.org/drawingml/2006/picture">
                <pic:pic>
                  <pic:nvPicPr>
                    <pic:cNvPr id="0" name="image3.png"/>
                    <pic:cNvPicPr preferRelativeResize="0"/>
                  </pic:nvPicPr>
                  <pic:blipFill>
                    <a:blip r:embed="rId7"/>
                    <a:srcRect b="45862" l="4487" r="50481" t="35909"/>
                    <a:stretch>
                      <a:fillRect/>
                    </a:stretch>
                  </pic:blipFill>
                  <pic:spPr>
                    <a:xfrm>
                      <a:off x="0" y="0"/>
                      <a:ext cx="6253163" cy="1419750"/>
                    </a:xfrm>
                    <a:prstGeom prst="rect"/>
                    <a:ln/>
                  </pic:spPr>
                </pic:pic>
              </a:graphicData>
            </a:graphic>
          </wp:anchor>
        </w:drawing>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Gently lower the coverslip onto the dorsal side of the fly, until just submerging the back and wings, immobilizing the fly in the glue (Figures F-G).</w:t>
        <w:br w:type="textWrapping"/>
        <w:t xml:space="preserve"> </w:t>
      </w:r>
    </w:p>
    <w:p w:rsidR="00000000" w:rsidDel="00000000" w:rsidP="00000000" w:rsidRDefault="00000000" w:rsidRPr="00000000" w14:paraId="0000001E">
      <w:pPr>
        <w:ind w:left="720" w:firstLine="0"/>
        <w:rPr/>
      </w:pPr>
      <w:r w:rsidDel="00000000" w:rsidR="00000000" w:rsidRPr="00000000">
        <w:rPr>
          <w:b w:val="1"/>
          <w:bCs w:val="1"/>
          <w:color w:val="ff0000"/>
          <w:rtl w:val="0"/>
        </w:rPr>
        <w:t xml:space="preserve">Note:</w:t>
      </w:r>
      <w:r w:rsidDel="00000000" w:rsidR="00000000" w:rsidRPr="00000000">
        <w:rPr>
          <w:rtl w:val="0"/>
        </w:rPr>
        <w:t xml:space="preserve"> Only the back should be submerged in the glue. The head, proboscis, and at least one leg should be exposed - if any one of those parts are submerged, try again with another fly. If you’ve only submerged the wings, try flipping the coverslip over and using forceps to gently lower the back into the glue.</w:t>
        <w:br w:type="textWrapping"/>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Place one damp paper towel in the plastic container on your lab bench. Ensure the box is dry. Place the coverslip</w:t>
      </w:r>
      <w:r w:rsidDel="00000000" w:rsidR="00000000" w:rsidRPr="00000000">
        <w:rPr>
          <w:rtl w:val="0"/>
        </w:rPr>
        <w:t xml:space="preserve"> in the box</w:t>
      </w:r>
      <w:r w:rsidDel="00000000" w:rsidR="00000000" w:rsidRPr="00000000">
        <w:rPr>
          <w:rtl w:val="0"/>
        </w:rPr>
        <w:t xml:space="preserve"> and close the container to regulate humidity. </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Repeat with the remaining flies.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Allow the flies to </w:t>
      </w:r>
      <w:r w:rsidDel="00000000" w:rsidR="00000000" w:rsidRPr="00000000">
        <w:rPr>
          <w:rtl w:val="0"/>
        </w:rPr>
        <w:t xml:space="preserve">recover for at least 1.5 hours </w:t>
      </w:r>
      <w:r w:rsidDel="00000000" w:rsidR="00000000" w:rsidRPr="00000000">
        <w:rPr>
          <w:rtl w:val="0"/>
        </w:rPr>
        <w:t xml:space="preserve">before testing. Complete the other behavioral tests during the recovery period. </w:t>
        <w:br w:type="textWrapping"/>
      </w:r>
    </w:p>
    <w:p w:rsidR="00000000" w:rsidDel="00000000" w:rsidP="00000000" w:rsidRDefault="00000000" w:rsidRPr="00000000" w14:paraId="00000022">
      <w:pPr>
        <w:ind w:left="720" w:firstLine="0"/>
        <w:rPr/>
      </w:pPr>
      <w:r w:rsidDel="00000000" w:rsidR="00000000" w:rsidRPr="00000000">
        <w:rPr>
          <w:b w:val="1"/>
          <w:bCs w:val="1"/>
          <w:color w:val="ff0000"/>
          <w:rtl w:val="0"/>
        </w:rPr>
        <w:t xml:space="preserve">Note:</w:t>
      </w:r>
      <w:r w:rsidDel="00000000" w:rsidR="00000000" w:rsidRPr="00000000">
        <w:rPr>
          <w:rtl w:val="0"/>
        </w:rPr>
        <w:t xml:space="preserve"> Omit flies that do not show movement after 1.5 hours of recovery</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u w:val="single"/>
          <w:rtl w:val="0"/>
        </w:rPr>
        <w:t xml:space="preserve">Proboscis Extension Reflex Assay</w:t>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Choose one of your responsive, immobilized </w:t>
      </w:r>
      <w:r w:rsidDel="00000000" w:rsidR="00000000" w:rsidRPr="00000000">
        <w:rPr>
          <w:rtl w:val="0"/>
        </w:rPr>
        <w:t xml:space="preserve">flies</w:t>
      </w:r>
      <w:r w:rsidDel="00000000" w:rsidR="00000000" w:rsidRPr="00000000">
        <w:rPr>
          <w:rtl w:val="0"/>
        </w:rPr>
        <w:t xml:space="preserve"> with accessible head and legs,</w:t>
      </w:r>
      <w:r w:rsidDel="00000000" w:rsidR="00000000" w:rsidRPr="00000000">
        <w:rPr>
          <w:rtl w:val="0"/>
        </w:rPr>
        <w:t xml:space="preserve"> and place it under the dissecting microscope.</w:t>
      </w:r>
      <w:r w:rsidDel="00000000" w:rsidR="00000000" w:rsidRPr="00000000">
        <w:rPr>
          <w:rtl w:val="0"/>
        </w:rPr>
        <w:t xml:space="preserve"> Set up your lighting so you can see the legs and proboscis.</w:t>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Dip the corner of a KimWipe in the sucrose solution and gently touch the tarsi with the KimWipe for 3 seconds. </w:t>
      </w:r>
      <w:r w:rsidDel="00000000" w:rsidR="00000000" w:rsidRPr="00000000">
        <w:drawing>
          <wp:anchor allowOverlap="1" behindDoc="0" distB="0" distT="0" distL="0" distR="0" hidden="0" layoutInCell="1" locked="0" relativeHeight="0" simplePos="0">
            <wp:simplePos x="0" y="0"/>
            <wp:positionH relativeFrom="column">
              <wp:posOffset>2962275</wp:posOffset>
            </wp:positionH>
            <wp:positionV relativeFrom="paragraph">
              <wp:posOffset>228600</wp:posOffset>
            </wp:positionV>
            <wp:extent cx="3148272" cy="1227293"/>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8"/>
                    <a:srcRect b="68742" l="0" r="0" t="0"/>
                    <a:stretch>
                      <a:fillRect/>
                    </a:stretch>
                  </pic:blipFill>
                  <pic:spPr>
                    <a:xfrm>
                      <a:off x="0" y="0"/>
                      <a:ext cx="3148272" cy="1227293"/>
                    </a:xfrm>
                    <a:prstGeom prst="rect"/>
                    <a:ln/>
                  </pic:spPr>
                </pic:pic>
              </a:graphicData>
            </a:graphic>
          </wp:anchor>
        </w:drawing>
      </w:r>
    </w:p>
    <w:p w:rsidR="00000000" w:rsidDel="00000000" w:rsidP="00000000" w:rsidRDefault="00000000" w:rsidRPr="00000000" w14:paraId="00000027">
      <w:pPr>
        <w:numPr>
          <w:ilvl w:val="1"/>
          <w:numId w:val="1"/>
        </w:numPr>
        <w:ind w:left="1080" w:hanging="360"/>
        <w:rPr>
          <w:u w:val="none"/>
        </w:rPr>
      </w:pPr>
      <w:r w:rsidDel="00000000" w:rsidR="00000000" w:rsidRPr="00000000">
        <w:rPr>
          <w:rtl w:val="0"/>
        </w:rPr>
        <w:t xml:space="preserve">Write the PER score in Data Table 1. </w:t>
      </w:r>
    </w:p>
    <w:p w:rsidR="00000000" w:rsidDel="00000000" w:rsidP="00000000" w:rsidRDefault="00000000" w:rsidRPr="00000000" w14:paraId="00000028">
      <w:pPr>
        <w:ind w:left="1080" w:firstLine="0"/>
        <w:rPr/>
      </w:pPr>
      <w:r w:rsidDel="00000000" w:rsidR="00000000" w:rsidRPr="00000000">
        <w:rPr>
          <w:rtl w:val="0"/>
        </w:rPr>
        <w:t xml:space="preserve">Assign a 1 for proboscis extension (see image b). Assign a 0 for no extension (see image a).</w:t>
      </w:r>
    </w:p>
    <w:p w:rsidR="00000000" w:rsidDel="00000000" w:rsidP="00000000" w:rsidRDefault="00000000" w:rsidRPr="00000000" w14:paraId="00000029">
      <w:pPr>
        <w:numPr>
          <w:ilvl w:val="1"/>
          <w:numId w:val="1"/>
        </w:numPr>
        <w:ind w:left="1080" w:hanging="360"/>
      </w:pPr>
      <w:r w:rsidDel="00000000" w:rsidR="00000000" w:rsidRPr="00000000">
        <w:rPr>
          <w:rtl w:val="0"/>
        </w:rPr>
        <w:t xml:space="preserve">Wait 3 seconds or until the proboscis retracts. </w:t>
      </w:r>
    </w:p>
    <w:p w:rsidR="00000000" w:rsidDel="00000000" w:rsidP="00000000" w:rsidRDefault="00000000" w:rsidRPr="00000000" w14:paraId="0000002A">
      <w:pPr>
        <w:numPr>
          <w:ilvl w:val="1"/>
          <w:numId w:val="1"/>
        </w:numPr>
        <w:ind w:left="1080" w:hanging="360"/>
      </w:pPr>
      <w:r w:rsidDel="00000000" w:rsidR="00000000" w:rsidRPr="00000000">
        <w:rPr>
          <w:rtl w:val="0"/>
        </w:rPr>
        <w:t xml:space="preserve">Repeat for 10 trials.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Repeat using DI water</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Repeat using EtOH/sucrose solution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b w:val="1"/>
          <w:bCs w:val="1"/>
          <w:sz w:val="20"/>
          <w:szCs w:val="20"/>
          <w:rtl w:val="0"/>
        </w:rPr>
        <w:t xml:space="preserve">References</w:t>
      </w:r>
      <w:r w:rsidDel="00000000" w:rsidR="00000000" w:rsidRPr="00000000">
        <w:rPr>
          <w:rtl w:val="0"/>
        </w:rPr>
      </w:r>
    </w:p>
    <w:p w:rsidR="00000000" w:rsidDel="00000000" w:rsidP="00000000" w:rsidRDefault="00000000" w:rsidRPr="00000000" w14:paraId="0000002F">
      <w:pPr>
        <w:spacing w:line="240" w:lineRule="auto"/>
        <w:ind w:left="720" w:hanging="720"/>
        <w:rPr>
          <w:b w:val="1"/>
          <w:bCs w:val="1"/>
          <w:sz w:val="20"/>
          <w:szCs w:val="20"/>
        </w:rPr>
      </w:pPr>
      <w:r w:rsidDel="00000000" w:rsidR="00000000" w:rsidRPr="00000000">
        <w:rPr>
          <w:sz w:val="20"/>
          <w:szCs w:val="20"/>
          <w:rtl w:val="0"/>
        </w:rPr>
        <w:t xml:space="preserve">Al-Anzi, B., Tracey, W. D., &amp; Benzer, S. (2006). </w:t>
      </w:r>
      <w:hyperlink r:id="rId9">
        <w:r w:rsidDel="00000000" w:rsidR="00000000" w:rsidRPr="00000000">
          <w:rPr>
            <w:color w:val="1155cc"/>
            <w:sz w:val="20"/>
            <w:szCs w:val="20"/>
            <w:u w:val="single"/>
            <w:rtl w:val="0"/>
          </w:rPr>
          <w:t xml:space="preserve">https://doi.org/10.1016/j.cub.2006.04.002</w:t>
        </w:r>
      </w:hyperlink>
      <w:r w:rsidDel="00000000" w:rsidR="00000000" w:rsidRPr="00000000">
        <w:rPr>
          <w:rtl w:val="0"/>
        </w:rPr>
      </w:r>
    </w:p>
    <w:p w:rsidR="00000000" w:rsidDel="00000000" w:rsidP="00000000" w:rsidRDefault="00000000" w:rsidRPr="00000000" w14:paraId="00000030">
      <w:pPr>
        <w:spacing w:line="240" w:lineRule="auto"/>
        <w:ind w:left="720" w:hanging="720"/>
        <w:rPr>
          <w:b w:val="1"/>
          <w:bCs w:val="1"/>
          <w:sz w:val="20"/>
          <w:szCs w:val="20"/>
        </w:rPr>
      </w:pPr>
      <w:r w:rsidDel="00000000" w:rsidR="00000000" w:rsidRPr="00000000">
        <w:rPr>
          <w:sz w:val="20"/>
          <w:szCs w:val="20"/>
          <w:rtl w:val="0"/>
        </w:rPr>
        <w:t xml:space="preserve">Chabaud, M.-A., Devaud, J.-M., Pham-Delègue, M.-H., Preat, T., &amp; Kaiser, L. (2006). </w:t>
      </w:r>
      <w:hyperlink r:id="rId10">
        <w:r w:rsidDel="00000000" w:rsidR="00000000" w:rsidRPr="00000000">
          <w:rPr>
            <w:color w:val="1155cc"/>
            <w:sz w:val="20"/>
            <w:szCs w:val="20"/>
            <w:u w:val="single"/>
            <w:rtl w:val="0"/>
          </w:rPr>
          <w:t xml:space="preserve">https://doi.org/10.1007/s00359-006-0160-3</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1">
      <w:pPr>
        <w:spacing w:line="240" w:lineRule="auto"/>
        <w:ind w:left="720" w:hanging="720"/>
        <w:rPr>
          <w:b w:val="1"/>
          <w:bCs w:val="1"/>
          <w:sz w:val="20"/>
          <w:szCs w:val="20"/>
        </w:rPr>
      </w:pPr>
      <w:r w:rsidDel="00000000" w:rsidR="00000000" w:rsidRPr="00000000">
        <w:rPr>
          <w:sz w:val="20"/>
          <w:szCs w:val="20"/>
          <w:rtl w:val="0"/>
        </w:rPr>
        <w:t xml:space="preserve">Chen, Y.-C. D., &amp; Dahanukar, A. (2020). </w:t>
      </w:r>
      <w:hyperlink r:id="rId11">
        <w:r w:rsidDel="00000000" w:rsidR="00000000" w:rsidRPr="00000000">
          <w:rPr>
            <w:color w:val="1155cc"/>
            <w:sz w:val="20"/>
            <w:szCs w:val="20"/>
            <w:u w:val="single"/>
            <w:rtl w:val="0"/>
          </w:rPr>
          <w:t xml:space="preserve">https://doi.org/10.1007/s00018-019-03320-0</w:t>
        </w:r>
      </w:hyperlink>
      <w:r w:rsidDel="00000000" w:rsidR="00000000" w:rsidRPr="00000000">
        <w:rPr>
          <w:rtl w:val="0"/>
        </w:rPr>
      </w:r>
    </w:p>
    <w:p w:rsidR="00000000" w:rsidDel="00000000" w:rsidP="00000000" w:rsidRDefault="00000000" w:rsidRPr="00000000" w14:paraId="00000032">
      <w:pPr>
        <w:spacing w:line="240" w:lineRule="auto"/>
        <w:ind w:left="720" w:hanging="720"/>
        <w:rPr>
          <w:sz w:val="20"/>
          <w:szCs w:val="20"/>
        </w:rPr>
      </w:pPr>
      <w:r w:rsidDel="00000000" w:rsidR="00000000" w:rsidRPr="00000000">
        <w:rPr>
          <w:sz w:val="20"/>
          <w:szCs w:val="20"/>
          <w:rtl w:val="0"/>
        </w:rPr>
        <w:t xml:space="preserve">Devineni, A.V. &amp; Heberlein, U. (2009). </w:t>
      </w:r>
      <w:hyperlink r:id="rId12">
        <w:r w:rsidDel="00000000" w:rsidR="00000000" w:rsidRPr="00000000">
          <w:rPr>
            <w:color w:val="1155cc"/>
            <w:sz w:val="20"/>
            <w:szCs w:val="20"/>
            <w:u w:val="single"/>
            <w:rtl w:val="0"/>
          </w:rPr>
          <w:t xml:space="preserve">https://linkinghub.elsevier.com/retrieve/pii/S0960982209019423</w:t>
        </w:r>
      </w:hyperlink>
      <w:r w:rsidDel="00000000" w:rsidR="00000000" w:rsidRPr="00000000">
        <w:rPr>
          <w:sz w:val="20"/>
          <w:szCs w:val="20"/>
          <w:rtl w:val="0"/>
        </w:rPr>
        <w:t xml:space="preserve"> </w:t>
      </w:r>
    </w:p>
    <w:p w:rsidR="00000000" w:rsidDel="00000000" w:rsidP="00000000" w:rsidRDefault="00000000" w:rsidRPr="00000000" w14:paraId="00000033">
      <w:pPr>
        <w:spacing w:line="240" w:lineRule="auto"/>
        <w:ind w:left="720" w:hanging="720"/>
        <w:rPr>
          <w:b w:val="1"/>
          <w:bCs w:val="1"/>
          <w:sz w:val="20"/>
          <w:szCs w:val="20"/>
        </w:rPr>
      </w:pPr>
      <w:r w:rsidDel="00000000" w:rsidR="00000000" w:rsidRPr="00000000">
        <w:rPr>
          <w:sz w:val="20"/>
          <w:szCs w:val="20"/>
          <w:rtl w:val="0"/>
        </w:rPr>
        <w:t xml:space="preserve">Mandel, S. J., Shoaf, M. L., … &amp; Johnson, E. C. (2018)..</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https://doi.org/10.3389/fncir.2018.00045</w:t>
        </w:r>
      </w:hyperlink>
      <w:r w:rsidDel="00000000" w:rsidR="00000000" w:rsidRPr="00000000">
        <w:rPr>
          <w:rtl w:val="0"/>
        </w:rPr>
      </w:r>
    </w:p>
    <w:p w:rsidR="00000000" w:rsidDel="00000000" w:rsidP="00000000" w:rsidRDefault="00000000" w:rsidRPr="00000000" w14:paraId="00000034">
      <w:pPr>
        <w:spacing w:line="240" w:lineRule="auto"/>
        <w:ind w:left="720"/>
        <w:rPr>
          <w:sz w:val="20"/>
          <w:szCs w:val="20"/>
        </w:rPr>
      </w:pPr>
      <w:r w:rsidDel="00000000" w:rsidR="00000000" w:rsidRPr="00000000">
        <w:rPr>
          <w:sz w:val="20"/>
          <w:szCs w:val="20"/>
          <w:rtl w:val="0"/>
        </w:rPr>
        <w:t xml:space="preserve">Nakamura et al., (2002). “Defective Proboscis Extension Response (DPR), a Member of the Ig Superfamily Required for the Gustatory Response to Salt”. Journal of Neuroscience. https://doi.org/10.1523/JNEUROSCI.22-09-03463.2002 </w:t>
      </w:r>
    </w:p>
    <w:p w:rsidR="00000000" w:rsidDel="00000000" w:rsidP="00000000" w:rsidRDefault="00000000" w:rsidRPr="00000000" w14:paraId="00000035">
      <w:pPr>
        <w:spacing w:line="240" w:lineRule="auto"/>
        <w:ind w:left="720" w:hanging="720"/>
        <w:rPr>
          <w:b w:val="1"/>
          <w:bCs w:val="1"/>
        </w:rPr>
      </w:pPr>
      <w:r w:rsidDel="00000000" w:rsidR="00000000" w:rsidRPr="00000000">
        <w:rPr>
          <w:sz w:val="20"/>
          <w:szCs w:val="20"/>
          <w:rtl w:val="0"/>
        </w:rPr>
        <w:t xml:space="preserve">Trisal, S., VijayRaghavan, K., &amp; Ramaswami, M. (2023). </w:t>
      </w:r>
      <w:hyperlink r:id="rId15">
        <w:r w:rsidDel="00000000" w:rsidR="00000000" w:rsidRPr="00000000">
          <w:rPr>
            <w:color w:val="1155cc"/>
            <w:sz w:val="20"/>
            <w:szCs w:val="20"/>
            <w:u w:val="single"/>
            <w:rtl w:val="0"/>
          </w:rPr>
          <w:t xml:space="preserve">https://doi.org/10.21769/BioProtoc.4891</w:t>
        </w:r>
      </w:hyperlink>
      <w:r w:rsidDel="00000000" w:rsidR="00000000" w:rsidRPr="00000000">
        <w:br w:type="page"/>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Data Table 1: PER Responses</w:t>
      </w:r>
    </w:p>
    <w:tbl>
      <w:tblPr>
        <w:tblStyle w:val="Table2"/>
        <w:tblW w:w="90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020"/>
        <w:gridCol w:w="1875"/>
        <w:gridCol w:w="1875"/>
        <w:gridCol w:w="2520"/>
        <w:tblGridChange w:id="0">
          <w:tblGrid>
            <w:gridCol w:w="1725"/>
            <w:gridCol w:w="1020"/>
            <w:gridCol w:w="1875"/>
            <w:gridCol w:w="1875"/>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Sucrose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i w:val="1"/>
                <w:iCs w:val="1"/>
              </w:rPr>
            </w:pPr>
            <w:r w:rsidDel="00000000" w:rsidR="00000000" w:rsidRPr="00000000">
              <w:rPr>
                <w:rtl w:val="0"/>
              </w:rPr>
              <w:t xml:space="preserve">DI Water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 EtOH in Sucrose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Wildtype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Trial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Trial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Trial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Trial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Trial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Trial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Trial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Trial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Trial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Trial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7.978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Knockout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Trial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Trial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Trial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Trial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Trial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Trial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Trial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Trial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Trial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Trial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b w:val="1"/>
          <w:bCs w:val="1"/>
          <w:rtl w:val="0"/>
        </w:rPr>
        <w:t xml:space="preserve">Reflection Question: </w:t>
      </w:r>
      <w:r w:rsidDel="00000000" w:rsidR="00000000" w:rsidRPr="00000000">
        <w:rPr>
          <w:rtl w:val="0"/>
        </w:rPr>
        <w:t xml:space="preserve">Identify the positive and negative controls in this experiment. With these controls in mind, are your findings as expected? </w:t>
      </w:r>
      <w:r w:rsidDel="00000000" w:rsidR="00000000" w:rsidRPr="00000000">
        <w:rPr>
          <w:rtl w:val="0"/>
        </w:rPr>
        <w:tab/>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07/s00018-019-03320-0" TargetMode="External"/><Relationship Id="rId10" Type="http://schemas.openxmlformats.org/officeDocument/2006/relationships/hyperlink" Target="https://doi.org/10.1007/s00359-006-0160-3" TargetMode="External"/><Relationship Id="rId13" Type="http://schemas.openxmlformats.org/officeDocument/2006/relationships/hyperlink" Target="https://doi.org/10.3389/fncir.2018.00045" TargetMode="External"/><Relationship Id="rId12" Type="http://schemas.openxmlformats.org/officeDocument/2006/relationships/hyperlink" Target="https://linkinghub.elsevier.com/retrieve/pii/S09609822090194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cub.2006.04.002" TargetMode="External"/><Relationship Id="rId15" Type="http://schemas.openxmlformats.org/officeDocument/2006/relationships/hyperlink" Target="https://doi.org/10.21769/BioProtoc.4891" TargetMode="External"/><Relationship Id="rId14" Type="http://schemas.openxmlformats.org/officeDocument/2006/relationships/hyperlink" Target="https://doi.org/10.3389/fncir.2018.00045"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